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100"/>
      </w:pPr>
      <w:r>
        <w:rPr>
          <w:b/>
          <w:bCs/>
        </w:rPr>
        <w:t xml:space="preserve">NOMAD RESEARCH — DEEP DIVE</w:t>
      </w:r>
    </w:p>
    <w:p>
      <w:pPr>
        <w:spacing w:after="100"/>
      </w:pPr>
      <w:r>
        <w:t xml:space="preserve">Protocol: Solana</w:t>
      </w:r>
    </w:p>
    <w:p>
      <w:pPr>
        <w:spacing w:after="100"/>
      </w:pPr>
      <w:r>
        <w:t xml:space="preserve">Ticker: $SOL</w:t>
      </w:r>
    </w:p>
    <w:p>
      <w:pPr>
        <w:spacing w:after="100"/>
      </w:pPr>
      <w:r>
        <w:t xml:space="preserve">Chain: Solana</w:t>
      </w:r>
    </w:p>
    <w:p>
      <w:pPr>
        <w:spacing w:after="100"/>
      </w:pPr>
      <w:r>
        <w:t xml:space="preserve">Category: Layer-1</w:t>
      </w:r>
    </w:p>
    <w:p>
      <w:pPr>
        <w:spacing w:after="100"/>
      </w:pPr>
      <w:r>
        <w:t xml:space="preserve">Date: 2026-01-27</w:t>
      </w:r>
    </w:p>
    <w:p>
      <w:pPr>
        <w:spacing w:after="100"/>
      </w:pPr>
      <w:r>
        <w:t xml:space="preserve">Status: Shortlist</w:t>
      </w:r>
    </w:p>
    <w:p>
      <w:pPr>
        <w:spacing w:before="200" w:after="200"/>
      </w:pPr>
      <w:r>
        <w:t xml:space="preserve">═══════════════════════════════════════════════════════════════════</w:t>
      </w:r>
    </w:p>
    <w:p>
      <w:pPr>
        <w:pStyle w:val="Heading2"/>
        <w:spacing w:before="300" w:after="100"/>
      </w:pPr>
      <w:r>
        <w:rPr>
          <w:b/>
          <w:bCs/>
        </w:rPr>
        <w:t xml:space="preserve">EXECUTIVE SUMMARY</w:t>
      </w:r>
    </w:p>
    <w:p>
      <w:pPr>
        <w:spacing w:before="100" w:after="100"/>
      </w:pPr>
      <w:r>
        <w:t xml:space="preserve">───────────────────────────────────────────────────────────────────</w:t>
      </w:r>
    </w:p>
    <w:p>
      <w:pPr>
        <w:spacing w:after="100"/>
      </w:pPr>
      <w:r>
        <w:t xml:space="preserve">Solana is a high-performance Layer 1 blockchain designed for mass adoption, processing thousands of transactions per second with sub-second finality at costs below one cent. Founded by Anatoly Yakovenko in 2017, Solana has become the leading alternative L1 to Ethereum, particularly strong in consumer applications, DeFi, and memecoin trading. The network uses a unique Proof of History (PoH) mechanism combined with Proof of Stake.</w:t>
      </w:r>
    </w:p>
    <w:p>
      <w:pPr>
        <w:spacing w:before="200" w:after="200"/>
      </w:pPr>
      <w:r>
        <w:t xml:space="preserve">═══════════════════════════════════════════════════════════════════</w:t>
      </w:r>
    </w:p>
    <w:p>
      <w:pPr>
        <w:pStyle w:val="Heading2"/>
        <w:spacing w:before="300" w:after="100"/>
      </w:pPr>
      <w:r>
        <w:rPr>
          <w:b/>
          <w:bCs/>
        </w:rPr>
        <w:t xml:space="preserve">THE OPPORTUNITY</w:t>
      </w:r>
    </w:p>
    <w:p>
      <w:pPr>
        <w:spacing w:before="100" w:after="100"/>
      </w:pPr>
      <w:r>
        <w:t xml:space="preserve">───────────────────────────────────────────────────────────────────</w:t>
      </w:r>
    </w:p>
    <w:p>
      <w:pPr>
        <w:spacing w:after="100"/>
      </w:pPr>
      <w:r>
        <w:rPr>
          <w:b/>
          <w:bCs/>
        </w:rPr>
        <w:t xml:space="preserve">What is Solana?</w:t>
      </w:r>
    </w:p>
    <w:p>
      <w:pPr>
        <w:spacing w:after="100"/>
      </w:pPr>
      <w:r>
        <w:t xml:space="preserve">Solana is a monolithic Layer 1 blockchain that prioritizes speed, low cost, and scalability without relying on sharding or layer-2 solutions. It maintains a single global state, avoiding the liquidity fragmentation that plagues multi-chain or multi-shard architectures. The platform supports smart contracts (called 'programs') written in Rust, C, and C++, executing on the Sealevel runtime which enables parallel transaction processing. Solana hosts a wide range of applications including DeFi (Raydium, Jupiter, Marinade), NFTs (Magic Eden, Tensor), DePIN (Helium, Render), payments (Visa USDC settlement), and consumer apps (Dialect, Phantom wallet).</w:t>
      </w:r>
    </w:p>
    <w:p>
      <w:pPr>
        <w:spacing w:after="100"/>
      </w:pPr>
      <w:r>
        <w:rPr>
          <w:b/>
          <w:bCs/>
        </w:rPr>
        <w:t xml:space="preserve">The Market</w:t>
      </w:r>
    </w:p>
    <w:p>
      <w:pPr>
        <w:spacing w:after="100"/>
      </w:pPr>
      <w:r>
        <w:t xml:space="preserve">Solana competes in the ~$500B+ smart contract platform market. It has established itself as the #2 DeFi ecosystem behind Ethereum, with ~$8-10B TVL. The network processes more daily transactions than Ethereum mainnet (often 30-50M+ per day vs Ethereum's ~1M). Solana dominates retail and memecoin trading volume. Key competitors include Ethereum (and its L2s), Sui, Aptos, and Avalanche. Spot Solana ETFs have been filed and are anticipated for 2025-2026 approval.</w:t>
      </w:r>
    </w:p>
    <w:p>
      <w:pPr>
        <w:spacing w:before="200" w:after="200"/>
      </w:pPr>
      <w:r>
        <w:t xml:space="preserve">═══════════════════════════════════════════════════════════════════</w:t>
      </w:r>
    </w:p>
    <w:p>
      <w:pPr>
        <w:pStyle w:val="Heading2"/>
        <w:spacing w:before="300" w:after="100"/>
      </w:pPr>
      <w:r>
        <w:rPr>
          <w:b/>
          <w:bCs/>
        </w:rPr>
        <w:t xml:space="preserve">THE PROTOCOL</w:t>
      </w:r>
    </w:p>
    <w:p>
      <w:pPr>
        <w:spacing w:before="100" w:after="100"/>
      </w:pPr>
      <w:r>
        <w:t xml:space="preserve">───────────────────────────────────────────────────────────────────</w:t>
      </w:r>
    </w:p>
    <w:p>
      <w:pPr>
        <w:spacing w:after="100"/>
      </w:pPr>
      <w:r>
        <w:rPr>
          <w:b/>
          <w:bCs/>
        </w:rPr>
        <w:t xml:space="preserve">How It Works</w:t>
      </w:r>
    </w:p>
    <w:p>
      <w:pPr>
        <w:spacing w:after="100"/>
      </w:pPr>
      <w:r>
        <w:t xml:space="preserve">Solana's architecture combines eight key innovations: (1) Proof of History (PoH) — a cryptographic clock that timestamps transactions before consensus, eliminating the need for validators to agree on time; (2) Tower BFT — a PoH-optimized version of PBFT consensus; (3) Turbine — block propagation protocol inspired by BitTorrent; (4) Gulf Stream — mempool-less transaction forwarding to the next leader; (5) Sealevel — parallel smart contract runtime across GPU cores; (6) Pipelining — transaction processing pipeline for hardware optimization; (7) Cloudbreak — horizontally-scaled accounts database; (8) Archivers — distributed ledger storage. Block time is ~400ms with ~4,000 TPS throughput in practice, theoretically scaling to 65,000+ TPS.</w:t>
      </w:r>
    </w:p>
    <w:p>
      <w:pPr>
        <w:spacing w:after="100"/>
      </w:pPr>
      <w:r>
        <w:rPr>
          <w:b/>
          <w:bCs/>
        </w:rPr>
        <w:t xml:space="preserve">Competitive Advantage</w:t>
      </w:r>
    </w:p>
    <w:p>
      <w:pPr>
        <w:spacing w:after="100"/>
      </w:pPr>
      <w:r>
        <w:t xml:space="preserve">Solana's primary advantages are: (1) Speed and cost — sub-second finality and &lt;$0.01 transaction fees make it viable for high-frequency use cases (trading, payments, gaming); (2) Single-state composability — unlike Ethereum's L2 fragmentation, all Solana apps share one state and can compose atomically; (3) Firedancer — Jump Crypto's independent validator client written in C, targeting 1M+ TPS, providing client diversity and massive performance upgrade; (4) Ecosystem growth — Jupiter aggregator, Phantom wallet, and pump.fun have driven massive user adoption; (5) Institutional adoption — Visa USDC settlement, PayPal PYUSD, Stripe integration, and spot ETF filings.</w:t>
      </w:r>
    </w:p>
    <w:p>
      <w:pPr>
        <w:spacing w:after="100"/>
      </w:pPr>
      <w:r>
        <w:rPr>
          <w:b/>
          <w:bCs/>
        </w:rPr>
        <w:t xml:space="preserve">Traction &amp;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999999" w:sz="1"/>
              <w:left w:val="single" w:color="999999" w:sz="1"/>
              <w:bottom w:val="single" w:color="999999" w:sz="1"/>
              <w:right w:val="single" w:color="999999" w:sz="1"/>
            </w:tcBorders>
          </w:tcPr>
          <w:p>
            <w:r>
              <w:rPr>
                <w:b/>
                <w:bCs/>
              </w:rPr>
              <w:t xml:space="preserve">Metric</w:t>
            </w:r>
          </w:p>
        </w:tc>
        <w:tc>
          <w:tcPr>
            <w:tcW w:type="dxa" w:w="3000"/>
            <w:tcBorders>
              <w:top w:val="single" w:color="999999" w:sz="1"/>
              <w:left w:val="single" w:color="999999" w:sz="1"/>
              <w:bottom w:val="single" w:color="999999" w:sz="1"/>
              <w:right w:val="single" w:color="999999" w:sz="1"/>
            </w:tcBorders>
          </w:tcPr>
          <w:p>
            <w:r>
              <w:rPr>
                <w:b/>
                <w:bCs/>
              </w:rPr>
              <w:t xml:space="preserve">Value</w:t>
            </w:r>
          </w:p>
        </w:tc>
        <w:tc>
          <w:tcPr>
            <w:tcW w:type="dxa" w:w="3000"/>
            <w:tcBorders>
              <w:top w:val="single" w:color="999999" w:sz="1"/>
              <w:left w:val="single" w:color="999999" w:sz="1"/>
              <w:bottom w:val="single" w:color="999999" w:sz="1"/>
              <w:right w:val="single" w:color="999999" w:sz="1"/>
            </w:tcBorders>
          </w:tcPr>
          <w:p>
            <w:r>
              <w:rPr>
                <w:b/>
                <w:bCs/>
              </w:rPr>
              <w:t xml:space="preserve">Context</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Market Cap</w:t>
            </w:r>
          </w:p>
        </w:tc>
        <w:tc>
          <w:tcPr>
            <w:tcW w:type="dxa" w:w="3000"/>
            <w:tcBorders>
              <w:top w:val="single" w:color="999999" w:sz="1"/>
              <w:left w:val="single" w:color="999999" w:sz="1"/>
              <w:bottom w:val="single" w:color="999999" w:sz="1"/>
              <w:right w:val="single" w:color="999999" w:sz="1"/>
            </w:tcBorders>
          </w:tcPr>
          <w:p>
            <w:r>
              <w:rPr>
                <w:b w:val="false"/>
                <w:bCs w:val="false"/>
              </w:rPr>
              <w:t xml:space="preserve">~$60B</w:t>
            </w:r>
          </w:p>
        </w:tc>
        <w:tc>
          <w:tcPr>
            <w:tcW w:type="dxa" w:w="3000"/>
            <w:tcBorders>
              <w:top w:val="single" w:color="999999" w:sz="1"/>
              <w:left w:val="single" w:color="999999" w:sz="1"/>
              <w:bottom w:val="single" w:color="999999" w:sz="1"/>
              <w:right w:val="single" w:color="999999" w:sz="1"/>
            </w:tcBorders>
          </w:tcPr>
          <w:p>
            <w:r>
              <w:rPr>
                <w:b w:val="false"/>
                <w:bCs w:val="false"/>
              </w:rPr>
              <w:t xml:space="preserve">Rank #7 (CoinGecko, Jan 2026)</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Price</w:t>
            </w:r>
          </w:p>
        </w:tc>
        <w:tc>
          <w:tcPr>
            <w:tcW w:type="dxa" w:w="3000"/>
            <w:tcBorders>
              <w:top w:val="single" w:color="999999" w:sz="1"/>
              <w:left w:val="single" w:color="999999" w:sz="1"/>
              <w:bottom w:val="single" w:color="999999" w:sz="1"/>
              <w:right w:val="single" w:color="999999" w:sz="1"/>
            </w:tcBorders>
          </w:tcPr>
          <w:p>
            <w:r>
              <w:rPr>
                <w:b w:val="false"/>
                <w:bCs w:val="false"/>
              </w:rPr>
              <w:t xml:space="preserve">~$123.69</w:t>
            </w:r>
          </w:p>
        </w:tc>
        <w:tc>
          <w:tcPr>
            <w:tcW w:type="dxa" w:w="3000"/>
            <w:tcBorders>
              <w:top w:val="single" w:color="999999" w:sz="1"/>
              <w:left w:val="single" w:color="999999" w:sz="1"/>
              <w:bottom w:val="single" w:color="999999" w:sz="1"/>
              <w:right w:val="single" w:color="999999" w:sz="1"/>
            </w:tcBorders>
          </w:tcPr>
          <w:p>
            <w:r>
              <w:rPr>
                <w:b w:val="false"/>
                <w:bCs w:val="false"/>
              </w:rPr>
              <w:t xml:space="preserve">ATH: $293.31 (Nov 2024)</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TVL (DeFi)</w:t>
            </w:r>
          </w:p>
        </w:tc>
        <w:tc>
          <w:tcPr>
            <w:tcW w:type="dxa" w:w="3000"/>
            <w:tcBorders>
              <w:top w:val="single" w:color="999999" w:sz="1"/>
              <w:left w:val="single" w:color="999999" w:sz="1"/>
              <w:bottom w:val="single" w:color="999999" w:sz="1"/>
              <w:right w:val="single" w:color="999999" w:sz="1"/>
            </w:tcBorders>
          </w:tcPr>
          <w:p>
            <w:r>
              <w:rPr>
                <w:b w:val="false"/>
                <w:bCs w:val="false"/>
              </w:rPr>
              <w:t xml:space="preserve">~$8-10B</w:t>
            </w:r>
          </w:p>
        </w:tc>
        <w:tc>
          <w:tcPr>
            <w:tcW w:type="dxa" w:w="3000"/>
            <w:tcBorders>
              <w:top w:val="single" w:color="999999" w:sz="1"/>
              <w:left w:val="single" w:color="999999" w:sz="1"/>
              <w:bottom w:val="single" w:color="999999" w:sz="1"/>
              <w:right w:val="single" w:color="999999" w:sz="1"/>
            </w:tcBorders>
          </w:tcPr>
          <w:p>
            <w:r>
              <w:rPr>
                <w:b w:val="false"/>
                <w:bCs w:val="false"/>
              </w:rPr>
              <w:t xml:space="preserve">2nd largest DeFi ecosystem (DefiLlama)</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Daily Transactions</w:t>
            </w:r>
          </w:p>
        </w:tc>
        <w:tc>
          <w:tcPr>
            <w:tcW w:type="dxa" w:w="3000"/>
            <w:tcBorders>
              <w:top w:val="single" w:color="999999" w:sz="1"/>
              <w:left w:val="single" w:color="999999" w:sz="1"/>
              <w:bottom w:val="single" w:color="999999" w:sz="1"/>
              <w:right w:val="single" w:color="999999" w:sz="1"/>
            </w:tcBorders>
          </w:tcPr>
          <w:p>
            <w:r>
              <w:rPr>
                <w:b w:val="false"/>
                <w:bCs w:val="false"/>
              </w:rPr>
              <w:t xml:space="preserve">~30-50M+</w:t>
            </w:r>
          </w:p>
        </w:tc>
        <w:tc>
          <w:tcPr>
            <w:tcW w:type="dxa" w:w="3000"/>
            <w:tcBorders>
              <w:top w:val="single" w:color="999999" w:sz="1"/>
              <w:left w:val="single" w:color="999999" w:sz="1"/>
              <w:bottom w:val="single" w:color="999999" w:sz="1"/>
              <w:right w:val="single" w:color="999999" w:sz="1"/>
            </w:tcBorders>
          </w:tcPr>
          <w:p>
            <w:r>
              <w:rPr>
                <w:b w:val="false"/>
                <w:bCs w:val="false"/>
              </w:rPr>
              <w:t xml:space="preserve">Includes vote transactions; non-vote ~5-15M</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Daily Active Addresses</w:t>
            </w:r>
          </w:p>
        </w:tc>
        <w:tc>
          <w:tcPr>
            <w:tcW w:type="dxa" w:w="3000"/>
            <w:tcBorders>
              <w:top w:val="single" w:color="999999" w:sz="1"/>
              <w:left w:val="single" w:color="999999" w:sz="1"/>
              <w:bottom w:val="single" w:color="999999" w:sz="1"/>
              <w:right w:val="single" w:color="999999" w:sz="1"/>
            </w:tcBorders>
          </w:tcPr>
          <w:p>
            <w:r>
              <w:rPr>
                <w:b w:val="false"/>
                <w:bCs w:val="false"/>
              </w:rPr>
              <w:t xml:space="preserve">~1-2M+</w:t>
            </w:r>
          </w:p>
        </w:tc>
        <w:tc>
          <w:tcPr>
            <w:tcW w:type="dxa" w:w="3000"/>
            <w:tcBorders>
              <w:top w:val="single" w:color="999999" w:sz="1"/>
              <w:left w:val="single" w:color="999999" w:sz="1"/>
              <w:bottom w:val="single" w:color="999999" w:sz="1"/>
              <w:right w:val="single" w:color="999999" w:sz="1"/>
            </w:tcBorders>
          </w:tcPr>
          <w:p>
            <w:r>
              <w:rPr>
                <w:b w:val="false"/>
                <w:bCs w:val="false"/>
              </w:rPr>
              <w:t xml:space="preserve">Rapidly growing user base</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Staked SOL</w:t>
            </w:r>
          </w:p>
        </w:tc>
        <w:tc>
          <w:tcPr>
            <w:tcW w:type="dxa" w:w="3000"/>
            <w:tcBorders>
              <w:top w:val="single" w:color="999999" w:sz="1"/>
              <w:left w:val="single" w:color="999999" w:sz="1"/>
              <w:bottom w:val="single" w:color="999999" w:sz="1"/>
              <w:right w:val="single" w:color="999999" w:sz="1"/>
            </w:tcBorders>
          </w:tcPr>
          <w:p>
            <w:r>
              <w:rPr>
                <w:b w:val="false"/>
                <w:bCs w:val="false"/>
              </w:rPr>
              <w:t xml:space="preserve">~65-70% of supply</w:t>
            </w:r>
          </w:p>
        </w:tc>
        <w:tc>
          <w:tcPr>
            <w:tcW w:type="dxa" w:w="3000"/>
            <w:tcBorders>
              <w:top w:val="single" w:color="999999" w:sz="1"/>
              <w:left w:val="single" w:color="999999" w:sz="1"/>
              <w:bottom w:val="single" w:color="999999" w:sz="1"/>
              <w:right w:val="single" w:color="999999" w:sz="1"/>
            </w:tcBorders>
          </w:tcPr>
          <w:p>
            <w:r>
              <w:rPr>
                <w:b w:val="false"/>
                <w:bCs w:val="false"/>
              </w:rPr>
              <w:t xml:space="preserve">High staking participation rate</w:t>
            </w:r>
          </w:p>
        </w:tc>
      </w:tr>
    </w:tbl>
    <w:p>
      <w:pPr>
        <w:spacing w:before="200" w:after="200"/>
      </w:pPr>
      <w:r>
        <w:t xml:space="preserve">═══════════════════════════════════════════════════════════════════</w:t>
      </w:r>
    </w:p>
    <w:p>
      <w:pPr>
        <w:pStyle w:val="Heading2"/>
        <w:spacing w:before="300" w:after="100"/>
      </w:pPr>
      <w:r>
        <w:rPr>
          <w:b/>
          <w:bCs/>
        </w:rPr>
        <w:t xml:space="preserve">TOKENOMICS</w:t>
      </w:r>
    </w:p>
    <w:p>
      <w:pPr>
        <w:spacing w:before="100" w:after="100"/>
      </w:pPr>
      <w:r>
        <w:t xml:space="preserve">───────────────────────────────────────────────────────────────────</w:t>
      </w:r>
    </w:p>
    <w:p>
      <w:pPr>
        <w:spacing w:after="100"/>
      </w:pPr>
      <w:r>
        <w:rPr>
          <w:b/>
          <w:bCs/>
        </w:rPr>
        <w:t xml:space="preserve">Token Utility</w:t>
      </w:r>
    </w:p>
    <w:p>
      <w:pPr>
        <w:spacing w:after="100"/>
      </w:pPr>
      <w:r>
        <w:t xml:space="preserve">SOL serves as: (1) Gas — required for all transaction fees on the network (typically &lt;$0.01); (2) Staking — delegators stake SOL to validators to secure the network, earning ~6-7% APR; (3) Governance — SOL holders can participate in governance proposals; (4) Rent — accounts must maintain a minimum SOL balance for storage rent; (5) Priority fees — users can pay additional SOL for transaction priority during congestion.</w:t>
      </w:r>
    </w:p>
    <w:p>
      <w:pPr>
        <w:spacing w:after="100"/>
      </w:pPr>
      <w:r>
        <w:rPr>
          <w:b/>
          <w:bCs/>
        </w:rPr>
        <w:t xml:space="preserve">Supply &amp;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999999" w:sz="1"/>
              <w:left w:val="single" w:color="999999" w:sz="1"/>
              <w:bottom w:val="single" w:color="999999" w:sz="1"/>
              <w:right w:val="single" w:color="999999" w:sz="1"/>
            </w:tcBorders>
          </w:tcPr>
          <w:p>
            <w:r>
              <w:rPr>
                <w:b/>
                <w:bCs/>
              </w:rPr>
              <w:t xml:space="preserve">Category</w:t>
            </w:r>
          </w:p>
        </w:tc>
        <w:tc>
          <w:tcPr>
            <w:tcW w:type="dxa" w:w="3000"/>
            <w:tcBorders>
              <w:top w:val="single" w:color="999999" w:sz="1"/>
              <w:left w:val="single" w:color="999999" w:sz="1"/>
              <w:bottom w:val="single" w:color="999999" w:sz="1"/>
              <w:right w:val="single" w:color="999999" w:sz="1"/>
            </w:tcBorders>
          </w:tcPr>
          <w:p>
            <w:r>
              <w:rPr>
                <w:b/>
                <w:bCs/>
              </w:rPr>
              <w:t xml:space="preserve">Allocation</w:t>
            </w:r>
          </w:p>
        </w:tc>
        <w:tc>
          <w:tcPr>
            <w:tcW w:type="dxa" w:w="3000"/>
            <w:tcBorders>
              <w:top w:val="single" w:color="999999" w:sz="1"/>
              <w:left w:val="single" w:color="999999" w:sz="1"/>
              <w:bottom w:val="single" w:color="999999" w:sz="1"/>
              <w:right w:val="single" w:color="999999" w:sz="1"/>
            </w:tcBorders>
          </w:tcPr>
          <w:p>
            <w:r>
              <w:rPr>
                <w:b/>
                <w:bCs/>
              </w:rPr>
              <w:t xml:space="preserve">Vesting</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Seed Sale</w:t>
            </w:r>
          </w:p>
        </w:tc>
        <w:tc>
          <w:tcPr>
            <w:tcW w:type="dxa" w:w="3000"/>
            <w:tcBorders>
              <w:top w:val="single" w:color="999999" w:sz="1"/>
              <w:left w:val="single" w:color="999999" w:sz="1"/>
              <w:bottom w:val="single" w:color="999999" w:sz="1"/>
              <w:right w:val="single" w:color="999999" w:sz="1"/>
            </w:tcBorders>
          </w:tcPr>
          <w:p>
            <w:r>
              <w:rPr>
                <w:b w:val="false"/>
                <w:bCs w:val="false"/>
              </w:rPr>
              <w:t xml:space="preserve">16.23%</w:t>
            </w:r>
          </w:p>
        </w:tc>
        <w:tc>
          <w:tcPr>
            <w:tcW w:type="dxa" w:w="3000"/>
            <w:tcBorders>
              <w:top w:val="single" w:color="999999" w:sz="1"/>
              <w:left w:val="single" w:color="999999" w:sz="1"/>
              <w:bottom w:val="single" w:color="999999" w:sz="1"/>
              <w:right w:val="single" w:color="999999" w:sz="1"/>
            </w:tcBorders>
          </w:tcPr>
          <w:p>
            <w:r>
              <w:rPr>
                <w:b w:val="false"/>
                <w:bCs w:val="false"/>
              </w:rPr>
              <w:t xml:space="preserve">Locked until 2021; fully unlocked</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Founding Sale</w:t>
            </w:r>
          </w:p>
        </w:tc>
        <w:tc>
          <w:tcPr>
            <w:tcW w:type="dxa" w:w="3000"/>
            <w:tcBorders>
              <w:top w:val="single" w:color="999999" w:sz="1"/>
              <w:left w:val="single" w:color="999999" w:sz="1"/>
              <w:bottom w:val="single" w:color="999999" w:sz="1"/>
              <w:right w:val="single" w:color="999999" w:sz="1"/>
            </w:tcBorders>
          </w:tcPr>
          <w:p>
            <w:r>
              <w:rPr>
                <w:b w:val="false"/>
                <w:bCs w:val="false"/>
              </w:rPr>
              <w:t xml:space="preserve">12.92%</w:t>
            </w:r>
          </w:p>
        </w:tc>
        <w:tc>
          <w:tcPr>
            <w:tcW w:type="dxa" w:w="3000"/>
            <w:tcBorders>
              <w:top w:val="single" w:color="999999" w:sz="1"/>
              <w:left w:val="single" w:color="999999" w:sz="1"/>
              <w:bottom w:val="single" w:color="999999" w:sz="1"/>
              <w:right w:val="single" w:color="999999" w:sz="1"/>
            </w:tcBorders>
          </w:tcPr>
          <w:p>
            <w:r>
              <w:rPr>
                <w:b w:val="false"/>
                <w:bCs w:val="false"/>
              </w:rPr>
              <w:t xml:space="preserve">Locked until 2021; fully unlocked</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Validator Sale</w:t>
            </w:r>
          </w:p>
        </w:tc>
        <w:tc>
          <w:tcPr>
            <w:tcW w:type="dxa" w:w="3000"/>
            <w:tcBorders>
              <w:top w:val="single" w:color="999999" w:sz="1"/>
              <w:left w:val="single" w:color="999999" w:sz="1"/>
              <w:bottom w:val="single" w:color="999999" w:sz="1"/>
              <w:right w:val="single" w:color="999999" w:sz="1"/>
            </w:tcBorders>
          </w:tcPr>
          <w:p>
            <w:r>
              <w:rPr>
                <w:b w:val="false"/>
                <w:bCs w:val="false"/>
              </w:rPr>
              <w:t xml:space="preserve">5.18%</w:t>
            </w:r>
          </w:p>
        </w:tc>
        <w:tc>
          <w:tcPr>
            <w:tcW w:type="dxa" w:w="3000"/>
            <w:tcBorders>
              <w:top w:val="single" w:color="999999" w:sz="1"/>
              <w:left w:val="single" w:color="999999" w:sz="1"/>
              <w:bottom w:val="single" w:color="999999" w:sz="1"/>
              <w:right w:val="single" w:color="999999" w:sz="1"/>
            </w:tcBorders>
          </w:tcPr>
          <w:p>
            <w:r>
              <w:rPr>
                <w:b w:val="false"/>
                <w:bCs w:val="false"/>
              </w:rPr>
              <w:t xml:space="preserve">Fully unlocked</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Strategic Sale</w:t>
            </w:r>
          </w:p>
        </w:tc>
        <w:tc>
          <w:tcPr>
            <w:tcW w:type="dxa" w:w="3000"/>
            <w:tcBorders>
              <w:top w:val="single" w:color="999999" w:sz="1"/>
              <w:left w:val="single" w:color="999999" w:sz="1"/>
              <w:bottom w:val="single" w:color="999999" w:sz="1"/>
              <w:right w:val="single" w:color="999999" w:sz="1"/>
            </w:tcBorders>
          </w:tcPr>
          <w:p>
            <w:r>
              <w:rPr>
                <w:b w:val="false"/>
                <w:bCs w:val="false"/>
              </w:rPr>
              <w:t xml:space="preserve">1.88%</w:t>
            </w:r>
          </w:p>
        </w:tc>
        <w:tc>
          <w:tcPr>
            <w:tcW w:type="dxa" w:w="3000"/>
            <w:tcBorders>
              <w:top w:val="single" w:color="999999" w:sz="1"/>
              <w:left w:val="single" w:color="999999" w:sz="1"/>
              <w:bottom w:val="single" w:color="999999" w:sz="1"/>
              <w:right w:val="single" w:color="999999" w:sz="1"/>
            </w:tcBorders>
          </w:tcPr>
          <w:p>
            <w:r>
              <w:rPr>
                <w:b w:val="false"/>
                <w:bCs w:val="false"/>
              </w:rPr>
              <w:t xml:space="preserve">Fully unlocked</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CoinList Auction</w:t>
            </w:r>
          </w:p>
        </w:tc>
        <w:tc>
          <w:tcPr>
            <w:tcW w:type="dxa" w:w="3000"/>
            <w:tcBorders>
              <w:top w:val="single" w:color="999999" w:sz="1"/>
              <w:left w:val="single" w:color="999999" w:sz="1"/>
              <w:bottom w:val="single" w:color="999999" w:sz="1"/>
              <w:right w:val="single" w:color="999999" w:sz="1"/>
            </w:tcBorders>
          </w:tcPr>
          <w:p>
            <w:r>
              <w:rPr>
                <w:b w:val="false"/>
                <w:bCs w:val="false"/>
              </w:rPr>
              <w:t xml:space="preserve">1.64%</w:t>
            </w:r>
          </w:p>
        </w:tc>
        <w:tc>
          <w:tcPr>
            <w:tcW w:type="dxa" w:w="3000"/>
            <w:tcBorders>
              <w:top w:val="single" w:color="999999" w:sz="1"/>
              <w:left w:val="single" w:color="999999" w:sz="1"/>
              <w:bottom w:val="single" w:color="999999" w:sz="1"/>
              <w:right w:val="single" w:color="999999" w:sz="1"/>
            </w:tcBorders>
          </w:tcPr>
          <w:p>
            <w:r>
              <w:rPr>
                <w:b w:val="false"/>
                <w:bCs w:val="false"/>
              </w:rPr>
              <w:t xml:space="preserve">Fully unlocked</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Team/Foundation</w:t>
            </w:r>
          </w:p>
        </w:tc>
        <w:tc>
          <w:tcPr>
            <w:tcW w:type="dxa" w:w="3000"/>
            <w:tcBorders>
              <w:top w:val="single" w:color="999999" w:sz="1"/>
              <w:left w:val="single" w:color="999999" w:sz="1"/>
              <w:bottom w:val="single" w:color="999999" w:sz="1"/>
              <w:right w:val="single" w:color="999999" w:sz="1"/>
            </w:tcBorders>
          </w:tcPr>
          <w:p>
            <w:r>
              <w:rPr>
                <w:b w:val="false"/>
                <w:bCs w:val="false"/>
              </w:rPr>
              <w:t xml:space="preserve">~25%</w:t>
            </w:r>
          </w:p>
        </w:tc>
        <w:tc>
          <w:tcPr>
            <w:tcW w:type="dxa" w:w="3000"/>
            <w:tcBorders>
              <w:top w:val="single" w:color="999999" w:sz="1"/>
              <w:left w:val="single" w:color="999999" w:sz="1"/>
              <w:bottom w:val="single" w:color="999999" w:sz="1"/>
              <w:right w:val="single" w:color="999999" w:sz="1"/>
            </w:tcBorders>
          </w:tcPr>
          <w:p>
            <w:r>
              <w:rPr>
                <w:b w:val="false"/>
                <w:bCs w:val="false"/>
              </w:rPr>
              <w:t xml:space="preserve">Subject to vesting; mostly unlocked</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Community/Ecosystem</w:t>
            </w:r>
          </w:p>
        </w:tc>
        <w:tc>
          <w:tcPr>
            <w:tcW w:type="dxa" w:w="3000"/>
            <w:tcBorders>
              <w:top w:val="single" w:color="999999" w:sz="1"/>
              <w:left w:val="single" w:color="999999" w:sz="1"/>
              <w:bottom w:val="single" w:color="999999" w:sz="1"/>
              <w:right w:val="single" w:color="999999" w:sz="1"/>
            </w:tcBorders>
          </w:tcPr>
          <w:p>
            <w:r>
              <w:rPr>
                <w:b w:val="false"/>
                <w:bCs w:val="false"/>
              </w:rPr>
              <w:t xml:space="preserve">~38%</w:t>
            </w:r>
          </w:p>
        </w:tc>
        <w:tc>
          <w:tcPr>
            <w:tcW w:type="dxa" w:w="3000"/>
            <w:tcBorders>
              <w:top w:val="single" w:color="999999" w:sz="1"/>
              <w:left w:val="single" w:color="999999" w:sz="1"/>
              <w:bottom w:val="single" w:color="999999" w:sz="1"/>
              <w:right w:val="single" w:color="999999" w:sz="1"/>
            </w:tcBorders>
          </w:tcPr>
          <w:p>
            <w:r>
              <w:rPr>
                <w:b w:val="false"/>
                <w:bCs w:val="false"/>
              </w:rPr>
              <w:t xml:space="preserve">Foundation grants and ecosystem fund</w:t>
            </w:r>
          </w:p>
        </w:tc>
      </w:tr>
    </w:tbl>
    <w:p>
      <w:pPr>
        <w:spacing w:after="100"/>
      </w:pPr>
      <w:r>
        <w:t xml:space="preserve">Current circulating: ~490M SOL</w:t>
      </w:r>
    </w:p>
    <w:p>
      <w:pPr>
        <w:spacing w:after="100"/>
      </w:pPr>
      <w:r>
        <w:t xml:space="preserve">Max supply: No hard cap; inflationary with decreasing rate</w:t>
      </w:r>
    </w:p>
    <w:p>
      <w:pPr>
        <w:spacing w:after="100"/>
      </w:pPr>
      <w:r>
        <w:t xml:space="preserve">Inflation rate: Started at 8%, decreasing 15% annually, targeting long-term rate of 1.5%</w:t>
      </w:r>
    </w:p>
    <w:p>
      <w:pPr>
        <w:spacing w:after="100"/>
      </w:pPr>
      <w:r>
        <w:t xml:space="preserve">Upcoming unlocks: Most early investor and team tokens are fully unlocked. Ongoing inflation issuance is the primary source of new supply.</w:t>
      </w:r>
    </w:p>
    <w:p>
      <w:pPr>
        <w:spacing w:after="100"/>
      </w:pPr>
      <w:r>
        <w:rPr>
          <w:b/>
          <w:bCs/>
        </w:rPr>
        <w:t xml:space="preserve">Value Accrual</w:t>
      </w:r>
    </w:p>
    <w:p>
      <w:pPr>
        <w:spacing w:after="100"/>
      </w:pPr>
      <w:r>
        <w:t xml:space="preserve">SOL accrues value through: (1) Network usage — all transactions require SOL for fees, and priority fees increase during high demand; (2) Staking demand — high staking participation (~65-70%) reduces liquid supply; (3) Ecosystem growth — more apps and users drive more transaction demand; (4) SIMD-228 proposal to adjust inflation based on staking rate is under discussion. Currently, 50% of transaction fees are burned and 50% go to validators.</w:t>
      </w:r>
    </w:p>
    <w:p>
      <w:pPr>
        <w:spacing w:before="200" w:after="200"/>
      </w:pPr>
      <w:r>
        <w:t xml:space="preserve">═══════════════════════════════════════════════════════════════════</w:t>
      </w:r>
    </w:p>
    <w:p>
      <w:pPr>
        <w:pStyle w:val="Heading2"/>
        <w:spacing w:before="300" w:after="100"/>
      </w:pPr>
      <w:r>
        <w:rPr>
          <w:b/>
          <w:bCs/>
        </w:rPr>
        <w:t xml:space="preserve">TEAM &amp; BACKERS</w:t>
      </w:r>
    </w:p>
    <w:p>
      <w:pPr>
        <w:spacing w:before="100" w:after="100"/>
      </w:pPr>
      <w:r>
        <w:t xml:space="preserve">───────────────────────────────────────────────────────────────────</w:t>
      </w:r>
    </w:p>
    <w:p>
      <w:pPr>
        <w:spacing w:after="100"/>
      </w:pPr>
      <w:r>
        <w:rPr>
          <w:b/>
          <w:bCs/>
        </w:rPr>
        <w:t xml:space="preserve">Team</w:t>
      </w:r>
    </w:p>
    <w:p>
      <w:pPr>
        <w:spacing w:after="100"/>
      </w:pPr>
      <w:r>
        <w:t xml:space="preserve">Founded by Anatoly Yakovenko (CEO, ex-Qualcomm senior engineer) and Raj Gokal (COO). Yakovenko conceived Proof of History in 2017. Solana Labs is the primary development company, with the Solana Foundation (based in Switzerland) supporting ecosystem growth. Key engineering contributors include Jump Crypto (building Firedancer client), Anza (Solana Labs spinoff), and Jito Labs (MEV infrastructure). All founders are doxxed and publicly active.</w:t>
      </w:r>
    </w:p>
    <w:p>
      <w:pPr>
        <w:spacing w:after="100"/>
      </w:pPr>
      <w:r>
        <w:rPr>
          <w:b/>
          <w:bCs/>
        </w:rPr>
        <w:t xml:space="preserve">Investors</w:t>
      </w:r>
    </w:p>
    <w:p>
      <w:pPr>
        <w:spacing w:after="100"/>
      </w:pPr>
      <w:r>
        <w:t xml:space="preserve">Major investors include Andreessen Horowitz (a16z), Polychain Capital, Multicoin Capital, Alameda Research (pre-FTX collapse), CMS Holdings, and others. Total funding raised exceeds $300M across multiple rounds. Despite the FTX/Alameda bankruptcy (which held large SOL positions), the ecosystem recovered strongly. Institutional interest has grown significantly with spot ETF filings from Franklin Templeton, VanEck, and others.</w:t>
      </w:r>
    </w:p>
    <w:p>
      <w:pPr>
        <w:spacing w:after="100"/>
      </w:pPr>
      <w:r>
        <w:rPr>
          <w:b/>
          <w:bCs/>
        </w:rPr>
        <w:t xml:space="preserve">Community &amp; Governance</w:t>
      </w:r>
    </w:p>
    <w:p>
      <w:pPr>
        <w:spacing w:after="100"/>
      </w:pPr>
      <w:r>
        <w:t xml:space="preserve">Reddit r/solana: 300K+ members. Solana ecosystem has 2,500+ active developers (Electric Capital). Breakpoint conference is the flagship annual event. Phantom wallet has 10M+ downloads. Jupiter DEX aggregator processes billions in monthly volume. Solana Mobile (Saga phone) and the Solana dApp Store are unique ecosystem initiatives.</w:t>
      </w:r>
    </w:p>
    <w:p>
      <w:pPr>
        <w:spacing w:before="200" w:after="200"/>
      </w:pPr>
      <w:r>
        <w:t xml:space="preserve">═══════════════════════════════════════════════════════════════════</w:t>
      </w:r>
    </w:p>
    <w:p>
      <w:pPr>
        <w:pStyle w:val="Heading2"/>
        <w:spacing w:before="300" w:after="100"/>
      </w:pPr>
      <w:r>
        <w:rPr>
          <w:b/>
          <w:bCs/>
        </w:rPr>
        <w:t xml:space="preserve">RISKS</w:t>
      </w:r>
    </w:p>
    <w:p>
      <w:pPr>
        <w:spacing w:before="100" w:after="100"/>
      </w:pPr>
      <w:r>
        <w:t xml:space="preserve">───────────────────────────────────────────────────────────────────</w:t>
      </w:r>
    </w:p>
    <w:p>
      <w:pPr>
        <w:spacing w:after="100"/>
      </w:pPr>
      <w:r>
        <w:rPr>
          <w:b/>
          <w:bCs/>
        </w:rPr>
        <w:t xml:space="preserve">Network Reliability (MEDIUM)</w:t>
      </w:r>
    </w:p>
    <w:p>
      <w:pPr>
        <w:spacing w:after="100"/>
      </w:pPr>
      <w:r>
        <w:t xml:space="preserve">Solana has experienced multiple network outages and degraded performance events historically, though reliability has significantly improved since the introduction of QUIC networking and local fee markets in 2023-2024.</w:t>
      </w:r>
    </w:p>
    <w:p>
      <w:pPr>
        <w:spacing w:after="100"/>
      </w:pPr>
      <w:r>
        <w:rPr>
          <w:b/>
          <w:bCs/>
        </w:rPr>
        <w:t xml:space="preserve">Centralization Concerns (MEDIUM)</w:t>
      </w:r>
    </w:p>
    <w:p>
      <w:pPr>
        <w:spacing w:after="100"/>
      </w:pPr>
      <w:r>
        <w:t xml:space="preserve">Validator hardware requirements are high (128GB+ RAM, high-bandwidth connections), limiting who can run nodes. The Nakamoto coefficient (minimum validators to halt the network) is ~30-35, lower than Ethereum's.</w:t>
      </w:r>
    </w:p>
    <w:p>
      <w:pPr>
        <w:spacing w:after="100"/>
      </w:pPr>
      <w:r>
        <w:rPr>
          <w:b/>
          <w:bCs/>
        </w:rPr>
        <w:t xml:space="preserve">Regulatory Risk (MEDIUM)</w:t>
      </w:r>
    </w:p>
    <w:p>
      <w:pPr>
        <w:spacing w:after="100"/>
      </w:pPr>
      <w:r>
        <w:t xml:space="preserve">SOL was named as a potential security in SEC lawsuits against exchanges, though spot ETF filings suggest regulatory clarity may be improving.</w:t>
      </w:r>
    </w:p>
    <w:p>
      <w:pPr>
        <w:spacing w:after="100"/>
      </w:pPr>
      <w:r>
        <w:rPr>
          <w:b/>
          <w:bCs/>
        </w:rPr>
        <w:t xml:space="preserve">FTX/Alameda Overhang (LOW)</w:t>
      </w:r>
    </w:p>
    <w:p>
      <w:pPr>
        <w:spacing w:after="100"/>
      </w:pPr>
      <w:r>
        <w:t xml:space="preserve">FTX estate held large SOL positions that have been gradually distributed via auctions. Most of this selling pressure has been absorbed by the market.</w:t>
      </w:r>
    </w:p>
    <w:p>
      <w:pPr>
        <w:spacing w:before="200" w:after="200"/>
      </w:pPr>
      <w:r>
        <w:t xml:space="preserve">═══════════════════════════════════════════════════════════════════</w:t>
      </w:r>
    </w:p>
    <w:p>
      <w:pPr>
        <w:pStyle w:val="Heading2"/>
        <w:spacing w:before="300" w:after="100"/>
      </w:pPr>
      <w:r>
        <w:rPr>
          <w:b/>
          <w:bCs/>
        </w:rPr>
        <w:t xml:space="preserve">CATALYSTS &amp; TIMELINE</w:t>
      </w:r>
    </w:p>
    <w:p>
      <w:pPr>
        <w:spacing w:before="100" w:after="100"/>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999999" w:sz="1"/>
              <w:left w:val="single" w:color="999999" w:sz="1"/>
              <w:bottom w:val="single" w:color="999999" w:sz="1"/>
              <w:right w:val="single" w:color="999999" w:sz="1"/>
            </w:tcBorders>
          </w:tcPr>
          <w:p>
            <w:r>
              <w:rPr>
                <w:b/>
                <w:bCs/>
              </w:rPr>
              <w:t xml:space="preserve">Catalyst</w:t>
            </w:r>
          </w:p>
        </w:tc>
        <w:tc>
          <w:tcPr>
            <w:tcW w:type="dxa" w:w="3000"/>
            <w:tcBorders>
              <w:top w:val="single" w:color="999999" w:sz="1"/>
              <w:left w:val="single" w:color="999999" w:sz="1"/>
              <w:bottom w:val="single" w:color="999999" w:sz="1"/>
              <w:right w:val="single" w:color="999999" w:sz="1"/>
            </w:tcBorders>
          </w:tcPr>
          <w:p>
            <w:r>
              <w:rPr>
                <w:b/>
                <w:bCs/>
              </w:rPr>
              <w:t xml:space="preserve">Expected</w:t>
            </w:r>
          </w:p>
        </w:tc>
        <w:tc>
          <w:tcPr>
            <w:tcW w:type="dxa" w:w="3000"/>
            <w:tcBorders>
              <w:top w:val="single" w:color="999999" w:sz="1"/>
              <w:left w:val="single" w:color="999999" w:sz="1"/>
              <w:bottom w:val="single" w:color="999999" w:sz="1"/>
              <w:right w:val="single" w:color="999999" w:sz="1"/>
            </w:tcBorders>
          </w:tcPr>
          <w:p>
            <w:r>
              <w:rPr>
                <w:b/>
                <w:bCs/>
              </w:rPr>
              <w:t xml:space="preserve">Impact</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Spot SOL ETF Approval</w:t>
            </w:r>
          </w:p>
        </w:tc>
        <w:tc>
          <w:tcPr>
            <w:tcW w:type="dxa" w:w="3000"/>
            <w:tcBorders>
              <w:top w:val="single" w:color="999999" w:sz="1"/>
              <w:left w:val="single" w:color="999999" w:sz="1"/>
              <w:bottom w:val="single" w:color="999999" w:sz="1"/>
              <w:right w:val="single" w:color="999999" w:sz="1"/>
            </w:tcBorders>
          </w:tcPr>
          <w:p>
            <w:r>
              <w:rPr>
                <w:b w:val="false"/>
                <w:bCs w:val="false"/>
              </w:rPr>
              <w:t xml:space="preserve">2025-2026</w:t>
            </w:r>
          </w:p>
        </w:tc>
        <w:tc>
          <w:tcPr>
            <w:tcW w:type="dxa" w:w="3000"/>
            <w:tcBorders>
              <w:top w:val="single" w:color="999999" w:sz="1"/>
              <w:left w:val="single" w:color="999999" w:sz="1"/>
              <w:bottom w:val="single" w:color="999999" w:sz="1"/>
              <w:right w:val="single" w:color="999999" w:sz="1"/>
            </w:tcBorders>
          </w:tcPr>
          <w:p>
            <w:r>
              <w:rPr>
                <w:b w:val="false"/>
                <w:bCs w:val="false"/>
              </w:rPr>
              <w:t xml:space="preserve">Multiple filings pending; would unlock significant institutional capital</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Firedancer Launch</w:t>
            </w:r>
          </w:p>
        </w:tc>
        <w:tc>
          <w:tcPr>
            <w:tcW w:type="dxa" w:w="3000"/>
            <w:tcBorders>
              <w:top w:val="single" w:color="999999" w:sz="1"/>
              <w:left w:val="single" w:color="999999" w:sz="1"/>
              <w:bottom w:val="single" w:color="999999" w:sz="1"/>
              <w:right w:val="single" w:color="999999" w:sz="1"/>
            </w:tcBorders>
          </w:tcPr>
          <w:p>
            <w:r>
              <w:rPr>
                <w:b w:val="false"/>
                <w:bCs w:val="false"/>
              </w:rPr>
              <w:t xml:space="preserve">2025-2026</w:t>
            </w:r>
          </w:p>
        </w:tc>
        <w:tc>
          <w:tcPr>
            <w:tcW w:type="dxa" w:w="3000"/>
            <w:tcBorders>
              <w:top w:val="single" w:color="999999" w:sz="1"/>
              <w:left w:val="single" w:color="999999" w:sz="1"/>
              <w:bottom w:val="single" w:color="999999" w:sz="1"/>
              <w:right w:val="single" w:color="999999" w:sz="1"/>
            </w:tcBorders>
          </w:tcPr>
          <w:p>
            <w:r>
              <w:rPr>
                <w:b w:val="false"/>
                <w:bCs w:val="false"/>
              </w:rPr>
              <w:t xml:space="preserve">Jump Crypto's independent client targeting 1M+ TPS; major reliability and performance upgrade</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Token Extensions Adoption</w:t>
            </w:r>
          </w:p>
        </w:tc>
        <w:tc>
          <w:tcPr>
            <w:tcW w:type="dxa" w:w="3000"/>
            <w:tcBorders>
              <w:top w:val="single" w:color="999999" w:sz="1"/>
              <w:left w:val="single" w:color="999999" w:sz="1"/>
              <w:bottom w:val="single" w:color="999999" w:sz="1"/>
              <w:right w:val="single" w:color="999999" w:sz="1"/>
            </w:tcBorders>
          </w:tcPr>
          <w:p>
            <w:r>
              <w:rPr>
                <w:b w:val="false"/>
                <w:bCs w:val="false"/>
              </w:rPr>
              <w:t xml:space="preserve">Ongoing</w:t>
            </w:r>
          </w:p>
        </w:tc>
        <w:tc>
          <w:tcPr>
            <w:tcW w:type="dxa" w:w="3000"/>
            <w:tcBorders>
              <w:top w:val="single" w:color="999999" w:sz="1"/>
              <w:left w:val="single" w:color="999999" w:sz="1"/>
              <w:bottom w:val="single" w:color="999999" w:sz="1"/>
              <w:right w:val="single" w:color="999999" w:sz="1"/>
            </w:tcBorders>
          </w:tcPr>
          <w:p>
            <w:r>
              <w:rPr>
                <w:b w:val="false"/>
                <w:bCs w:val="false"/>
              </w:rPr>
              <w:t xml:space="preserve">Enables compliant tokenized securities and stablecoins natively on Solana</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Solana Mobile Chapter 2</w:t>
            </w:r>
          </w:p>
        </w:tc>
        <w:tc>
          <w:tcPr>
            <w:tcW w:type="dxa" w:w="3000"/>
            <w:tcBorders>
              <w:top w:val="single" w:color="999999" w:sz="1"/>
              <w:left w:val="single" w:color="999999" w:sz="1"/>
              <w:bottom w:val="single" w:color="999999" w:sz="1"/>
              <w:right w:val="single" w:color="999999" w:sz="1"/>
            </w:tcBorders>
          </w:tcPr>
          <w:p>
            <w:r>
              <w:rPr>
                <w:b w:val="false"/>
                <w:bCs w:val="false"/>
              </w:rPr>
              <w:t xml:space="preserve">2025</w:t>
            </w:r>
          </w:p>
        </w:tc>
        <w:tc>
          <w:tcPr>
            <w:tcW w:type="dxa" w:w="3000"/>
            <w:tcBorders>
              <w:top w:val="single" w:color="999999" w:sz="1"/>
              <w:left w:val="single" w:color="999999" w:sz="1"/>
              <w:bottom w:val="single" w:color="999999" w:sz="1"/>
              <w:right w:val="single" w:color="999999" w:sz="1"/>
            </w:tcBorders>
          </w:tcPr>
          <w:p>
            <w:r>
              <w:rPr>
                <w:b w:val="false"/>
                <w:bCs w:val="false"/>
              </w:rPr>
              <w:t xml:space="preserve">New crypto-native phone with Solana dApp Store; expanding consumer reach</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DePIN Growth</w:t>
            </w:r>
          </w:p>
        </w:tc>
        <w:tc>
          <w:tcPr>
            <w:tcW w:type="dxa" w:w="3000"/>
            <w:tcBorders>
              <w:top w:val="single" w:color="999999" w:sz="1"/>
              <w:left w:val="single" w:color="999999" w:sz="1"/>
              <w:bottom w:val="single" w:color="999999" w:sz="1"/>
              <w:right w:val="single" w:color="999999" w:sz="1"/>
            </w:tcBorders>
          </w:tcPr>
          <w:p>
            <w:r>
              <w:rPr>
                <w:b w:val="false"/>
                <w:bCs w:val="false"/>
              </w:rPr>
              <w:t xml:space="preserve">Ongoing</w:t>
            </w:r>
          </w:p>
        </w:tc>
        <w:tc>
          <w:tcPr>
            <w:tcW w:type="dxa" w:w="3000"/>
            <w:tcBorders>
              <w:top w:val="single" w:color="999999" w:sz="1"/>
              <w:left w:val="single" w:color="999999" w:sz="1"/>
              <w:bottom w:val="single" w:color="999999" w:sz="1"/>
              <w:right w:val="single" w:color="999999" w:sz="1"/>
            </w:tcBorders>
          </w:tcPr>
          <w:p>
            <w:r>
              <w:rPr>
                <w:b w:val="false"/>
                <w:bCs w:val="false"/>
              </w:rPr>
              <w:t xml:space="preserve">Helium, Render, and other DePIN protocols drive non-financial use cases</w:t>
            </w:r>
          </w:p>
        </w:tc>
      </w:tr>
    </w:tbl>
    <w:p>
      <w:pPr>
        <w:spacing w:before="200" w:after="200"/>
      </w:pPr>
      <w:r>
        <w:t xml:space="preserve">═══════════════════════════════════════════════════════════════════</w:t>
      </w:r>
    </w:p>
    <w:p>
      <w:pPr>
        <w:pStyle w:val="Heading2"/>
        <w:spacing w:before="300" w:after="100"/>
      </w:pPr>
      <w:r>
        <w:rPr>
          <w:b/>
          <w:bCs/>
        </w:rPr>
        <w:t xml:space="preserve">SOURCES</w:t>
      </w:r>
    </w:p>
    <w:p>
      <w:pPr>
        <w:spacing w:before="100" w:after="100"/>
      </w:pPr>
      <w:r>
        <w:t xml:space="preserve">───────────────────────────────────────────────────────────────────</w:t>
      </w:r>
    </w:p>
    <w:p>
      <w:pPr>
        <w:spacing w:after="50"/>
      </w:pPr>
      <w:r>
        <w:t xml:space="preserve">• CoinGecko API — Market data (accessed Jan 2026)</w:t>
      </w:r>
    </w:p>
    <w:p>
      <w:pPr>
        <w:spacing w:after="50"/>
      </w:pPr>
      <w:r>
        <w:t xml:space="preserve">• solana.com — Protocol documentation</w:t>
      </w:r>
    </w:p>
    <w:p>
      <w:pPr>
        <w:spacing w:after="50"/>
      </w:pPr>
      <w:r>
        <w:t xml:space="preserve">• DefiLlama — TVL and protocol data</w:t>
      </w:r>
    </w:p>
    <w:p>
      <w:pPr>
        <w:spacing w:after="50"/>
      </w:pPr>
      <w:r>
        <w:t xml:space="preserve">• Electric Capital Developer Report 2024</w:t>
      </w:r>
    </w:p>
    <w:p>
      <w:pPr>
        <w:spacing w:after="50"/>
      </w:pPr>
      <w:r>
        <w:t xml:space="preserve">• Solana Foundation — Validator health reports</w:t>
      </w:r>
    </w:p>
    <w:p>
      <w:pPr>
        <w:spacing w:after="50"/>
      </w:pPr>
      <w:r>
        <w:t xml:space="preserve">• Messari — Solana research reports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2026-01-27T18:04:51.131Z</dcterms:created>
  <dcterms:modified xsi:type="dcterms:W3CDTF">2026-01-27T18:04:51.131Z</dcterms:modified>
</cp:coreProperties>
</file>

<file path=docProps/custom.xml><?xml version="1.0" encoding="utf-8"?>
<Properties xmlns="http://schemas.openxmlformats.org/officeDocument/2006/custom-properties" xmlns:vt="http://schemas.openxmlformats.org/officeDocument/2006/docPropsVTypes"/>
</file>