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100"/>
      </w:pPr>
      <w:r>
        <w:rPr>
          <w:b/>
          <w:bCs/>
        </w:rPr>
        <w:t xml:space="preserve">NOMAD RESEARCH — DEEP DIVE</w:t>
      </w:r>
    </w:p>
    <w:p>
      <w:pPr>
        <w:spacing w:after="100"/>
      </w:pPr>
      <w:r>
        <w:t xml:space="preserve">Protocol: Hyperliquid</w:t>
      </w:r>
    </w:p>
    <w:p>
      <w:pPr>
        <w:spacing w:after="100"/>
      </w:pPr>
      <w:r>
        <w:t xml:space="preserve">Ticker: $HYPE</w:t>
      </w:r>
    </w:p>
    <w:p>
      <w:pPr>
        <w:spacing w:after="100"/>
      </w:pPr>
      <w:r>
        <w:t xml:space="preserve">Chain: Hyperliquid L1</w:t>
      </w:r>
    </w:p>
    <w:p>
      <w:pPr>
        <w:spacing w:after="100"/>
      </w:pPr>
      <w:r>
        <w:t xml:space="preserve">Category: Perp-DEX</w:t>
      </w:r>
    </w:p>
    <w:p>
      <w:pPr>
        <w:spacing w:after="100"/>
      </w:pPr>
      <w:r>
        <w:t xml:space="preserve">Date: 2026-01-27</w:t>
      </w:r>
    </w:p>
    <w:p>
      <w:pPr>
        <w:spacing w:after="100"/>
      </w:pPr>
      <w:r>
        <w:t xml:space="preserve">Status: Shortlist</w:t>
      </w:r>
    </w:p>
    <w:p>
      <w:pPr>
        <w:spacing w:before="200" w:after="200"/>
      </w:pPr>
      <w:r>
        <w:t xml:space="preserve">═══════════════════════════════════════════════════════════════════</w:t>
      </w:r>
    </w:p>
    <w:p>
      <w:pPr>
        <w:pStyle w:val="Heading2"/>
        <w:spacing w:before="300" w:after="100"/>
      </w:pPr>
      <w:r>
        <w:rPr>
          <w:b/>
          <w:bCs/>
        </w:rPr>
        <w:t xml:space="preserve">EXECUTIVE SUMMARY</w:t>
      </w:r>
    </w:p>
    <w:p>
      <w:pPr>
        <w:spacing w:before="100" w:after="100"/>
      </w:pPr>
      <w:r>
        <w:t xml:space="preserve">───────────────────────────────────────────────────────────────────</w:t>
      </w:r>
    </w:p>
    <w:p>
      <w:pPr>
        <w:spacing w:after="100"/>
      </w:pPr>
      <w:r>
        <w:t xml:space="preserve">Hyperliquid is the dominant decentralized perpetual futures exchange, commanding 70%+ of on-chain perp trading volume. Built on its own custom L1 blockchain (HyperBFT consensus), it offers CEX-level performance with full on-chain transparency. Uniquely, the project had zero VC funding and conducted one of the largest community airdrops in crypto history in late 2024, distributing 31% of supply to users.</w:t>
      </w:r>
    </w:p>
    <w:p>
      <w:pPr>
        <w:spacing w:before="200" w:after="200"/>
      </w:pPr>
      <w:r>
        <w:t xml:space="preserve">═══════════════════════════════════════════════════════════════════</w:t>
      </w:r>
    </w:p>
    <w:p>
      <w:pPr>
        <w:pStyle w:val="Heading2"/>
        <w:spacing w:before="300" w:after="100"/>
      </w:pPr>
      <w:r>
        <w:rPr>
          <w:b/>
          <w:bCs/>
        </w:rPr>
        <w:t xml:space="preserve">THE OPPORTUNITY</w:t>
      </w:r>
    </w:p>
    <w:p>
      <w:pPr>
        <w:spacing w:before="100" w:after="100"/>
      </w:pPr>
      <w:r>
        <w:t xml:space="preserve">───────────────────────────────────────────────────────────────────</w:t>
      </w:r>
    </w:p>
    <w:p>
      <w:pPr>
        <w:spacing w:after="100"/>
      </w:pPr>
      <w:r>
        <w:rPr>
          <w:b/>
          <w:bCs/>
        </w:rPr>
        <w:t xml:space="preserve">What is Hyperliquid?</w:t>
      </w:r>
    </w:p>
    <w:p>
      <w:pPr>
        <w:spacing w:after="100"/>
      </w:pPr>
      <w:r>
        <w:t xml:space="preserve">Hyperliquid is a fully on-chain order book perpetual futures exchange built on a purpose-built Layer 1 blockchain. Unlike other DEXs that run on general-purpose chains, Hyperliquid designed its own blockchain optimized specifically for high-frequency trading. Every order, cancellation, trade, and liquidation occurs transparently on-chain with sub-second block latency. The platform supports 100+ perpetual futures markets with up to 50x leverage, plus a growing spot trading ecosystem via HIP-1 and HIP-2 token standards. The Hyperliquid L1 processes up to 100,000 orders per second.</w:t>
      </w:r>
    </w:p>
    <w:p>
      <w:pPr>
        <w:spacing w:after="100"/>
      </w:pPr>
      <w:r>
        <w:rPr>
          <w:b/>
          <w:bCs/>
        </w:rPr>
        <w:t xml:space="preserve">The Market</w:t>
      </w:r>
    </w:p>
    <w:p>
      <w:pPr>
        <w:spacing w:after="100"/>
      </w:pPr>
      <w:r>
        <w:t xml:space="preserve">The perpetual futures market is the largest segment of crypto trading, with over $100B+ in daily volume across centralized and decentralized venues. On-chain perp DEXs have grown from &lt;1% to ~5-10% of total perp volume. Hyperliquid dominates the on-chain segment with 70%+ market share, followed by dYdX, GMX, and newer entrants like Lighter. The platform directly competes with centralized exchanges like Binance, Bybit, and OKX on performance metrics.</w:t>
      </w:r>
    </w:p>
    <w:p>
      <w:pPr>
        <w:spacing w:before="200" w:after="200"/>
      </w:pPr>
      <w:r>
        <w:t xml:space="preserve">═══════════════════════════════════════════════════════════════════</w:t>
      </w:r>
    </w:p>
    <w:p>
      <w:pPr>
        <w:pStyle w:val="Heading2"/>
        <w:spacing w:before="300" w:after="100"/>
      </w:pPr>
      <w:r>
        <w:rPr>
          <w:b/>
          <w:bCs/>
        </w:rPr>
        <w:t xml:space="preserve">THE PROTOCOL</w:t>
      </w:r>
    </w:p>
    <w:p>
      <w:pPr>
        <w:spacing w:before="100" w:after="100"/>
      </w:pPr>
      <w:r>
        <w:t xml:space="preserve">───────────────────────────────────────────────────────────────────</w:t>
      </w:r>
    </w:p>
    <w:p>
      <w:pPr>
        <w:spacing w:after="100"/>
      </w:pPr>
      <w:r>
        <w:rPr>
          <w:b/>
          <w:bCs/>
        </w:rPr>
        <w:t xml:space="preserve">How It Works</w:t>
      </w:r>
    </w:p>
    <w:p>
      <w:pPr>
        <w:spacing w:after="100"/>
      </w:pPr>
      <w:r>
        <w:t xml:space="preserve">Hyperliquid L1 uses HyperBFT, a custom consensus algorithm inspired by HotStuff and its successors. The chain is optimized from the ground up for financial applications with: (1) Sub-second block latency; (2) Deterministic ordering — all operations are fully on-chain with cryptographic verifiability; (3) Native order book matching engine; (4) Risk engine handling liquidations on-chain; (5) Vaulting system for copy-trading; (6) HIP-1 — native token standard for launching tokens on Hyperliquid; (7) HIP-2 — automated liquidity provision for new tokens. The platform requires no gas fees for trading — users deposit USDC as collateral and trade against the order book.</w:t>
      </w:r>
    </w:p>
    <w:p>
      <w:pPr>
        <w:spacing w:after="100"/>
      </w:pPr>
      <w:r>
        <w:rPr>
          <w:b/>
          <w:bCs/>
        </w:rPr>
        <w:t xml:space="preserve">Competitive Advantage</w:t>
      </w:r>
    </w:p>
    <w:p>
      <w:pPr>
        <w:spacing w:after="100"/>
      </w:pPr>
      <w:r>
        <w:t xml:space="preserve">Key differentiators: (1) Performance — sub-second finality, 100K orders/sec, matching CEX-level UX; (2) No VC funding — entirely community-owned, no investor unlock overhang; (3) Full on-chain transparency — every operation verifiable; (4) Dominant market share — 70%+ of on-chain perps, strong network effects in liquidity; (5) Expanding ecosystem — spot trading, native tokens (HIP-1/HIP-2), builder ecosystem growing; (6) No gas fees for trading — lower friction than competitors on other chains.</w:t>
      </w:r>
    </w:p>
    <w:p>
      <w:pPr>
        <w:spacing w:after="100"/>
      </w:pPr>
      <w:r>
        <w:rPr>
          <w:b/>
          <w:bCs/>
        </w:rPr>
        <w:t xml:space="preserve">Traction &amp;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Metric</w:t>
            </w:r>
          </w:p>
        </w:tc>
        <w:tc>
          <w:tcPr>
            <w:tcW w:type="dxa" w:w="3000"/>
            <w:tcBorders>
              <w:top w:val="single" w:color="999999" w:sz="1"/>
              <w:left w:val="single" w:color="999999" w:sz="1"/>
              <w:bottom w:val="single" w:color="999999" w:sz="1"/>
              <w:right w:val="single" w:color="999999" w:sz="1"/>
            </w:tcBorders>
          </w:tcPr>
          <w:p>
            <w:r>
              <w:rPr>
                <w:b/>
                <w:bCs/>
              </w:rPr>
              <w:t xml:space="preserve">Value</w:t>
            </w:r>
          </w:p>
        </w:tc>
        <w:tc>
          <w:tcPr>
            <w:tcW w:type="dxa" w:w="3000"/>
            <w:tcBorders>
              <w:top w:val="single" w:color="999999" w:sz="1"/>
              <w:left w:val="single" w:color="999999" w:sz="1"/>
              <w:bottom w:val="single" w:color="999999" w:sz="1"/>
              <w:right w:val="single" w:color="999999" w:sz="1"/>
            </w:tcBorders>
          </w:tcPr>
          <w:p>
            <w:r>
              <w:rPr>
                <w:b/>
                <w:bCs/>
              </w:rPr>
              <w:t xml:space="preserve">Context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Market Cap</w:t>
            </w:r>
          </w:p>
        </w:tc>
        <w:tc>
          <w:tcPr>
            <w:tcW w:type="dxa" w:w="3000"/>
            <w:tcBorders>
              <w:top w:val="single" w:color="999999" w:sz="1"/>
              <w:left w:val="single" w:color="999999" w:sz="1"/>
              <w:bottom w:val="single" w:color="999999" w:sz="1"/>
              <w:right w:val="single" w:color="999999" w:sz="1"/>
            </w:tcBorders>
          </w:tcPr>
          <w:p>
            <w:r>
              <w:rPr>
                <w:b w:val="false"/>
                <w:bCs w:val="false"/>
              </w:rPr>
              <w:t xml:space="preserve">~$9.3B</w:t>
            </w:r>
          </w:p>
        </w:tc>
        <w:tc>
          <w:tcPr>
            <w:tcW w:type="dxa" w:w="3000"/>
            <w:tcBorders>
              <w:top w:val="single" w:color="999999" w:sz="1"/>
              <w:left w:val="single" w:color="999999" w:sz="1"/>
              <w:bottom w:val="single" w:color="999999" w:sz="1"/>
              <w:right w:val="single" w:color="999999" w:sz="1"/>
            </w:tcBorders>
          </w:tcPr>
          <w:p>
            <w:r>
              <w:rPr>
                <w:b w:val="false"/>
                <w:bCs w:val="false"/>
              </w:rPr>
              <w:t xml:space="preserve">Rank #28 (CoinGecko, Jan 2026)</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FDV</w:t>
            </w:r>
          </w:p>
        </w:tc>
        <w:tc>
          <w:tcPr>
            <w:tcW w:type="dxa" w:w="3000"/>
            <w:tcBorders>
              <w:top w:val="single" w:color="999999" w:sz="1"/>
              <w:left w:val="single" w:color="999999" w:sz="1"/>
              <w:bottom w:val="single" w:color="999999" w:sz="1"/>
              <w:right w:val="single" w:color="999999" w:sz="1"/>
            </w:tcBorders>
          </w:tcPr>
          <w:p>
            <w:r>
              <w:rPr>
                <w:b w:val="false"/>
                <w:bCs w:val="false"/>
              </w:rPr>
              <w:t xml:space="preserve">~$27.6B</w:t>
            </w:r>
          </w:p>
        </w:tc>
        <w:tc>
          <w:tcPr>
            <w:tcW w:type="dxa" w:w="3000"/>
            <w:tcBorders>
              <w:top w:val="single" w:color="999999" w:sz="1"/>
              <w:left w:val="single" w:color="999999" w:sz="1"/>
              <w:bottom w:val="single" w:color="999999" w:sz="1"/>
              <w:right w:val="single" w:color="999999" w:sz="1"/>
            </w:tcBorders>
          </w:tcPr>
          <w:p>
            <w:r>
              <w:rPr>
                <w:b w:val="false"/>
                <w:bCs w:val="false"/>
              </w:rPr>
              <w:t xml:space="preserve">Based on 1B max supply</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TVL</w:t>
            </w:r>
          </w:p>
        </w:tc>
        <w:tc>
          <w:tcPr>
            <w:tcW w:type="dxa" w:w="3000"/>
            <w:tcBorders>
              <w:top w:val="single" w:color="999999" w:sz="1"/>
              <w:left w:val="single" w:color="999999" w:sz="1"/>
              <w:bottom w:val="single" w:color="999999" w:sz="1"/>
              <w:right w:val="single" w:color="999999" w:sz="1"/>
            </w:tcBorders>
          </w:tcPr>
          <w:p>
            <w:r>
              <w:rPr>
                <w:b w:val="false"/>
                <w:bCs w:val="false"/>
              </w:rPr>
              <w:t xml:space="preserve">~$4.68B</w:t>
            </w:r>
          </w:p>
        </w:tc>
        <w:tc>
          <w:tcPr>
            <w:tcW w:type="dxa" w:w="3000"/>
            <w:tcBorders>
              <w:top w:val="single" w:color="999999" w:sz="1"/>
              <w:left w:val="single" w:color="999999" w:sz="1"/>
              <w:bottom w:val="single" w:color="999999" w:sz="1"/>
              <w:right w:val="single" w:color="999999" w:sz="1"/>
            </w:tcBorders>
          </w:tcPr>
          <w:p>
            <w:r>
              <w:rPr>
                <w:b w:val="false"/>
                <w:bCs w:val="false"/>
              </w:rPr>
              <w:t xml:space="preserve">Total value locked in vaults and margin (CoinGecko)</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Daily Trading Volume</w:t>
            </w:r>
          </w:p>
        </w:tc>
        <w:tc>
          <w:tcPr>
            <w:tcW w:type="dxa" w:w="3000"/>
            <w:tcBorders>
              <w:top w:val="single" w:color="999999" w:sz="1"/>
              <w:left w:val="single" w:color="999999" w:sz="1"/>
              <w:bottom w:val="single" w:color="999999" w:sz="1"/>
              <w:right w:val="single" w:color="999999" w:sz="1"/>
            </w:tcBorders>
          </w:tcPr>
          <w:p>
            <w:r>
              <w:rPr>
                <w:b w:val="false"/>
                <w:bCs w:val="false"/>
              </w:rPr>
              <w:t xml:space="preserve">$3-10B+</w:t>
            </w:r>
          </w:p>
        </w:tc>
        <w:tc>
          <w:tcPr>
            <w:tcW w:type="dxa" w:w="3000"/>
            <w:tcBorders>
              <w:top w:val="single" w:color="999999" w:sz="1"/>
              <w:left w:val="single" w:color="999999" w:sz="1"/>
              <w:bottom w:val="single" w:color="999999" w:sz="1"/>
              <w:right w:val="single" w:color="999999" w:sz="1"/>
            </w:tcBorders>
          </w:tcPr>
          <w:p>
            <w:r>
              <w:rPr>
                <w:b w:val="false"/>
                <w:bCs w:val="false"/>
              </w:rPr>
              <w:t xml:space="preserve">Varies; consistently highest among perp DEXs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Market Share (Perp DEX)</w:t>
            </w:r>
          </w:p>
        </w:tc>
        <w:tc>
          <w:tcPr>
            <w:tcW w:type="dxa" w:w="3000"/>
            <w:tcBorders>
              <w:top w:val="single" w:color="999999" w:sz="1"/>
              <w:left w:val="single" w:color="999999" w:sz="1"/>
              <w:bottom w:val="single" w:color="999999" w:sz="1"/>
              <w:right w:val="single" w:color="999999" w:sz="1"/>
            </w:tcBorders>
          </w:tcPr>
          <w:p>
            <w:r>
              <w:rPr>
                <w:b w:val="false"/>
                <w:bCs w:val="false"/>
              </w:rPr>
              <w:t xml:space="preserve">70%+</w:t>
            </w:r>
          </w:p>
        </w:tc>
        <w:tc>
          <w:tcPr>
            <w:tcW w:type="dxa" w:w="3000"/>
            <w:tcBorders>
              <w:top w:val="single" w:color="999999" w:sz="1"/>
              <w:left w:val="single" w:color="999999" w:sz="1"/>
              <w:bottom w:val="single" w:color="999999" w:sz="1"/>
              <w:right w:val="single" w:color="999999" w:sz="1"/>
            </w:tcBorders>
          </w:tcPr>
          <w:p>
            <w:r>
              <w:rPr>
                <w:b w:val="false"/>
                <w:bCs w:val="false"/>
              </w:rPr>
              <w:t xml:space="preserve">Dominant position in on-chain perpetuals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Open Interest</w:t>
            </w:r>
          </w:p>
        </w:tc>
        <w:tc>
          <w:tcPr>
            <w:tcW w:type="dxa" w:w="3000"/>
            <w:tcBorders>
              <w:top w:val="single" w:color="999999" w:sz="1"/>
              <w:left w:val="single" w:color="999999" w:sz="1"/>
              <w:bottom w:val="single" w:color="999999" w:sz="1"/>
              <w:right w:val="single" w:color="999999" w:sz="1"/>
            </w:tcBorders>
          </w:tcPr>
          <w:p>
            <w:r>
              <w:rPr>
                <w:b w:val="false"/>
                <w:bCs w:val="false"/>
              </w:rPr>
              <w:t xml:space="preserve">$3-5B+</w:t>
            </w:r>
          </w:p>
        </w:tc>
        <w:tc>
          <w:tcPr>
            <w:tcW w:type="dxa" w:w="3000"/>
            <w:tcBorders>
              <w:top w:val="single" w:color="999999" w:sz="1"/>
              <w:left w:val="single" w:color="999999" w:sz="1"/>
              <w:bottom w:val="single" w:color="999999" w:sz="1"/>
              <w:right w:val="single" w:color="999999" w:sz="1"/>
            </w:tcBorders>
          </w:tcPr>
          <w:p>
            <w:r>
              <w:rPr>
                <w:b w:val="false"/>
                <w:bCs w:val="false"/>
              </w:rPr>
              <w:t xml:space="preserve">Among highest in DeFi</w:t>
            </w:r>
          </w:p>
        </w:tc>
      </w:tr>
    </w:tbl>
    <w:p>
      <w:pPr>
        <w:spacing w:before="200" w:after="200"/>
      </w:pPr>
      <w:r>
        <w:t xml:space="preserve">═══════════════════════════════════════════════════════════════════</w:t>
      </w:r>
    </w:p>
    <w:p>
      <w:pPr>
        <w:pStyle w:val="Heading2"/>
        <w:spacing w:before="300" w:after="100"/>
      </w:pPr>
      <w:r>
        <w:rPr>
          <w:b/>
          <w:bCs/>
        </w:rPr>
        <w:t xml:space="preserve">TOKENOMICS</w:t>
      </w:r>
    </w:p>
    <w:p>
      <w:pPr>
        <w:spacing w:before="100" w:after="100"/>
      </w:pPr>
      <w:r>
        <w:t xml:space="preserve">───────────────────────────────────────────────────────────────────</w:t>
      </w:r>
    </w:p>
    <w:p>
      <w:pPr>
        <w:spacing w:after="100"/>
      </w:pPr>
      <w:r>
        <w:rPr>
          <w:b/>
          <w:bCs/>
        </w:rPr>
        <w:t xml:space="preserve">Token Utility</w:t>
      </w:r>
    </w:p>
    <w:p>
      <w:pPr>
        <w:spacing w:after="100"/>
      </w:pPr>
      <w:r>
        <w:t xml:space="preserve">HYPE token functions: (1) Staking — secures the HyperBFT consensus network; (2) Governance — future governance rights over protocol parameters; (3) Fee discounts — potential fee tier benefits for HYPE holders/stakers; (4) Ecosystem participation — used in HIP-1 token launches and ecosystem activities. The Hyper Foundation manages token distribution and ecosystem development.</w:t>
      </w:r>
    </w:p>
    <w:p>
      <w:pPr>
        <w:spacing w:after="100"/>
      </w:pPr>
      <w:r>
        <w:rPr>
          <w:b/>
          <w:bCs/>
        </w:rPr>
        <w:t xml:space="preserve">Supply &amp;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Category</w:t>
            </w:r>
          </w:p>
        </w:tc>
        <w:tc>
          <w:tcPr>
            <w:tcW w:type="dxa" w:w="3000"/>
            <w:tcBorders>
              <w:top w:val="single" w:color="999999" w:sz="1"/>
              <w:left w:val="single" w:color="999999" w:sz="1"/>
              <w:bottom w:val="single" w:color="999999" w:sz="1"/>
              <w:right w:val="single" w:color="999999" w:sz="1"/>
            </w:tcBorders>
          </w:tcPr>
          <w:p>
            <w:r>
              <w:rPr>
                <w:b/>
                <w:bCs/>
              </w:rPr>
              <w:t xml:space="preserve">Allocation</w:t>
            </w:r>
          </w:p>
        </w:tc>
        <w:tc>
          <w:tcPr>
            <w:tcW w:type="dxa" w:w="3000"/>
            <w:tcBorders>
              <w:top w:val="single" w:color="999999" w:sz="1"/>
              <w:left w:val="single" w:color="999999" w:sz="1"/>
              <w:bottom w:val="single" w:color="999999" w:sz="1"/>
              <w:right w:val="single" w:color="999999" w:sz="1"/>
            </w:tcBorders>
          </w:tcPr>
          <w:p>
            <w:r>
              <w:rPr>
                <w:b/>
                <w:bCs/>
              </w:rPr>
              <w:t xml:space="preserve">Vesting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Community (Genesis Airdrop)</w:t>
            </w:r>
          </w:p>
        </w:tc>
        <w:tc>
          <w:tcPr>
            <w:tcW w:type="dxa" w:w="3000"/>
            <w:tcBorders>
              <w:top w:val="single" w:color="999999" w:sz="1"/>
              <w:left w:val="single" w:color="999999" w:sz="1"/>
              <w:bottom w:val="single" w:color="999999" w:sz="1"/>
              <w:right w:val="single" w:color="999999" w:sz="1"/>
            </w:tcBorders>
          </w:tcPr>
          <w:p>
            <w:r>
              <w:rPr>
                <w:b w:val="false"/>
                <w:bCs w:val="false"/>
              </w:rPr>
              <w:t xml:space="preserve">31%</w:t>
            </w:r>
          </w:p>
        </w:tc>
        <w:tc>
          <w:tcPr>
            <w:tcW w:type="dxa" w:w="3000"/>
            <w:tcBorders>
              <w:top w:val="single" w:color="999999" w:sz="1"/>
              <w:left w:val="single" w:color="999999" w:sz="1"/>
              <w:bottom w:val="single" w:color="999999" w:sz="1"/>
              <w:right w:val="single" w:color="999999" w:sz="1"/>
            </w:tcBorders>
          </w:tcPr>
          <w:p>
            <w:r>
              <w:rPr>
                <w:b w:val="false"/>
                <w:bCs w:val="false"/>
              </w:rPr>
              <w:t xml:space="preserve">Distributed Nov 2024; no lockup</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Future Emissions &amp; Community</w:t>
            </w:r>
          </w:p>
        </w:tc>
        <w:tc>
          <w:tcPr>
            <w:tcW w:type="dxa" w:w="3000"/>
            <w:tcBorders>
              <w:top w:val="single" w:color="999999" w:sz="1"/>
              <w:left w:val="single" w:color="999999" w:sz="1"/>
              <w:bottom w:val="single" w:color="999999" w:sz="1"/>
              <w:right w:val="single" w:color="999999" w:sz="1"/>
            </w:tcBorders>
          </w:tcPr>
          <w:p>
            <w:r>
              <w:rPr>
                <w:b w:val="false"/>
                <w:bCs w:val="false"/>
              </w:rPr>
              <w:t xml:space="preserve">38.888%</w:t>
            </w:r>
          </w:p>
        </w:tc>
        <w:tc>
          <w:tcPr>
            <w:tcW w:type="dxa" w:w="3000"/>
            <w:tcBorders>
              <w:top w:val="single" w:color="999999" w:sz="1"/>
              <w:left w:val="single" w:color="999999" w:sz="1"/>
              <w:bottom w:val="single" w:color="999999" w:sz="1"/>
              <w:right w:val="single" w:color="999999" w:sz="1"/>
            </w:tcBorders>
          </w:tcPr>
          <w:p>
            <w:r>
              <w:rPr>
                <w:b w:val="false"/>
                <w:bCs w:val="false"/>
              </w:rPr>
              <w:t xml:space="preserve">For future community rewards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Core Contributors</w:t>
            </w:r>
          </w:p>
        </w:tc>
        <w:tc>
          <w:tcPr>
            <w:tcW w:type="dxa" w:w="3000"/>
            <w:tcBorders>
              <w:top w:val="single" w:color="999999" w:sz="1"/>
              <w:left w:val="single" w:color="999999" w:sz="1"/>
              <w:bottom w:val="single" w:color="999999" w:sz="1"/>
              <w:right w:val="single" w:color="999999" w:sz="1"/>
            </w:tcBorders>
          </w:tcPr>
          <w:p>
            <w:r>
              <w:rPr>
                <w:b w:val="false"/>
                <w:bCs w:val="false"/>
              </w:rPr>
              <w:t xml:space="preserve">23.8%</w:t>
            </w:r>
          </w:p>
        </w:tc>
        <w:tc>
          <w:tcPr>
            <w:tcW w:type="dxa" w:w="3000"/>
            <w:tcBorders>
              <w:top w:val="single" w:color="999999" w:sz="1"/>
              <w:left w:val="single" w:color="999999" w:sz="1"/>
              <w:bottom w:val="single" w:color="999999" w:sz="1"/>
              <w:right w:val="single" w:color="999999" w:sz="1"/>
            </w:tcBorders>
          </w:tcPr>
          <w:p>
            <w:r>
              <w:rPr>
                <w:b w:val="false"/>
                <w:bCs w:val="false"/>
              </w:rPr>
              <w:t xml:space="preserve">Subject to vesting schedules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Hyper Foundation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6.0%</w:t>
            </w:r>
          </w:p>
        </w:tc>
        <w:tc>
          <w:tcPr>
            <w:tcW w:type="dxa" w:w="3000"/>
            <w:tcBorders>
              <w:top w:val="single" w:color="999999" w:sz="1"/>
              <w:left w:val="single" w:color="999999" w:sz="1"/>
              <w:bottom w:val="single" w:color="999999" w:sz="1"/>
              <w:right w:val="single" w:color="999999" w:sz="1"/>
            </w:tcBorders>
          </w:tcPr>
          <w:p>
            <w:r>
              <w:rPr>
                <w:b w:val="false"/>
                <w:bCs w:val="false"/>
              </w:rPr>
              <w:t xml:space="preserve">Foundation operations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Community Grants</w:t>
            </w:r>
          </w:p>
        </w:tc>
        <w:tc>
          <w:tcPr>
            <w:tcW w:type="dxa" w:w="3000"/>
            <w:tcBorders>
              <w:top w:val="single" w:color="999999" w:sz="1"/>
              <w:left w:val="single" w:color="999999" w:sz="1"/>
              <w:bottom w:val="single" w:color="999999" w:sz="1"/>
              <w:right w:val="single" w:color="999999" w:sz="1"/>
            </w:tcBorders>
          </w:tcPr>
          <w:p>
            <w:r>
              <w:rPr>
                <w:b w:val="false"/>
                <w:bCs w:val="false"/>
              </w:rPr>
              <w:t xml:space="preserve">0.3%</w:t>
            </w:r>
          </w:p>
        </w:tc>
        <w:tc>
          <w:tcPr>
            <w:tcW w:type="dxa" w:w="3000"/>
            <w:tcBorders>
              <w:top w:val="single" w:color="999999" w:sz="1"/>
              <w:left w:val="single" w:color="999999" w:sz="1"/>
              <w:bottom w:val="single" w:color="999999" w:sz="1"/>
              <w:right w:val="single" w:color="999999" w:sz="1"/>
            </w:tcBorders>
          </w:tcPr>
          <w:p>
            <w:r>
              <w:rPr>
                <w:b w:val="false"/>
                <w:bCs w:val="false"/>
              </w:rPr>
              <w:t xml:space="preserve">Ecosystem grants</w:t>
            </w:r>
          </w:p>
        </w:tc>
      </w:tr>
    </w:tbl>
    <w:p>
      <w:pPr>
        <w:spacing w:after="100"/>
      </w:pPr>
      <w:r>
        <w:t xml:space="preserve">Current circulating: ~333M HYPE (~33.3% of max supply)</w:t>
      </w:r>
    </w:p>
    <w:p>
      <w:pPr>
        <w:spacing w:after="100"/>
      </w:pPr>
      <w:r>
        <w:t xml:space="preserve">Max supply: 1,000,000,000 HYPE</w:t>
      </w:r>
    </w:p>
    <w:p>
      <w:pPr>
        <w:spacing w:after="100"/>
      </w:pPr>
      <w:r>
        <w:t xml:space="preserve">Inflation rate: No inflation; fixed supply with distribution schedule</w:t>
      </w:r>
    </w:p>
    <w:p>
      <w:pPr>
        <w:spacing w:after="100"/>
      </w:pPr>
      <w:r>
        <w:t xml:space="preserve">Upcoming unlocks: Core contributor tokens subject to multi-year vesting. Future community emissions (38.888%) to be distributed over time. Specific schedules not fully disclosed.</w:t>
      </w:r>
    </w:p>
    <w:p>
      <w:pPr>
        <w:spacing w:after="100"/>
      </w:pPr>
      <w:r>
        <w:rPr>
          <w:b/>
          <w:bCs/>
        </w:rPr>
        <w:t xml:space="preserve">Value Accrual</w:t>
      </w:r>
    </w:p>
    <w:p>
      <w:pPr>
        <w:spacing w:after="100"/>
      </w:pPr>
      <w:r>
        <w:t xml:space="preserve">Hyperliquid accrues value through: (1) Trading fees — the platform generates significant fee revenue from its dominant perp volume; (2) Assistance Fund — protocol profits are used to buy back HYPE; (3) HIP-1 token launches — new tokens listing on Hyperliquid generate ecosystem activity and potential fees; (4) Growing spot trading via HIP-2 liquidity mechanisms. The Assistance Fund has been a consistent buyer of HYPE with protocol revenue.</w:t>
      </w:r>
    </w:p>
    <w:p>
      <w:pPr>
        <w:spacing w:before="200" w:after="200"/>
      </w:pPr>
      <w:r>
        <w:t xml:space="preserve">═══════════════════════════════════════════════════════════════════</w:t>
      </w:r>
    </w:p>
    <w:p>
      <w:pPr>
        <w:pStyle w:val="Heading2"/>
        <w:spacing w:before="300" w:after="100"/>
      </w:pPr>
      <w:r>
        <w:rPr>
          <w:b/>
          <w:bCs/>
        </w:rPr>
        <w:t xml:space="preserve">TEAM &amp; BACKERS</w:t>
      </w:r>
    </w:p>
    <w:p>
      <w:pPr>
        <w:spacing w:before="100" w:after="100"/>
      </w:pPr>
      <w:r>
        <w:t xml:space="preserve">───────────────────────────────────────────────────────────────────</w:t>
      </w:r>
    </w:p>
    <w:p>
      <w:pPr>
        <w:spacing w:after="100"/>
      </w:pPr>
      <w:r>
        <w:rPr>
          <w:b/>
          <w:bCs/>
        </w:rPr>
        <w:t xml:space="preserve">Team</w:t>
      </w:r>
    </w:p>
    <w:p>
      <w:pPr>
        <w:spacing w:after="100"/>
      </w:pPr>
      <w:r>
        <w:t xml:space="preserve">Founded by Jeff Yan (Harvard math/CS, ex-Hudson River Trading quantitative trader) and a team of former quantitative traders and engineers. The team is relatively small and private but doxxed. They built the protocol without VC funding, self-funding development. The Hyper Foundation was established to manage the ecosystem post-launch.</w:t>
      </w:r>
    </w:p>
    <w:p>
      <w:pPr>
        <w:spacing w:after="100"/>
      </w:pPr>
      <w:r>
        <w:rPr>
          <w:b/>
          <w:bCs/>
        </w:rPr>
        <w:t xml:space="preserve">Investors</w:t>
      </w:r>
    </w:p>
    <w:p>
      <w:pPr>
        <w:spacing w:after="100"/>
      </w:pPr>
      <w:r>
        <w:t xml:space="preserve">Zero VC funding — one of the most notable bootstrapped projects in crypto history. The project was entirely self-funded by the founding team. This is a key differentiator, as there are no VC unlock schedules creating selling pressure.</w:t>
      </w:r>
    </w:p>
    <w:p>
      <w:pPr>
        <w:spacing w:after="100"/>
      </w:pPr>
      <w:r>
        <w:rPr>
          <w:b/>
          <w:bCs/>
        </w:rPr>
        <w:t xml:space="preserve">Community &amp; Governance</w:t>
      </w:r>
    </w:p>
    <w:p>
      <w:pPr>
        <w:spacing w:after="100"/>
      </w:pPr>
      <w:r>
        <w:t xml:space="preserve">Twitter @HyperliquidX: 500K+ followers. Discord: active trading community. The November 2024 genesis airdrop was one of the largest in crypto history, distributing tokens to early users based on trading activity. Strong loyalty among power users due to the 'no VC' ethos. Hyperliquid consistently ranks #1 in on-chain perp DEX volume.</w:t>
      </w:r>
    </w:p>
    <w:p>
      <w:pPr>
        <w:spacing w:before="200" w:after="200"/>
      </w:pPr>
      <w:r>
        <w:t xml:space="preserve">═══════════════════════════════════════════════════════════════════</w:t>
      </w:r>
    </w:p>
    <w:p>
      <w:pPr>
        <w:pStyle w:val="Heading2"/>
        <w:spacing w:before="300" w:after="100"/>
      </w:pPr>
      <w:r>
        <w:rPr>
          <w:b/>
          <w:bCs/>
        </w:rPr>
        <w:t xml:space="preserve">RISKS</w:t>
      </w:r>
    </w:p>
    <w:p>
      <w:pPr>
        <w:spacing w:before="100" w:after="100"/>
      </w:pPr>
      <w:r>
        <w:t xml:space="preserve">───────────────────────────────────────────────────────────────────</w:t>
      </w:r>
    </w:p>
    <w:p>
      <w:pPr>
        <w:spacing w:after="100"/>
      </w:pPr>
      <w:r>
        <w:rPr>
          <w:b/>
          <w:bCs/>
        </w:rPr>
        <w:t xml:space="preserve">Validator Centralization (HIGH)</w:t>
      </w:r>
    </w:p>
    <w:p>
      <w:pPr>
        <w:spacing w:after="100"/>
      </w:pPr>
      <w:r>
        <w:t xml:space="preserve">The Hyperliquid L1 currently operates with a small validator set controlled primarily by the team. Progressive decentralization is planned but not yet achieved. A compromise of validators could affect the entire platform.</w:t>
      </w:r>
    </w:p>
    <w:p>
      <w:pPr>
        <w:spacing w:after="100"/>
      </w:pPr>
      <w:r>
        <w:rPr>
          <w:b/>
          <w:bCs/>
        </w:rPr>
        <w:t xml:space="preserve">Regulatory Risk (HIGH)</w:t>
      </w:r>
    </w:p>
    <w:p>
      <w:pPr>
        <w:spacing w:after="100"/>
      </w:pPr>
      <w:r>
        <w:t xml:space="preserve">Perpetual futures are regulated products in most jurisdictions. Hyperliquid operates without traditional financial licenses. Increased regulatory scrutiny of DeFi derivatives could impact operations.</w:t>
      </w:r>
    </w:p>
    <w:p>
      <w:pPr>
        <w:spacing w:after="100"/>
      </w:pPr>
      <w:r>
        <w:rPr>
          <w:b/>
          <w:bCs/>
        </w:rPr>
        <w:t xml:space="preserve">Competition (MEDIUM)</w:t>
      </w:r>
    </w:p>
    <w:p>
      <w:pPr>
        <w:spacing w:after="100"/>
      </w:pPr>
      <w:r>
        <w:t xml:space="preserve">Centralized exchanges continue to dominate perp volume. New entrants like Lighter (ZK-proven matching) and improved dYdX could erode market share. CEX-DEX convergence is accelerating.</w:t>
      </w:r>
    </w:p>
    <w:p>
      <w:pPr>
        <w:spacing w:after="100"/>
      </w:pPr>
      <w:r>
        <w:rPr>
          <w:b/>
          <w:bCs/>
        </w:rPr>
        <w:t xml:space="preserve">Smart Contract / L1 Risk (MEDIUM)</w:t>
      </w:r>
    </w:p>
    <w:p>
      <w:pPr>
        <w:spacing w:after="100"/>
      </w:pPr>
      <w:r>
        <w:t xml:space="preserve">As a custom L1, Hyperliquid's codebase has less battle-testing than established chains. A critical bug could result in loss of user funds.</w:t>
      </w:r>
    </w:p>
    <w:p>
      <w:pPr>
        <w:spacing w:before="200" w:after="200"/>
      </w:pPr>
      <w:r>
        <w:t xml:space="preserve">═══════════════════════════════════════════════════════════════════</w:t>
      </w:r>
    </w:p>
    <w:p>
      <w:pPr>
        <w:pStyle w:val="Heading2"/>
        <w:spacing w:before="300" w:after="100"/>
      </w:pPr>
      <w:r>
        <w:rPr>
          <w:b/>
          <w:bCs/>
        </w:rPr>
        <w:t xml:space="preserve">CATALYSTS &amp; TIMELINE</w:t>
      </w:r>
    </w:p>
    <w:p>
      <w:pPr>
        <w:spacing w:before="100" w:after="10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Catalyst</w:t>
            </w:r>
          </w:p>
        </w:tc>
        <w:tc>
          <w:tcPr>
            <w:tcW w:type="dxa" w:w="3000"/>
            <w:tcBorders>
              <w:top w:val="single" w:color="999999" w:sz="1"/>
              <w:left w:val="single" w:color="999999" w:sz="1"/>
              <w:bottom w:val="single" w:color="999999" w:sz="1"/>
              <w:right w:val="single" w:color="999999" w:sz="1"/>
            </w:tcBorders>
          </w:tcPr>
          <w:p>
            <w:r>
              <w:rPr>
                <w:b/>
                <w:bCs/>
              </w:rPr>
              <w:t xml:space="preserve">Expected</w:t>
            </w:r>
          </w:p>
        </w:tc>
        <w:tc>
          <w:tcPr>
            <w:tcW w:type="dxa" w:w="3000"/>
            <w:tcBorders>
              <w:top w:val="single" w:color="999999" w:sz="1"/>
              <w:left w:val="single" w:color="999999" w:sz="1"/>
              <w:bottom w:val="single" w:color="999999" w:sz="1"/>
              <w:right w:val="single" w:color="999999" w:sz="1"/>
            </w:tcBorders>
          </w:tcPr>
          <w:p>
            <w:r>
              <w:rPr>
                <w:b/>
                <w:bCs/>
              </w:rPr>
              <w:t xml:space="preserve">Impact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HyperEVM Launch</w:t>
            </w:r>
          </w:p>
        </w:tc>
        <w:tc>
          <w:tcPr>
            <w:tcW w:type="dxa" w:w="3000"/>
            <w:tcBorders>
              <w:top w:val="single" w:color="999999" w:sz="1"/>
              <w:left w:val="single" w:color="999999" w:sz="1"/>
              <w:bottom w:val="single" w:color="999999" w:sz="1"/>
              <w:right w:val="single" w:color="999999" w:sz="1"/>
            </w:tcBorders>
          </w:tcPr>
          <w:p>
            <w:r>
              <w:rPr>
                <w:b w:val="false"/>
                <w:bCs w:val="false"/>
              </w:rPr>
              <w:t xml:space="preserve">Q1 2026</w:t>
            </w:r>
          </w:p>
        </w:tc>
        <w:tc>
          <w:tcPr>
            <w:tcW w:type="dxa" w:w="3000"/>
            <w:tcBorders>
              <w:top w:val="single" w:color="999999" w:sz="1"/>
              <w:left w:val="single" w:color="999999" w:sz="1"/>
              <w:bottom w:val="single" w:color="999999" w:sz="1"/>
              <w:right w:val="single" w:color="999999" w:sz="1"/>
            </w:tcBorders>
          </w:tcPr>
          <w:p>
            <w:r>
              <w:rPr>
                <w:b w:val="false"/>
                <w:bCs w:val="false"/>
              </w:rPr>
              <w:t xml:space="preserve">EVM-compatible execution environment enabling broader DeFi ecosystem on Hyperliquid</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Validator Decentralization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2026</w:t>
            </w:r>
          </w:p>
        </w:tc>
        <w:tc>
          <w:tcPr>
            <w:tcW w:type="dxa" w:w="3000"/>
            <w:tcBorders>
              <w:top w:val="single" w:color="999999" w:sz="1"/>
              <w:left w:val="single" w:color="999999" w:sz="1"/>
              <w:bottom w:val="single" w:color="999999" w:sz="1"/>
              <w:right w:val="single" w:color="999999" w:sz="1"/>
            </w:tcBorders>
          </w:tcPr>
          <w:p>
            <w:r>
              <w:rPr>
                <w:b w:val="false"/>
                <w:bCs w:val="false"/>
              </w:rPr>
              <w:t xml:space="preserve">Expanding validator set to improve decentralization and network resilience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Ecosystem Growth (HIP-1/HIP-2)</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New token launches and spot trading growing the platform beyond perps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Institutional Adoption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2025-2026</w:t>
            </w:r>
          </w:p>
        </w:tc>
        <w:tc>
          <w:tcPr>
            <w:tcW w:type="dxa" w:w="3000"/>
            <w:tcBorders>
              <w:top w:val="single" w:color="999999" w:sz="1"/>
              <w:left w:val="single" w:color="999999" w:sz="1"/>
              <w:bottom w:val="single" w:color="999999" w:sz="1"/>
              <w:right w:val="single" w:color="999999" w:sz="1"/>
            </w:tcBorders>
          </w:tcPr>
          <w:p>
            <w:r>
              <w:rPr>
                <w:b w:val="false"/>
                <w:bCs w:val="false"/>
              </w:rPr>
              <w:t xml:space="preserve">Increasing institutional interest in on-chain derivatives</w:t>
            </w:r>
          </w:p>
        </w:tc>
      </w:tr>
    </w:tbl>
    <w:p>
      <w:pPr>
        <w:spacing w:before="200" w:after="200"/>
      </w:pPr>
      <w:r>
        <w:t xml:space="preserve">═══════════════════════════════════════════════════════════════════</w:t>
      </w:r>
    </w:p>
    <w:p>
      <w:pPr>
        <w:pStyle w:val="Heading2"/>
        <w:spacing w:before="300" w:after="100"/>
      </w:pPr>
      <w:r>
        <w:rPr>
          <w:b/>
          <w:bCs/>
        </w:rPr>
        <w:t xml:space="preserve">SOURCES</w:t>
      </w:r>
    </w:p>
    <w:p>
      <w:pPr>
        <w:spacing w:before="100" w:after="100"/>
      </w:pPr>
      <w:r>
        <w:t xml:space="preserve">───────────────────────────────────────────────────────────────────</w:t>
      </w:r>
    </w:p>
    <w:p>
      <w:pPr>
        <w:spacing w:after="50"/>
      </w:pPr>
      <w:r>
        <w:t xml:space="preserve">• CoinGecko API — Market data (accessed Jan 2026)</w:t>
      </w:r>
    </w:p>
    <w:p>
      <w:pPr>
        <w:spacing w:after="50"/>
      </w:pPr>
      <w:r>
        <w:t xml:space="preserve">• Hyperliquid Docs (hyperliquid.gitbook.io)</w:t>
      </w:r>
    </w:p>
    <w:p>
      <w:pPr>
        <w:spacing w:after="50"/>
      </w:pPr>
      <w:r>
        <w:t xml:space="preserve">• Hyper Foundation (hyperfoundation.org)</w:t>
      </w:r>
    </w:p>
    <w:p>
      <w:pPr>
        <w:spacing w:after="50"/>
      </w:pPr>
      <w:r>
        <w:t xml:space="preserve">• DefiLlama — Perp DEX volume rankings</w:t>
      </w:r>
    </w:p>
    <w:p>
      <w:pPr>
        <w:spacing w:after="50"/>
      </w:pPr>
      <w:r>
        <w:t xml:space="preserve">• Messari — Hyperliquid research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2026-01-27T18:04:51.139Z</dcterms:created>
  <dcterms:modified xsi:type="dcterms:W3CDTF">2026-01-27T18:04:51.139Z</dcterms:modified>
</cp:coreProperties>
</file>

<file path=docProps/custom.xml><?xml version="1.0" encoding="utf-8"?>
<Properties xmlns="http://schemas.openxmlformats.org/officeDocument/2006/custom-properties" xmlns:vt="http://schemas.openxmlformats.org/officeDocument/2006/docPropsVTypes"/>
</file>