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00" w:after="100"/>
      </w:pPr>
      <w:r>
        <w:rPr>
          <w:b/>
          <w:bCs/>
        </w:rPr>
        <w:t xml:space="preserve">NOMAD RESEARCH — DEEP DIVE</w:t>
      </w:r>
    </w:p>
    <w:p>
      <w:pPr>
        <w:spacing w:after="100"/>
      </w:pPr>
      <w:r>
        <w:t xml:space="preserve">Protocol: Umbra</w:t>
      </w:r>
    </w:p>
    <w:p>
      <w:pPr>
        <w:spacing w:after="100"/>
      </w:pPr>
      <w:r>
        <w:t xml:space="preserve">Ticker: TBD</w:t>
      </w:r>
    </w:p>
    <w:p>
      <w:pPr>
        <w:spacing w:after="100"/>
      </w:pPr>
      <w:r>
        <w:t xml:space="preserve">Chain: Ethereum</w:t>
      </w:r>
    </w:p>
    <w:p>
      <w:pPr>
        <w:spacing w:after="100"/>
      </w:pPr>
      <w:r>
        <w:t xml:space="preserve">Category: Privacy</w:t>
      </w:r>
    </w:p>
    <w:p>
      <w:pPr>
        <w:spacing w:after="100"/>
      </w:pPr>
      <w:r>
        <w:t xml:space="preserve">Date: 2026-01-27</w:t>
      </w:r>
    </w:p>
    <w:p>
      <w:pPr>
        <w:spacing w:after="100"/>
      </w:pPr>
      <w:r>
        <w:t xml:space="preserve">Status: Shortlist</w:t>
      </w:r>
    </w:p>
    <w:p>
      <w:pPr>
        <w:spacing w:before="200" w:after="200"/>
      </w:pPr>
      <w:r>
        <w:t xml:space="preserve">═══════════════════════════════════════════════════════════════════</w:t>
      </w:r>
    </w:p>
    <w:p>
      <w:pPr>
        <w:pStyle w:val="Heading2"/>
        <w:spacing w:before="300" w:after="100"/>
      </w:pPr>
      <w:r>
        <w:rPr>
          <w:b/>
          <w:bCs/>
        </w:rPr>
        <w:t xml:space="preserve">EXECUTIVE SUMMARY</w:t>
      </w:r>
    </w:p>
    <w:p>
      <w:pPr>
        <w:spacing w:before="100" w:after="100"/>
      </w:pPr>
      <w:r>
        <w:t xml:space="preserve">───────────────────────────────────────────────────────────────────</w:t>
      </w:r>
    </w:p>
    <w:p>
      <w:pPr>
        <w:spacing w:after="100"/>
      </w:pPr>
      <w:r>
        <w:t xml:space="preserve">Umbra is a stealth address protocol deployed on Ethereum and EVM-compatible chains that enables private payments. Using cryptographic stealth addresses, senders can transfer ETH and ERC-20 tokens to recipients without publicly linking the sender and receiver addresses on-chain. Umbra was developed by ScopeLift and does not currently have a token.</w:t>
      </w:r>
    </w:p>
    <w:p>
      <w:pPr>
        <w:spacing w:before="200" w:after="200"/>
      </w:pPr>
      <w:r>
        <w:t xml:space="preserve">═══════════════════════════════════════════════════════════════════</w:t>
      </w:r>
    </w:p>
    <w:p>
      <w:pPr>
        <w:pStyle w:val="Heading2"/>
        <w:spacing w:before="300" w:after="100"/>
      </w:pPr>
      <w:r>
        <w:rPr>
          <w:b/>
          <w:bCs/>
        </w:rPr>
        <w:t xml:space="preserve">THE OPPORTUNITY</w:t>
      </w:r>
    </w:p>
    <w:p>
      <w:pPr>
        <w:spacing w:before="100" w:after="100"/>
      </w:pPr>
      <w:r>
        <w:t xml:space="preserve">───────────────────────────────────────────────────────────────────</w:t>
      </w:r>
    </w:p>
    <w:p>
      <w:pPr>
        <w:spacing w:after="100"/>
      </w:pPr>
      <w:r>
        <w:rPr>
          <w:b/>
          <w:bCs/>
        </w:rPr>
        <w:t xml:space="preserve">What is Umbra?</w:t>
      </w:r>
    </w:p>
    <w:p>
      <w:pPr>
        <w:spacing w:after="100"/>
      </w:pPr>
      <w:r>
        <w:t xml:space="preserve">Umbra is a privacy protocol that implements stealth addresses on Ethereum and other EVM chains. A stealth address system allows a sender to create a one-time address for each transaction that only the intended recipient can access, breaking the on-chain link between sender and receiver. Unlike mixing protocols (Tornado Cash), Umbra doesn't pool funds — each payment goes directly to a unique stealth address. This approach is simpler, more gas-efficient, and avoids the regulatory complications associated with mixing services. Vitalik Buterin has publicly endorsed stealth addresses as a practical privacy solution for Ethereum.</w:t>
      </w:r>
    </w:p>
    <w:p>
      <w:pPr>
        <w:spacing w:after="100"/>
      </w:pPr>
      <w:r>
        <w:rPr>
          <w:b/>
          <w:bCs/>
        </w:rPr>
        <w:t xml:space="preserve">The Market</w:t>
      </w:r>
    </w:p>
    <w:p>
      <w:pPr>
        <w:spacing w:after="100"/>
      </w:pPr>
      <w:r>
        <w:t xml:space="preserve">Blockchain privacy is a growing concern as on-chain analytics tools become more sophisticated. The privacy protocol market includes Tornado Cash (sanctioned by OFAC, limited usage), Aztec Network (ZK-based privacy layer), Railgun (privacy for DeFi), and Secret Network (privacy L1). Stealth addresses represent a more lightweight, targeted privacy approach compared to full-chain privacy solutions. The TAM includes all Ethereum users who want basic transactional privacy.</w:t>
      </w:r>
    </w:p>
    <w:p>
      <w:pPr>
        <w:spacing w:before="200" w:after="200"/>
      </w:pPr>
      <w:r>
        <w:t xml:space="preserve">═══════════════════════════════════════════════════════════════════</w:t>
      </w:r>
    </w:p>
    <w:p>
      <w:pPr>
        <w:pStyle w:val="Heading2"/>
        <w:spacing w:before="300" w:after="100"/>
      </w:pPr>
      <w:r>
        <w:rPr>
          <w:b/>
          <w:bCs/>
        </w:rPr>
        <w:t xml:space="preserve">THE PROTOCOL</w:t>
      </w:r>
    </w:p>
    <w:p>
      <w:pPr>
        <w:spacing w:before="100" w:after="100"/>
      </w:pPr>
      <w:r>
        <w:t xml:space="preserve">───────────────────────────────────────────────────────────────────</w:t>
      </w:r>
    </w:p>
    <w:p>
      <w:pPr>
        <w:spacing w:after="100"/>
      </w:pPr>
      <w:r>
        <w:rPr>
          <w:b/>
          <w:bCs/>
        </w:rPr>
        <w:t xml:space="preserve">How It Works</w:t>
      </w:r>
    </w:p>
    <w:p>
      <w:pPr>
        <w:spacing w:after="100"/>
      </w:pPr>
      <w:r>
        <w:t xml:space="preserve">Umbra protocol mechanics: (1) Recipients register a stealth meta-address by publishing a public key to Umbra's on-chain registry; (2) Senders use the recipient's stealth meta-address to generate a one-time stealth address using elliptic curve Diffie-Hellman (ECDH); (3) Funds are sent to the unique stealth address; (4) The sender publishes an ephemeral public key on-chain; (5) The recipient scans announcements, uses their private key to derive the corresponding stealth address private key, and can access the funds; (6) A relayer system allows recipients to withdraw without connecting to their main address, preserving privacy for gas payments.</w:t>
      </w:r>
    </w:p>
    <w:p>
      <w:pPr>
        <w:spacing w:after="100"/>
      </w:pPr>
      <w:r>
        <w:rPr>
          <w:b/>
          <w:bCs/>
        </w:rPr>
        <w:t xml:space="preserve">Competitive Advantage</w:t>
      </w:r>
    </w:p>
    <w:p>
      <w:pPr>
        <w:spacing w:after="100"/>
      </w:pPr>
      <w:r>
        <w:t xml:space="preserve">Key advantages: (1) Simplicity — stealth addresses are conceptually and technically simpler than zero-knowledge mixing; (2) Regulatory clarity — not a mixer or tumbler; funds flow directly between sender and unique receiver address; (3) Vitalik endorsement — stealth addresses are on Ethereum's privacy roadmap (EIP-5564); (4) Non-custodial — users maintain full control of funds; (5) Multi-chain — deployed on Ethereum, Polygon, Optimism, Arbitrum, and other EVM chains; (6) Gas efficient — no complex ZK proof generation required.</w:t>
      </w:r>
    </w:p>
    <w:p>
      <w:pPr>
        <w:spacing w:after="100"/>
      </w:pPr>
      <w:r>
        <w:rPr>
          <w:b/>
          <w:bCs/>
        </w:rPr>
        <w:t xml:space="preserve">Traction &amp;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999999" w:sz="1"/>
              <w:left w:val="single" w:color="999999" w:sz="1"/>
              <w:bottom w:val="single" w:color="999999" w:sz="1"/>
              <w:right w:val="single" w:color="999999" w:sz="1"/>
            </w:tcBorders>
          </w:tcPr>
          <w:p>
            <w:r>
              <w:rPr>
                <w:b/>
                <w:bCs/>
              </w:rPr>
              <w:t xml:space="preserve">Metric</w:t>
            </w:r>
          </w:p>
        </w:tc>
        <w:tc>
          <w:tcPr>
            <w:tcW w:type="dxa" w:w="3000"/>
            <w:tcBorders>
              <w:top w:val="single" w:color="999999" w:sz="1"/>
              <w:left w:val="single" w:color="999999" w:sz="1"/>
              <w:bottom w:val="single" w:color="999999" w:sz="1"/>
              <w:right w:val="single" w:color="999999" w:sz="1"/>
            </w:tcBorders>
          </w:tcPr>
          <w:p>
            <w:r>
              <w:rPr>
                <w:b/>
                <w:bCs/>
              </w:rPr>
              <w:t xml:space="preserve">Value</w:t>
            </w:r>
          </w:p>
        </w:tc>
        <w:tc>
          <w:tcPr>
            <w:tcW w:type="dxa" w:w="3000"/>
            <w:tcBorders>
              <w:top w:val="single" w:color="999999" w:sz="1"/>
              <w:left w:val="single" w:color="999999" w:sz="1"/>
              <w:bottom w:val="single" w:color="999999" w:sz="1"/>
              <w:right w:val="single" w:color="999999" w:sz="1"/>
            </w:tcBorders>
          </w:tcPr>
          <w:p>
            <w:r>
              <w:rPr>
                <w:b/>
                <w:bCs/>
              </w:rPr>
              <w:t xml:space="preserve">Context</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Token</w:t>
            </w:r>
          </w:p>
        </w:tc>
        <w:tc>
          <w:tcPr>
            <w:tcW w:type="dxa" w:w="3000"/>
            <w:tcBorders>
              <w:top w:val="single" w:color="999999" w:sz="1"/>
              <w:left w:val="single" w:color="999999" w:sz="1"/>
              <w:bottom w:val="single" w:color="999999" w:sz="1"/>
              <w:right w:val="single" w:color="999999" w:sz="1"/>
            </w:tcBorders>
          </w:tcPr>
          <w:p>
            <w:r>
              <w:rPr>
                <w:b w:val="false"/>
                <w:bCs w:val="false"/>
              </w:rPr>
              <w:t xml:space="preserve">No token (TBD)</w:t>
            </w:r>
          </w:p>
        </w:tc>
        <w:tc>
          <w:tcPr>
            <w:tcW w:type="dxa" w:w="3000"/>
            <w:tcBorders>
              <w:top w:val="single" w:color="999999" w:sz="1"/>
              <w:left w:val="single" w:color="999999" w:sz="1"/>
              <w:bottom w:val="single" w:color="999999" w:sz="1"/>
              <w:right w:val="single" w:color="999999" w:sz="1"/>
            </w:tcBorders>
          </w:tcPr>
          <w:p>
            <w:r>
              <w:rPr>
                <w:b w:val="false"/>
                <w:bCs w:val="false"/>
              </w:rPr>
              <w:t xml:space="preserve">No token currently; potential future issuance</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Chains Supported</w:t>
            </w:r>
          </w:p>
        </w:tc>
        <w:tc>
          <w:tcPr>
            <w:tcW w:type="dxa" w:w="3000"/>
            <w:tcBorders>
              <w:top w:val="single" w:color="999999" w:sz="1"/>
              <w:left w:val="single" w:color="999999" w:sz="1"/>
              <w:bottom w:val="single" w:color="999999" w:sz="1"/>
              <w:right w:val="single" w:color="999999" w:sz="1"/>
            </w:tcBorders>
          </w:tcPr>
          <w:p>
            <w:r>
              <w:rPr>
                <w:b w:val="false"/>
                <w:bCs w:val="false"/>
              </w:rPr>
              <w:t xml:space="preserve">Ethereum, Polygon, Optimism, Arbitrum, Gnosis</w:t>
            </w:r>
          </w:p>
        </w:tc>
        <w:tc>
          <w:tcPr>
            <w:tcW w:type="dxa" w:w="3000"/>
            <w:tcBorders>
              <w:top w:val="single" w:color="999999" w:sz="1"/>
              <w:left w:val="single" w:color="999999" w:sz="1"/>
              <w:bottom w:val="single" w:color="999999" w:sz="1"/>
              <w:right w:val="single" w:color="999999" w:sz="1"/>
            </w:tcBorders>
          </w:tcPr>
          <w:p>
            <w:r>
              <w:rPr>
                <w:b w:val="false"/>
                <w:bCs w:val="false"/>
              </w:rPr>
              <w:t xml:space="preserve">Multi-chain EVM deployment</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Total Transactions</w:t>
            </w:r>
          </w:p>
        </w:tc>
        <w:tc>
          <w:tcPr>
            <w:tcW w:type="dxa" w:w="3000"/>
            <w:tcBorders>
              <w:top w:val="single" w:color="999999" w:sz="1"/>
              <w:left w:val="single" w:color="999999" w:sz="1"/>
              <w:bottom w:val="single" w:color="999999" w:sz="1"/>
              <w:right w:val="single" w:color="999999" w:sz="1"/>
            </w:tcBorders>
          </w:tcPr>
          <w:p>
            <w:r>
              <w:rPr>
                <w:b w:val="false"/>
                <w:bCs w:val="false"/>
              </w:rPr>
              <w:t xml:space="preserve">[Data not available]</w:t>
            </w:r>
          </w:p>
        </w:tc>
        <w:tc>
          <w:tcPr>
            <w:tcW w:type="dxa" w:w="3000"/>
            <w:tcBorders>
              <w:top w:val="single" w:color="999999" w:sz="1"/>
              <w:left w:val="single" w:color="999999" w:sz="1"/>
              <w:bottom w:val="single" w:color="999999" w:sz="1"/>
              <w:right w:val="single" w:color="999999" w:sz="1"/>
            </w:tcBorders>
          </w:tcPr>
          <w:p>
            <w:r>
              <w:rPr>
                <w:b w:val="false"/>
                <w:bCs w:val="false"/>
              </w:rPr>
              <w:t xml:space="preserve">Growing usage</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Protocol Revenue</w:t>
            </w:r>
          </w:p>
        </w:tc>
        <w:tc>
          <w:tcPr>
            <w:tcW w:type="dxa" w:w="3000"/>
            <w:tcBorders>
              <w:top w:val="single" w:color="999999" w:sz="1"/>
              <w:left w:val="single" w:color="999999" w:sz="1"/>
              <w:bottom w:val="single" w:color="999999" w:sz="1"/>
              <w:right w:val="single" w:color="999999" w:sz="1"/>
            </w:tcBorders>
          </w:tcPr>
          <w:p>
            <w:r>
              <w:rPr>
                <w:b w:val="false"/>
                <w:bCs w:val="false"/>
              </w:rPr>
              <w:t xml:space="preserve">Minimal / None</w:t>
            </w:r>
          </w:p>
        </w:tc>
        <w:tc>
          <w:tcPr>
            <w:tcW w:type="dxa" w:w="3000"/>
            <w:tcBorders>
              <w:top w:val="single" w:color="999999" w:sz="1"/>
              <w:left w:val="single" w:color="999999" w:sz="1"/>
              <w:bottom w:val="single" w:color="999999" w:sz="1"/>
              <w:right w:val="single" w:color="999999" w:sz="1"/>
            </w:tcBorders>
          </w:tcPr>
          <w:p>
            <w:r>
              <w:rPr>
                <w:b w:val="false"/>
                <w:bCs w:val="false"/>
              </w:rPr>
              <w:t xml:space="preserve">Open-source public good</w:t>
            </w:r>
          </w:p>
        </w:tc>
      </w:tr>
    </w:tbl>
    <w:p>
      <w:pPr>
        <w:spacing w:before="200" w:after="200"/>
      </w:pPr>
      <w:r>
        <w:t xml:space="preserve">═══════════════════════════════════════════════════════════════════</w:t>
      </w:r>
    </w:p>
    <w:p>
      <w:pPr>
        <w:pStyle w:val="Heading2"/>
        <w:spacing w:before="300" w:after="100"/>
      </w:pPr>
      <w:r>
        <w:rPr>
          <w:b/>
          <w:bCs/>
        </w:rPr>
        <w:t xml:space="preserve">TOKENOMICS</w:t>
      </w:r>
    </w:p>
    <w:p>
      <w:pPr>
        <w:spacing w:before="100" w:after="100"/>
      </w:pPr>
      <w:r>
        <w:t xml:space="preserve">───────────────────────────────────────────────────────────────────</w:t>
      </w:r>
    </w:p>
    <w:p>
      <w:pPr>
        <w:spacing w:after="100"/>
      </w:pPr>
      <w:r>
        <w:rPr>
          <w:b/>
          <w:bCs/>
        </w:rPr>
        <w:t xml:space="preserve">Token Utility</w:t>
      </w:r>
    </w:p>
    <w:p>
      <w:pPr>
        <w:spacing w:after="100"/>
      </w:pPr>
      <w:r>
        <w:t xml:space="preserve">Umbra does not currently have a token. The protocol operates as a public good. A future token could potentially be used for: (1) Governance — protocol parameter decisions; (2) Relayer incentives — rewarding relayers who help preserve recipient privacy; (3) Development funding — sustaining ongoing development. Any future tokenomics are speculative at this point.</w:t>
      </w:r>
    </w:p>
    <w:p>
      <w:pPr>
        <w:spacing w:after="100"/>
      </w:pPr>
      <w:r>
        <w:rPr>
          <w:b/>
          <w:bCs/>
        </w:rPr>
        <w:t xml:space="preserve">Supply &amp;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999999" w:sz="1"/>
              <w:left w:val="single" w:color="999999" w:sz="1"/>
              <w:bottom w:val="single" w:color="999999" w:sz="1"/>
              <w:right w:val="single" w:color="999999" w:sz="1"/>
            </w:tcBorders>
          </w:tcPr>
          <w:p>
            <w:r>
              <w:rPr>
                <w:b/>
                <w:bCs/>
              </w:rPr>
              <w:t xml:space="preserve">Category</w:t>
            </w:r>
          </w:p>
        </w:tc>
        <w:tc>
          <w:tcPr>
            <w:tcW w:type="dxa" w:w="3000"/>
            <w:tcBorders>
              <w:top w:val="single" w:color="999999" w:sz="1"/>
              <w:left w:val="single" w:color="999999" w:sz="1"/>
              <w:bottom w:val="single" w:color="999999" w:sz="1"/>
              <w:right w:val="single" w:color="999999" w:sz="1"/>
            </w:tcBorders>
          </w:tcPr>
          <w:p>
            <w:r>
              <w:rPr>
                <w:b/>
                <w:bCs/>
              </w:rPr>
              <w:t xml:space="preserve">Allocation</w:t>
            </w:r>
          </w:p>
        </w:tc>
        <w:tc>
          <w:tcPr>
            <w:tcW w:type="dxa" w:w="3000"/>
            <w:tcBorders>
              <w:top w:val="single" w:color="999999" w:sz="1"/>
              <w:left w:val="single" w:color="999999" w:sz="1"/>
              <w:bottom w:val="single" w:color="999999" w:sz="1"/>
              <w:right w:val="single" w:color="999999" w:sz="1"/>
            </w:tcBorders>
          </w:tcPr>
          <w:p>
            <w:r>
              <w:rPr>
                <w:b/>
                <w:bCs/>
              </w:rPr>
              <w:t xml:space="preserve">Vesting</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No token currently</w:t>
            </w:r>
          </w:p>
        </w:tc>
        <w:tc>
          <w:tcPr>
            <w:tcW w:type="dxa" w:w="3000"/>
            <w:tcBorders>
              <w:top w:val="single" w:color="999999" w:sz="1"/>
              <w:left w:val="single" w:color="999999" w:sz="1"/>
              <w:bottom w:val="single" w:color="999999" w:sz="1"/>
              <w:right w:val="single" w:color="999999" w:sz="1"/>
            </w:tcBorders>
          </w:tcPr>
          <w:p>
            <w:r>
              <w:rPr>
                <w:b w:val="false"/>
                <w:bCs w:val="false"/>
              </w:rPr>
              <w:t xml:space="preserve">N/A</w:t>
            </w:r>
          </w:p>
        </w:tc>
        <w:tc>
          <w:tcPr>
            <w:tcW w:type="dxa" w:w="3000"/>
            <w:tcBorders>
              <w:top w:val="single" w:color="999999" w:sz="1"/>
              <w:left w:val="single" w:color="999999" w:sz="1"/>
              <w:bottom w:val="single" w:color="999999" w:sz="1"/>
              <w:right w:val="single" w:color="999999" w:sz="1"/>
            </w:tcBorders>
          </w:tcPr>
          <w:p>
            <w:r>
              <w:rPr>
                <w:b w:val="false"/>
                <w:bCs w:val="false"/>
              </w:rPr>
              <w:t xml:space="preserve">N/A</w:t>
            </w:r>
          </w:p>
        </w:tc>
      </w:tr>
    </w:tbl>
    <w:p>
      <w:pPr>
        <w:spacing w:after="100"/>
      </w:pPr>
      <w:r>
        <w:t xml:space="preserve">Current circulating: No token</w:t>
      </w:r>
    </w:p>
    <w:p>
      <w:pPr>
        <w:spacing w:after="100"/>
      </w:pPr>
      <w:r>
        <w:t xml:space="preserve">Max supply: No token</w:t>
      </w:r>
    </w:p>
    <w:p>
      <w:pPr>
        <w:spacing w:after="100"/>
      </w:pPr>
      <w:r>
        <w:t xml:space="preserve">Inflation rate: N/A</w:t>
      </w:r>
    </w:p>
    <w:p>
      <w:pPr>
        <w:spacing w:after="100"/>
      </w:pPr>
      <w:r>
        <w:t xml:space="preserve">Upcoming unlocks: N/A</w:t>
      </w:r>
    </w:p>
    <w:p>
      <w:pPr>
        <w:spacing w:after="100"/>
      </w:pPr>
      <w:r>
        <w:rPr>
          <w:b/>
          <w:bCs/>
        </w:rPr>
        <w:t xml:space="preserve">Value Accrual</w:t>
      </w:r>
    </w:p>
    <w:p>
      <w:pPr>
        <w:spacing w:after="100"/>
      </w:pPr>
      <w:r>
        <w:t xml:space="preserve">Currently, Umbra operates as a public good with no direct value accrual mechanism. If a token is launched, it could capture value through: (1) Relayer fees; (2) Premium privacy features; (3) Integration fees from protocols building on Umbra. The primary value proposition is the stealth address standard itself (EIP-5564) becoming widely adopted on Ethereum.</w:t>
      </w:r>
    </w:p>
    <w:p>
      <w:pPr>
        <w:spacing w:before="200" w:after="200"/>
      </w:pPr>
      <w:r>
        <w:t xml:space="preserve">═══════════════════════════════════════════════════════════════════</w:t>
      </w:r>
    </w:p>
    <w:p>
      <w:pPr>
        <w:pStyle w:val="Heading2"/>
        <w:spacing w:before="300" w:after="100"/>
      </w:pPr>
      <w:r>
        <w:rPr>
          <w:b/>
          <w:bCs/>
        </w:rPr>
        <w:t xml:space="preserve">TEAM &amp; BACKERS</w:t>
      </w:r>
    </w:p>
    <w:p>
      <w:pPr>
        <w:spacing w:before="100" w:after="100"/>
      </w:pPr>
      <w:r>
        <w:t xml:space="preserve">───────────────────────────────────────────────────────────────────</w:t>
      </w:r>
    </w:p>
    <w:p>
      <w:pPr>
        <w:spacing w:after="100"/>
      </w:pPr>
      <w:r>
        <w:rPr>
          <w:b/>
          <w:bCs/>
        </w:rPr>
        <w:t xml:space="preserve">Team</w:t>
      </w:r>
    </w:p>
    <w:p>
      <w:pPr>
        <w:spacing w:after="100"/>
      </w:pPr>
      <w:r>
        <w:t xml:space="preserve">Developed by ScopeLift, a smart contract development firm. ScopeLift was founded by Ben DiFrancesco, an experienced Ethereum developer. The team is focused on Ethereum public goods and infrastructure. All team members are doxxed. Vitalik Buterin has been a vocal supporter of the stealth address approach and Umbra specifically.</w:t>
      </w:r>
    </w:p>
    <w:p>
      <w:pPr>
        <w:spacing w:after="100"/>
      </w:pPr>
      <w:r>
        <w:rPr>
          <w:b/>
          <w:bCs/>
        </w:rPr>
        <w:t xml:space="preserve">Investors</w:t>
      </w:r>
    </w:p>
    <w:p>
      <w:pPr>
        <w:spacing w:after="100"/>
      </w:pPr>
      <w:r>
        <w:t xml:space="preserve">Umbra has received grants from the Ethereum Foundation and various Ethereum ecosystem grants programs. As a public good, it has not pursued traditional VC funding. ScopeLift operates as a development firm that sustains itself through client work and grants.</w:t>
      </w:r>
    </w:p>
    <w:p>
      <w:pPr>
        <w:spacing w:after="100"/>
      </w:pPr>
      <w:r>
        <w:rPr>
          <w:b/>
          <w:bCs/>
        </w:rPr>
        <w:t xml:space="preserve">Community &amp; Governance</w:t>
      </w:r>
    </w:p>
    <w:p>
      <w:pPr>
        <w:spacing w:after="100"/>
      </w:pPr>
      <w:r>
        <w:t xml:space="preserve">Umbra's community is relatively small but quality-focused, consisting of privacy-conscious Ethereum users and developers interested in EIP-5564 stealth address standardization. The project has support from prominent Ethereum researchers and developers. Community is primarily on Twitter and GitHub.</w:t>
      </w:r>
    </w:p>
    <w:p>
      <w:pPr>
        <w:spacing w:before="200" w:after="200"/>
      </w:pPr>
      <w:r>
        <w:t xml:space="preserve">═══════════════════════════════════════════════════════════════════</w:t>
      </w:r>
    </w:p>
    <w:p>
      <w:pPr>
        <w:pStyle w:val="Heading2"/>
        <w:spacing w:before="300" w:after="100"/>
      </w:pPr>
      <w:r>
        <w:rPr>
          <w:b/>
          <w:bCs/>
        </w:rPr>
        <w:t xml:space="preserve">RISKS</w:t>
      </w:r>
    </w:p>
    <w:p>
      <w:pPr>
        <w:spacing w:before="100" w:after="100"/>
      </w:pPr>
      <w:r>
        <w:t xml:space="preserve">───────────────────────────────────────────────────────────────────</w:t>
      </w:r>
    </w:p>
    <w:p>
      <w:pPr>
        <w:spacing w:after="100"/>
      </w:pPr>
      <w:r>
        <w:rPr>
          <w:b/>
          <w:bCs/>
        </w:rPr>
        <w:t xml:space="preserve">No Token / Uncertain Monetization (HIGH)</w:t>
      </w:r>
    </w:p>
    <w:p>
      <w:pPr>
        <w:spacing w:after="100"/>
      </w:pPr>
      <w:r>
        <w:t xml:space="preserve">Without a token, there is no direct investment vehicle. Future token launch is speculative. Even if launched, value accrual for a privacy primitive is unclear.</w:t>
      </w:r>
    </w:p>
    <w:p>
      <w:pPr>
        <w:spacing w:after="100"/>
      </w:pPr>
      <w:r>
        <w:rPr>
          <w:b/>
          <w:bCs/>
        </w:rPr>
        <w:t xml:space="preserve">Regulatory Risk (HIGH)</w:t>
      </w:r>
    </w:p>
    <w:p>
      <w:pPr>
        <w:spacing w:after="100"/>
      </w:pPr>
      <w:r>
        <w:t xml:space="preserve">Privacy protocols face significant regulatory scrutiny post-Tornado Cash sanctions. While stealth addresses are less controversial than mixers, regulatory attitudes toward on-chain privacy remain uncertain.</w:t>
      </w:r>
    </w:p>
    <w:p>
      <w:pPr>
        <w:spacing w:after="100"/>
      </w:pPr>
      <w:r>
        <w:rPr>
          <w:b/>
          <w:bCs/>
        </w:rPr>
        <w:t xml:space="preserve">Adoption (MEDIUM)</w:t>
      </w:r>
    </w:p>
    <w:p>
      <w:pPr>
        <w:spacing w:after="100"/>
      </w:pPr>
      <w:r>
        <w:t xml:space="preserve">Privacy features require both sender and receiver adoption. Network effects are weaker for privacy tools — users need counterparties who also use the system.</w:t>
      </w:r>
    </w:p>
    <w:p>
      <w:pPr>
        <w:spacing w:after="100"/>
      </w:pPr>
      <w:r>
        <w:rPr>
          <w:b/>
          <w:bCs/>
        </w:rPr>
        <w:t xml:space="preserve">Competition (MEDIUM)</w:t>
      </w:r>
    </w:p>
    <w:p>
      <w:pPr>
        <w:spacing w:after="100"/>
      </w:pPr>
      <w:r>
        <w:t xml:space="preserve">Aztec Network, Railgun, and potential native Ethereum privacy features could reduce demand for standalone stealth address protocols.</w:t>
      </w:r>
    </w:p>
    <w:p>
      <w:pPr>
        <w:spacing w:before="200" w:after="200"/>
      </w:pPr>
      <w:r>
        <w:t xml:space="preserve">═══════════════════════════════════════════════════════════════════</w:t>
      </w:r>
    </w:p>
    <w:p>
      <w:pPr>
        <w:pStyle w:val="Heading2"/>
        <w:spacing w:before="300" w:after="100"/>
      </w:pPr>
      <w:r>
        <w:rPr>
          <w:b/>
          <w:bCs/>
        </w:rPr>
        <w:t xml:space="preserve">CATALYSTS &amp; TIMELINE</w:t>
      </w:r>
    </w:p>
    <w:p>
      <w:pPr>
        <w:spacing w:before="100" w:after="100"/>
      </w:pP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999999" w:sz="1"/>
              <w:left w:val="single" w:color="999999" w:sz="1"/>
              <w:bottom w:val="single" w:color="999999" w:sz="1"/>
              <w:right w:val="single" w:color="999999" w:sz="1"/>
            </w:tcBorders>
          </w:tcPr>
          <w:p>
            <w:r>
              <w:rPr>
                <w:b/>
                <w:bCs/>
              </w:rPr>
              <w:t xml:space="preserve">Catalyst</w:t>
            </w:r>
          </w:p>
        </w:tc>
        <w:tc>
          <w:tcPr>
            <w:tcW w:type="dxa" w:w="3000"/>
            <w:tcBorders>
              <w:top w:val="single" w:color="999999" w:sz="1"/>
              <w:left w:val="single" w:color="999999" w:sz="1"/>
              <w:bottom w:val="single" w:color="999999" w:sz="1"/>
              <w:right w:val="single" w:color="999999" w:sz="1"/>
            </w:tcBorders>
          </w:tcPr>
          <w:p>
            <w:r>
              <w:rPr>
                <w:b/>
                <w:bCs/>
              </w:rPr>
              <w:t xml:space="preserve">Expected</w:t>
            </w:r>
          </w:p>
        </w:tc>
        <w:tc>
          <w:tcPr>
            <w:tcW w:type="dxa" w:w="3000"/>
            <w:tcBorders>
              <w:top w:val="single" w:color="999999" w:sz="1"/>
              <w:left w:val="single" w:color="999999" w:sz="1"/>
              <w:bottom w:val="single" w:color="999999" w:sz="1"/>
              <w:right w:val="single" w:color="999999" w:sz="1"/>
            </w:tcBorders>
          </w:tcPr>
          <w:p>
            <w:r>
              <w:rPr>
                <w:b/>
                <w:bCs/>
              </w:rPr>
              <w:t xml:space="preserve">Impact</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EIP-5564 Standardization</w:t>
            </w:r>
          </w:p>
        </w:tc>
        <w:tc>
          <w:tcPr>
            <w:tcW w:type="dxa" w:w="3000"/>
            <w:tcBorders>
              <w:top w:val="single" w:color="999999" w:sz="1"/>
              <w:left w:val="single" w:color="999999" w:sz="1"/>
              <w:bottom w:val="single" w:color="999999" w:sz="1"/>
              <w:right w:val="single" w:color="999999" w:sz="1"/>
            </w:tcBorders>
          </w:tcPr>
          <w:p>
            <w:r>
              <w:rPr>
                <w:b w:val="false"/>
                <w:bCs w:val="false"/>
              </w:rPr>
              <w:t xml:space="preserve">TBD</w:t>
            </w:r>
          </w:p>
        </w:tc>
        <w:tc>
          <w:tcPr>
            <w:tcW w:type="dxa" w:w="3000"/>
            <w:tcBorders>
              <w:top w:val="single" w:color="999999" w:sz="1"/>
              <w:left w:val="single" w:color="999999" w:sz="1"/>
              <w:bottom w:val="single" w:color="999999" w:sz="1"/>
              <w:right w:val="single" w:color="999999" w:sz="1"/>
            </w:tcBorders>
          </w:tcPr>
          <w:p>
            <w:r>
              <w:rPr>
                <w:b w:val="false"/>
                <w:bCs w:val="false"/>
              </w:rPr>
              <w:t xml:space="preserve">If stealth addresses become an Ethereum standard, Umbra benefits as the reference implementation</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Token Launch</w:t>
            </w:r>
          </w:p>
        </w:tc>
        <w:tc>
          <w:tcPr>
            <w:tcW w:type="dxa" w:w="3000"/>
            <w:tcBorders>
              <w:top w:val="single" w:color="999999" w:sz="1"/>
              <w:left w:val="single" w:color="999999" w:sz="1"/>
              <w:bottom w:val="single" w:color="999999" w:sz="1"/>
              <w:right w:val="single" w:color="999999" w:sz="1"/>
            </w:tcBorders>
          </w:tcPr>
          <w:p>
            <w:r>
              <w:rPr>
                <w:b w:val="false"/>
                <w:bCs w:val="false"/>
              </w:rPr>
              <w:t xml:space="preserve">TBD / Speculative</w:t>
            </w:r>
          </w:p>
        </w:tc>
        <w:tc>
          <w:tcPr>
            <w:tcW w:type="dxa" w:w="3000"/>
            <w:tcBorders>
              <w:top w:val="single" w:color="999999" w:sz="1"/>
              <w:left w:val="single" w:color="999999" w:sz="1"/>
              <w:bottom w:val="single" w:color="999999" w:sz="1"/>
              <w:right w:val="single" w:color="999999" w:sz="1"/>
            </w:tcBorders>
          </w:tcPr>
          <w:p>
            <w:r>
              <w:rPr>
                <w:b w:val="false"/>
                <w:bCs w:val="false"/>
              </w:rPr>
              <w:t xml:space="preserve">A token would create a direct investment vehicle</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Regulatory Clarity</w:t>
            </w:r>
          </w:p>
        </w:tc>
        <w:tc>
          <w:tcPr>
            <w:tcW w:type="dxa" w:w="3000"/>
            <w:tcBorders>
              <w:top w:val="single" w:color="999999" w:sz="1"/>
              <w:left w:val="single" w:color="999999" w:sz="1"/>
              <w:bottom w:val="single" w:color="999999" w:sz="1"/>
              <w:right w:val="single" w:color="999999" w:sz="1"/>
            </w:tcBorders>
          </w:tcPr>
          <w:p>
            <w:r>
              <w:rPr>
                <w:b w:val="false"/>
                <w:bCs w:val="false"/>
              </w:rPr>
              <w:t xml:space="preserve">TBD</w:t>
            </w:r>
          </w:p>
        </w:tc>
        <w:tc>
          <w:tcPr>
            <w:tcW w:type="dxa" w:w="3000"/>
            <w:tcBorders>
              <w:top w:val="single" w:color="999999" w:sz="1"/>
              <w:left w:val="single" w:color="999999" w:sz="1"/>
              <w:bottom w:val="single" w:color="999999" w:sz="1"/>
              <w:right w:val="single" w:color="999999" w:sz="1"/>
            </w:tcBorders>
          </w:tcPr>
          <w:p>
            <w:r>
              <w:rPr>
                <w:b w:val="false"/>
                <w:bCs w:val="false"/>
              </w:rPr>
              <w:t xml:space="preserve">Clear regulatory framework for privacy tools would reduce uncertainty</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Wallet Integration</w:t>
            </w:r>
          </w:p>
        </w:tc>
        <w:tc>
          <w:tcPr>
            <w:tcW w:type="dxa" w:w="3000"/>
            <w:tcBorders>
              <w:top w:val="single" w:color="999999" w:sz="1"/>
              <w:left w:val="single" w:color="999999" w:sz="1"/>
              <w:bottom w:val="single" w:color="999999" w:sz="1"/>
              <w:right w:val="single" w:color="999999" w:sz="1"/>
            </w:tcBorders>
          </w:tcPr>
          <w:p>
            <w:r>
              <w:rPr>
                <w:b w:val="false"/>
                <w:bCs w:val="false"/>
              </w:rPr>
              <w:t xml:space="preserve">Ongoing</w:t>
            </w:r>
          </w:p>
        </w:tc>
        <w:tc>
          <w:tcPr>
            <w:tcW w:type="dxa" w:w="3000"/>
            <w:tcBorders>
              <w:top w:val="single" w:color="999999" w:sz="1"/>
              <w:left w:val="single" w:color="999999" w:sz="1"/>
              <w:bottom w:val="single" w:color="999999" w:sz="1"/>
              <w:right w:val="single" w:color="999999" w:sz="1"/>
            </w:tcBorders>
          </w:tcPr>
          <w:p>
            <w:r>
              <w:rPr>
                <w:b w:val="false"/>
                <w:bCs w:val="false"/>
              </w:rPr>
              <w:t xml:space="preserve">Native wallet support for stealth addresses would drive adoption</w:t>
            </w:r>
          </w:p>
        </w:tc>
      </w:tr>
    </w:tbl>
    <w:p>
      <w:pPr>
        <w:spacing w:before="200" w:after="200"/>
      </w:pPr>
      <w:r>
        <w:t xml:space="preserve">═══════════════════════════════════════════════════════════════════</w:t>
      </w:r>
    </w:p>
    <w:p>
      <w:pPr>
        <w:pStyle w:val="Heading2"/>
        <w:spacing w:before="300" w:after="100"/>
      </w:pPr>
      <w:r>
        <w:rPr>
          <w:b/>
          <w:bCs/>
        </w:rPr>
        <w:t xml:space="preserve">SOURCES</w:t>
      </w:r>
    </w:p>
    <w:p>
      <w:pPr>
        <w:spacing w:before="100" w:after="100"/>
      </w:pPr>
      <w:r>
        <w:t xml:space="preserve">───────────────────────────────────────────────────────────────────</w:t>
      </w:r>
    </w:p>
    <w:p>
      <w:pPr>
        <w:spacing w:after="50"/>
      </w:pPr>
      <w:r>
        <w:t xml:space="preserve">• Umbra Cash documentation (umbra.cash)</w:t>
      </w:r>
    </w:p>
    <w:p>
      <w:pPr>
        <w:spacing w:after="50"/>
      </w:pPr>
      <w:r>
        <w:t xml:space="preserve">• ScopeLift website and GitHub</w:t>
      </w:r>
    </w:p>
    <w:p>
      <w:pPr>
        <w:spacing w:after="50"/>
      </w:pPr>
      <w:r>
        <w:t xml:space="preserve">• EIP-5564 specification</w:t>
      </w:r>
    </w:p>
    <w:p>
      <w:pPr>
        <w:spacing w:after="50"/>
      </w:pPr>
      <w:r>
        <w:t xml:space="preserve">• Vitalik Buterin's blog posts on stealth addresses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2026-01-27T18:04:51.168Z</dcterms:created>
  <dcterms:modified xsi:type="dcterms:W3CDTF">2026-01-27T18:04:51.168Z</dcterms:modified>
</cp:coreProperties>
</file>

<file path=docProps/custom.xml><?xml version="1.0" encoding="utf-8"?>
<Properties xmlns="http://schemas.openxmlformats.org/officeDocument/2006/custom-properties" xmlns:vt="http://schemas.openxmlformats.org/officeDocument/2006/docPropsVTypes"/>
</file>