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100"/>
      </w:pPr>
      <w:r>
        <w:rPr>
          <w:b/>
          <w:bCs/>
        </w:rPr>
        <w:t xml:space="preserve">NOMAD RESEARCH — DEEP DIVE</w:t>
      </w:r>
    </w:p>
    <w:p>
      <w:pPr>
        <w:spacing w:after="100"/>
      </w:pPr>
      <w:r>
        <w:t xml:space="preserve">Protocol: DeepBook</w:t>
      </w:r>
    </w:p>
    <w:p>
      <w:pPr>
        <w:spacing w:after="100"/>
      </w:pPr>
      <w:r>
        <w:t xml:space="preserve">Ticker: $DEEP</w:t>
      </w:r>
    </w:p>
    <w:p>
      <w:pPr>
        <w:spacing w:after="100"/>
      </w:pPr>
      <w:r>
        <w:t xml:space="preserve">Chain: Sui</w:t>
      </w:r>
    </w:p>
    <w:p>
      <w:pPr>
        <w:spacing w:after="100"/>
      </w:pPr>
      <w:r>
        <w:t xml:space="preserve">Category: Spot-DEX</w:t>
      </w:r>
    </w:p>
    <w:p>
      <w:pPr>
        <w:spacing w:after="100"/>
      </w:pPr>
      <w:r>
        <w:t xml:space="preserve">Date: 2026-01-27</w:t>
      </w:r>
    </w:p>
    <w:p>
      <w:pPr>
        <w:spacing w:after="100"/>
      </w:pPr>
      <w:r>
        <w:t xml:space="preserve">Status: Shortlist</w:t>
      </w:r>
    </w:p>
    <w:p>
      <w:pPr>
        <w:spacing w:before="200" w:after="200"/>
      </w:pPr>
      <w:r>
        <w:t xml:space="preserve">═══════════════════════════════════════════════════════════════════</w:t>
      </w:r>
    </w:p>
    <w:p>
      <w:pPr>
        <w:pStyle w:val="Heading2"/>
        <w:spacing w:before="300" w:after="100"/>
      </w:pPr>
      <w:r>
        <w:rPr>
          <w:b/>
          <w:bCs/>
        </w:rPr>
        <w:t xml:space="preserve">EXECUTIVE SUMMARY</w:t>
      </w:r>
    </w:p>
    <w:p>
      <w:pPr>
        <w:spacing w:before="100" w:after="100"/>
      </w:pPr>
      <w:r>
        <w:t xml:space="preserve">───────────────────────────────────────────────────────────────────</w:t>
      </w:r>
    </w:p>
    <w:p>
      <w:pPr>
        <w:spacing w:after="100"/>
      </w:pPr>
      <w:r>
        <w:t xml:space="preserve">DeepBook is Sui's native fully on-chain central limit order book (CLOB), designed to serve as the core liquidity and price discovery layer for the entire Sui DeFi ecosystem. Built as a shared infrastructure primitive on Sui, DeepBook enables any protocol to tap into deep, composable liquidity with ~390ms settlement times and dynamic low fees.</w:t>
      </w:r>
    </w:p>
    <w:p>
      <w:pPr>
        <w:spacing w:before="200" w:after="200"/>
      </w:pPr>
      <w:r>
        <w:t xml:space="preserve">═══════════════════════════════════════════════════════════════════</w:t>
      </w:r>
    </w:p>
    <w:p>
      <w:pPr>
        <w:pStyle w:val="Heading2"/>
        <w:spacing w:before="300" w:after="100"/>
      </w:pPr>
      <w:r>
        <w:rPr>
          <w:b/>
          <w:bCs/>
        </w:rPr>
        <w:t xml:space="preserve">THE OPPORTUNITY</w:t>
      </w:r>
    </w:p>
    <w:p>
      <w:pPr>
        <w:spacing w:before="100" w:after="100"/>
      </w:pPr>
      <w:r>
        <w:t xml:space="preserve">───────────────────────────────────────────────────────────────────</w:t>
      </w:r>
    </w:p>
    <w:p>
      <w:pPr>
        <w:spacing w:after="100"/>
      </w:pPr>
      <w:r>
        <w:rPr>
          <w:b/>
          <w:bCs/>
        </w:rPr>
        <w:t xml:space="preserve">What is DeepBook?</w:t>
      </w:r>
    </w:p>
    <w:p>
      <w:pPr>
        <w:spacing w:after="100"/>
      </w:pPr>
      <w:r>
        <w:t xml:space="preserve">DeepBook is a decentralized spot exchange built as a core infrastructure protocol on the Sui blockchain. Unlike AMM-based DEXs (Uniswap-style), DeepBook uses a central limit order book (CLOB) model similar to traditional exchanges, enabling precise limit orders, market orders, and advanced order types. It leverages Sui's object-centric model and parallel transaction execution to achieve high throughput and low latency. DeepBook serves as the backbone liquidity layer for Sui DeFi — other protocols (lending, derivatives, aggregators) can compose directly with DeepBook's order books rather than building their own liquidity infrastructure.</w:t>
      </w:r>
    </w:p>
    <w:p>
      <w:pPr>
        <w:spacing w:after="100"/>
      </w:pPr>
      <w:r>
        <w:rPr>
          <w:b/>
          <w:bCs/>
        </w:rPr>
        <w:t xml:space="preserve">The Market</w:t>
      </w:r>
    </w:p>
    <w:p>
      <w:pPr>
        <w:spacing w:after="100"/>
      </w:pPr>
      <w:r>
        <w:t xml:space="preserve">The DEX market is one of the largest in crypto, with billions in daily volume across chains. On Sui specifically, DeepBook is the central liquidity infrastructure. Globally, CLOB DEXs compete with AMM models (Uniswap, Raydium) and hybrid approaches. The on-chain CLOB segment is growing as blockchain performance improves, with competitors including Sei's native order book, Econia on Aptos, and centralized order book DEXs on Solana (Phoenix, OpenBook).</w:t>
      </w:r>
    </w:p>
    <w:p>
      <w:pPr>
        <w:spacing w:before="200" w:after="200"/>
      </w:pPr>
      <w:r>
        <w:t xml:space="preserve">═══════════════════════════════════════════════════════════════════</w:t>
      </w:r>
    </w:p>
    <w:p>
      <w:pPr>
        <w:pStyle w:val="Heading2"/>
        <w:spacing w:before="300" w:after="100"/>
      </w:pPr>
      <w:r>
        <w:rPr>
          <w:b/>
          <w:bCs/>
        </w:rPr>
        <w:t xml:space="preserve">THE PROTOCOL</w:t>
      </w:r>
    </w:p>
    <w:p>
      <w:pPr>
        <w:spacing w:before="100" w:after="100"/>
      </w:pPr>
      <w:r>
        <w:t xml:space="preserve">───────────────────────────────────────────────────────────────────</w:t>
      </w:r>
    </w:p>
    <w:p>
      <w:pPr>
        <w:spacing w:after="100"/>
      </w:pPr>
      <w:r>
        <w:rPr>
          <w:b/>
          <w:bCs/>
        </w:rPr>
        <w:t xml:space="preserve">How It Works</w:t>
      </w:r>
    </w:p>
    <w:p>
      <w:pPr>
        <w:spacing w:after="100"/>
      </w:pPr>
      <w:r>
        <w:t xml:space="preserve">DeepBook leverages Sui's unique architecture: (1) Object-centric model — order books, orders, and balances are represented as Sui objects, enabling parallel processing; (2) ~390ms settlement — orders match and settle in under half a second; (3) Composability — any Sui protocol can programmatically interact with DeepBook via Move smart contracts; (4) Dynamic fee structure — fees adjust based on market conditions and trader activity; (5) Price discovery — serves as the canonical price source for assets on Sui; (6) Deep liquidity pools with minimal slippage due to the CLOB model aggregating limit orders at specific price levels.</w:t>
      </w:r>
    </w:p>
    <w:p>
      <w:pPr>
        <w:spacing w:after="100"/>
      </w:pPr>
      <w:r>
        <w:rPr>
          <w:b/>
          <w:bCs/>
        </w:rPr>
        <w:t xml:space="preserve">Competitive Advantage</w:t>
      </w:r>
    </w:p>
    <w:p>
      <w:pPr>
        <w:spacing w:after="100"/>
      </w:pPr>
      <w:r>
        <w:t xml:space="preserve">Key advantages: (1) Native to Sui — deeply integrated with the blockchain's object model, not an application layer bolt-on; (2) CLOB efficiency — order books are more capital-efficient than AMMs for active markets; (3) Composability — serves as the liquidity backbone for the entire Sui ecosystem; (4) Low latency — ~390ms settlement vs. multi-second on most chains; (5) First-mover on Sui — established as the default order book infrastructure.</w:t>
      </w:r>
    </w:p>
    <w:p>
      <w:pPr>
        <w:spacing w:after="100"/>
      </w:pPr>
      <w:r>
        <w:rPr>
          <w:b/>
          <w:bCs/>
        </w:rPr>
        <w:t xml:space="preserve">Traction &amp;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Metric</w:t>
            </w:r>
          </w:p>
        </w:tc>
        <w:tc>
          <w:tcPr>
            <w:tcW w:type="dxa" w:w="3000"/>
            <w:tcBorders>
              <w:top w:val="single" w:color="999999" w:sz="1"/>
              <w:left w:val="single" w:color="999999" w:sz="1"/>
              <w:bottom w:val="single" w:color="999999" w:sz="1"/>
              <w:right w:val="single" w:color="999999" w:sz="1"/>
            </w:tcBorders>
          </w:tcPr>
          <w:p>
            <w:r>
              <w:rPr>
                <w:b/>
                <w:bCs/>
              </w:rPr>
              <w:t xml:space="preserve">Value</w:t>
            </w:r>
          </w:p>
        </w:tc>
        <w:tc>
          <w:tcPr>
            <w:tcW w:type="dxa" w:w="3000"/>
            <w:tcBorders>
              <w:top w:val="single" w:color="999999" w:sz="1"/>
              <w:left w:val="single" w:color="999999" w:sz="1"/>
              <w:bottom w:val="single" w:color="999999" w:sz="1"/>
              <w:right w:val="single" w:color="999999" w:sz="1"/>
            </w:tcBorders>
          </w:tcPr>
          <w:p>
            <w:r>
              <w:rPr>
                <w:b/>
                <w:bCs/>
              </w:rPr>
              <w:t xml:space="preserve">Context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Market Cap</w:t>
            </w:r>
          </w:p>
        </w:tc>
        <w:tc>
          <w:tcPr>
            <w:tcW w:type="dxa" w:w="3000"/>
            <w:tcBorders>
              <w:top w:val="single" w:color="999999" w:sz="1"/>
              <w:left w:val="single" w:color="999999" w:sz="1"/>
              <w:bottom w:val="single" w:color="999999" w:sz="1"/>
              <w:right w:val="single" w:color="999999" w:sz="1"/>
            </w:tcBorders>
          </w:tcPr>
          <w:p>
            <w:r>
              <w:rPr>
                <w:b w:val="false"/>
                <w:bCs w:val="false"/>
              </w:rPr>
              <w:t xml:space="preserve">[Refer to CoinGecko for latest]</w:t>
            </w:r>
          </w:p>
        </w:tc>
        <w:tc>
          <w:tcPr>
            <w:tcW w:type="dxa" w:w="3000"/>
            <w:tcBorders>
              <w:top w:val="single" w:color="999999" w:sz="1"/>
              <w:left w:val="single" w:color="999999" w:sz="1"/>
              <w:bottom w:val="single" w:color="999999" w:sz="1"/>
              <w:right w:val="single" w:color="999999" w:sz="1"/>
            </w:tcBorders>
          </w:tcPr>
          <w:p>
            <w:r>
              <w:rPr>
                <w:b w:val="false"/>
                <w:bCs w:val="false"/>
              </w:rPr>
              <w:t xml:space="preserve">Mid-cap DeFi token</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Daily Volume</w:t>
            </w:r>
          </w:p>
        </w:tc>
        <w:tc>
          <w:tcPr>
            <w:tcW w:type="dxa" w:w="3000"/>
            <w:tcBorders>
              <w:top w:val="single" w:color="999999" w:sz="1"/>
              <w:left w:val="single" w:color="999999" w:sz="1"/>
              <w:bottom w:val="single" w:color="999999" w:sz="1"/>
              <w:right w:val="single" w:color="999999" w:sz="1"/>
            </w:tcBorders>
          </w:tcPr>
          <w:p>
            <w:r>
              <w:rPr>
                <w:b w:val="false"/>
                <w:bCs w:val="false"/>
              </w:rPr>
              <w:t xml:space="preserve">[Variable]</w:t>
            </w:r>
          </w:p>
        </w:tc>
        <w:tc>
          <w:tcPr>
            <w:tcW w:type="dxa" w:w="3000"/>
            <w:tcBorders>
              <w:top w:val="single" w:color="999999" w:sz="1"/>
              <w:left w:val="single" w:color="999999" w:sz="1"/>
              <w:bottom w:val="single" w:color="999999" w:sz="1"/>
              <w:right w:val="single" w:color="999999" w:sz="1"/>
            </w:tcBorders>
          </w:tcPr>
          <w:p>
            <w:r>
              <w:rPr>
                <w:b w:val="false"/>
                <w:bCs w:val="false"/>
              </w:rPr>
              <w:t xml:space="preserve">Primary liquidity venue on Sui</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Settlement Time</w:t>
            </w:r>
          </w:p>
        </w:tc>
        <w:tc>
          <w:tcPr>
            <w:tcW w:type="dxa" w:w="3000"/>
            <w:tcBorders>
              <w:top w:val="single" w:color="999999" w:sz="1"/>
              <w:left w:val="single" w:color="999999" w:sz="1"/>
              <w:bottom w:val="single" w:color="999999" w:sz="1"/>
              <w:right w:val="single" w:color="999999" w:sz="1"/>
            </w:tcBorders>
          </w:tcPr>
          <w:p>
            <w:r>
              <w:rPr>
                <w:b w:val="false"/>
                <w:bCs w:val="false"/>
              </w:rPr>
              <w:t xml:space="preserve">~390ms</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Sub-second trade settlement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Supported Pairs</w:t>
            </w:r>
          </w:p>
        </w:tc>
        <w:tc>
          <w:tcPr>
            <w:tcW w:type="dxa" w:w="3000"/>
            <w:tcBorders>
              <w:top w:val="single" w:color="999999" w:sz="1"/>
              <w:left w:val="single" w:color="999999" w:sz="1"/>
              <w:bottom w:val="single" w:color="999999" w:sz="1"/>
              <w:right w:val="single" w:color="999999" w:sz="1"/>
            </w:tcBorders>
          </w:tcPr>
          <w:p>
            <w:r>
              <w:rPr>
                <w:b w:val="false"/>
                <w:bCs w:val="false"/>
              </w:rPr>
              <w:t xml:space="preserve">Growing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Major Sui ecosystem tokens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Composing Protocols</w:t>
            </w:r>
          </w:p>
        </w:tc>
        <w:tc>
          <w:tcPr>
            <w:tcW w:type="dxa" w:w="3000"/>
            <w:tcBorders>
              <w:top w:val="single" w:color="999999" w:sz="1"/>
              <w:left w:val="single" w:color="999999" w:sz="1"/>
              <w:bottom w:val="single" w:color="999999" w:sz="1"/>
              <w:right w:val="single" w:color="999999" w:sz="1"/>
            </w:tcBorders>
          </w:tcPr>
          <w:p>
            <w:r>
              <w:rPr>
                <w:b w:val="false"/>
                <w:bCs w:val="false"/>
              </w:rPr>
              <w:t xml:space="preserve">Multiple</w:t>
            </w:r>
          </w:p>
        </w:tc>
        <w:tc>
          <w:tcPr>
            <w:tcW w:type="dxa" w:w="3000"/>
            <w:tcBorders>
              <w:top w:val="single" w:color="999999" w:sz="1"/>
              <w:left w:val="single" w:color="999999" w:sz="1"/>
              <w:bottom w:val="single" w:color="999999" w:sz="1"/>
              <w:right w:val="single" w:color="999999" w:sz="1"/>
            </w:tcBorders>
          </w:tcPr>
          <w:p>
            <w:r>
              <w:rPr>
                <w:b w:val="false"/>
                <w:bCs w:val="false"/>
              </w:rPr>
              <w:t xml:space="preserve">Lending, derivatives, aggregators integrate with DeepBook</w:t>
            </w:r>
          </w:p>
        </w:tc>
      </w:tr>
    </w:tbl>
    <w:p>
      <w:pPr>
        <w:spacing w:before="200" w:after="200"/>
      </w:pPr>
      <w:r>
        <w:t xml:space="preserve">═══════════════════════════════════════════════════════════════════</w:t>
      </w:r>
    </w:p>
    <w:p>
      <w:pPr>
        <w:pStyle w:val="Heading2"/>
        <w:spacing w:before="300" w:after="100"/>
      </w:pPr>
      <w:r>
        <w:rPr>
          <w:b/>
          <w:bCs/>
        </w:rPr>
        <w:t xml:space="preserve">TOKENOMICS</w:t>
      </w:r>
    </w:p>
    <w:p>
      <w:pPr>
        <w:spacing w:before="100" w:after="100"/>
      </w:pPr>
      <w:r>
        <w:t xml:space="preserve">───────────────────────────────────────────────────────────────────</w:t>
      </w:r>
    </w:p>
    <w:p>
      <w:pPr>
        <w:spacing w:after="100"/>
      </w:pPr>
      <w:r>
        <w:rPr>
          <w:b/>
          <w:bCs/>
        </w:rPr>
        <w:t xml:space="preserve">Token Utility</w:t>
      </w:r>
    </w:p>
    <w:p>
      <w:pPr>
        <w:spacing w:after="100"/>
      </w:pPr>
      <w:r>
        <w:t xml:space="preserve">DEEP token functions: (1) Governance — vote on protocol parameters, fee structures, and upgrades; (2) Staking — stake DEEP to earn protocol fee revenue and participate in governance; (3) Fee discounts — DEEP stakers receive reduced trading fees; (4) Liquidity incentives — rewards for market makers providing order book liquidity.</w:t>
      </w:r>
    </w:p>
    <w:p>
      <w:pPr>
        <w:spacing w:after="100"/>
      </w:pPr>
      <w:r>
        <w:rPr>
          <w:b/>
          <w:bCs/>
        </w:rPr>
        <w:t xml:space="preserve">Supply &amp;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Category</w:t>
            </w:r>
          </w:p>
        </w:tc>
        <w:tc>
          <w:tcPr>
            <w:tcW w:type="dxa" w:w="3000"/>
            <w:tcBorders>
              <w:top w:val="single" w:color="999999" w:sz="1"/>
              <w:left w:val="single" w:color="999999" w:sz="1"/>
              <w:bottom w:val="single" w:color="999999" w:sz="1"/>
              <w:right w:val="single" w:color="999999" w:sz="1"/>
            </w:tcBorders>
          </w:tcPr>
          <w:p>
            <w:r>
              <w:rPr>
                <w:b/>
                <w:bCs/>
              </w:rPr>
              <w:t xml:space="preserve">Allocation</w:t>
            </w:r>
          </w:p>
        </w:tc>
        <w:tc>
          <w:tcPr>
            <w:tcW w:type="dxa" w:w="3000"/>
            <w:tcBorders>
              <w:top w:val="single" w:color="999999" w:sz="1"/>
              <w:left w:val="single" w:color="999999" w:sz="1"/>
              <w:bottom w:val="single" w:color="999999" w:sz="1"/>
              <w:right w:val="single" w:color="999999" w:sz="1"/>
            </w:tcBorders>
          </w:tcPr>
          <w:p>
            <w:r>
              <w:rPr>
                <w:b/>
                <w:bCs/>
              </w:rPr>
              <w:t xml:space="preserve">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Community &amp; Ecosystem</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Incentives, grants, liquidity mining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Team &amp; Contributors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Subject to vesting</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Investors</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Vesting schedule applies</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Treasury / Foundation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[TBD]</w:t>
            </w:r>
          </w:p>
        </w:tc>
        <w:tc>
          <w:tcPr>
            <w:tcW w:type="dxa" w:w="3000"/>
            <w:tcBorders>
              <w:top w:val="single" w:color="999999" w:sz="1"/>
              <w:left w:val="single" w:color="999999" w:sz="1"/>
              <w:bottom w:val="single" w:color="999999" w:sz="1"/>
              <w:right w:val="single" w:color="999999" w:sz="1"/>
            </w:tcBorders>
          </w:tcPr>
          <w:p>
            <w:r>
              <w:rPr>
                <w:b w:val="false"/>
                <w:bCs w:val="false"/>
              </w:rPr>
              <w:t xml:space="preserve">Long-term development</w:t>
            </w:r>
          </w:p>
        </w:tc>
      </w:tr>
    </w:tbl>
    <w:p>
      <w:pPr>
        <w:spacing w:after="100"/>
      </w:pPr>
      <w:r>
        <w:t xml:space="preserve">Current circulating: [Refer to CoinGecko for latest data]</w:t>
      </w:r>
    </w:p>
    <w:p>
      <w:pPr>
        <w:spacing w:after="100"/>
      </w:pPr>
      <w:r>
        <w:t xml:space="preserve">Max supply: [To be confirmed from official sources]</w:t>
      </w:r>
    </w:p>
    <w:p>
      <w:pPr>
        <w:spacing w:after="100"/>
      </w:pPr>
      <w:r>
        <w:t xml:space="preserve">Inflation rate: [To be confirmed]</w:t>
      </w:r>
    </w:p>
    <w:p>
      <w:pPr>
        <w:spacing w:after="100"/>
      </w:pPr>
      <w:r>
        <w:t xml:space="preserve">Upcoming unlocks: [Vesting details to be confirmed]</w:t>
      </w:r>
    </w:p>
    <w:p>
      <w:pPr>
        <w:spacing w:after="100"/>
      </w:pPr>
      <w:r>
        <w:rPr>
          <w:b/>
          <w:bCs/>
        </w:rPr>
        <w:t xml:space="preserve">Value Accrual</w:t>
      </w:r>
    </w:p>
    <w:p>
      <w:pPr>
        <w:spacing w:after="100"/>
      </w:pPr>
      <w:r>
        <w:t xml:space="preserve">DEEP accrues value through: (1) Trading fee revenue — DEEP stakers earn a share of fees generated from all trading activity on DeepBook; (2) Ecosystem growth — as more Sui protocols integrate with DeepBook, trading volume and fees increase; (3) Governance premium — DEEP holders control critical infrastructure for the Sui ecosystem.</w:t>
      </w:r>
    </w:p>
    <w:p>
      <w:pPr>
        <w:spacing w:before="200" w:after="200"/>
      </w:pPr>
      <w:r>
        <w:t xml:space="preserve">═══════════════════════════════════════════════════════════════════</w:t>
      </w:r>
    </w:p>
    <w:p>
      <w:pPr>
        <w:pStyle w:val="Heading2"/>
        <w:spacing w:before="300" w:after="100"/>
      </w:pPr>
      <w:r>
        <w:rPr>
          <w:b/>
          <w:bCs/>
        </w:rPr>
        <w:t xml:space="preserve">TEAM &amp; BACKERS</w:t>
      </w:r>
    </w:p>
    <w:p>
      <w:pPr>
        <w:spacing w:before="100" w:after="100"/>
      </w:pPr>
      <w:r>
        <w:t xml:space="preserve">───────────────────────────────────────────────────────────────────</w:t>
      </w:r>
    </w:p>
    <w:p>
      <w:pPr>
        <w:spacing w:after="100"/>
      </w:pPr>
      <w:r>
        <w:rPr>
          <w:b/>
          <w:bCs/>
        </w:rPr>
        <w:t xml:space="preserve">Team</w:t>
      </w:r>
    </w:p>
    <w:p>
      <w:pPr>
        <w:spacing w:after="100"/>
      </w:pPr>
      <w:r>
        <w:t xml:space="preserve">DeepBook was developed as a core infrastructure component of the Sui ecosystem, with contributions from Mysten Labs (the primary developer of Sui). The protocol benefits from the broader Sui engineering team's expertise in Move smart contracts and parallel execution systems. Key Mysten Labs figures include Evan Cheng (CEO, ex-Apple, ex-Facebook/Meta) and Sam Blackshear (CTO, creator of the Move language).</w:t>
      </w:r>
    </w:p>
    <w:p>
      <w:pPr>
        <w:spacing w:after="100"/>
      </w:pPr>
      <w:r>
        <w:rPr>
          <w:b/>
          <w:bCs/>
        </w:rPr>
        <w:t xml:space="preserve">Investors</w:t>
      </w:r>
    </w:p>
    <w:p>
      <w:pPr>
        <w:spacing w:after="100"/>
      </w:pPr>
      <w:r>
        <w:t xml:space="preserve">DeepBook's development has been supported within the Sui ecosystem, which has raised significant funding. Mysten Labs raised $336M at a $2B+ valuation from a16z, Lightspeed, Electric Capital, Samsung, and others. DeepBook benefits from this ecosystem funding and support.</w:t>
      </w:r>
    </w:p>
    <w:p>
      <w:pPr>
        <w:spacing w:after="100"/>
      </w:pPr>
      <w:r>
        <w:rPr>
          <w:b/>
          <w:bCs/>
        </w:rPr>
        <w:t xml:space="preserve">Community &amp; Governance</w:t>
      </w:r>
    </w:p>
    <w:p>
      <w:pPr>
        <w:spacing w:after="100"/>
      </w:pPr>
      <w:r>
        <w:t xml:space="preserve">Active Sui ecosystem community. DeepBook is integrated into major Sui wallets and DeFi interfaces. The Sui ecosystem Discord and Twitter communities actively discuss DeepBook as core infrastructure. Developer documentation is comprehensive for protocol integration.</w:t>
      </w:r>
    </w:p>
    <w:p>
      <w:pPr>
        <w:spacing w:before="200" w:after="200"/>
      </w:pPr>
      <w:r>
        <w:t xml:space="preserve">═══════════════════════════════════════════════════════════════════</w:t>
      </w:r>
    </w:p>
    <w:p>
      <w:pPr>
        <w:pStyle w:val="Heading2"/>
        <w:spacing w:before="300" w:after="100"/>
      </w:pPr>
      <w:r>
        <w:rPr>
          <w:b/>
          <w:bCs/>
        </w:rPr>
        <w:t xml:space="preserve">RISKS</w:t>
      </w:r>
    </w:p>
    <w:p>
      <w:pPr>
        <w:spacing w:before="100" w:after="100"/>
      </w:pPr>
      <w:r>
        <w:t xml:space="preserve">───────────────────────────────────────────────────────────────────</w:t>
      </w:r>
    </w:p>
    <w:p>
      <w:pPr>
        <w:spacing w:after="100"/>
      </w:pPr>
      <w:r>
        <w:rPr>
          <w:b/>
          <w:bCs/>
        </w:rPr>
        <w:t xml:space="preserve">Sui Ecosystem Dependency (HIGH)</w:t>
      </w:r>
    </w:p>
    <w:p>
      <w:pPr>
        <w:spacing w:after="100"/>
      </w:pPr>
      <w:r>
        <w:t xml:space="preserve">DeepBook's success is entirely dependent on the growth and adoption of the Sui blockchain. If Sui fails to gain meaningful traction vs. Ethereum, Solana, and other L1s, DeepBook's volume and relevance will be limited.</w:t>
      </w:r>
    </w:p>
    <w:p>
      <w:pPr>
        <w:spacing w:after="100"/>
      </w:pPr>
      <w:r>
        <w:rPr>
          <w:b/>
          <w:bCs/>
        </w:rPr>
        <w:t xml:space="preserve">Liquidity Bootstrapping (MEDIUM)</w:t>
      </w:r>
    </w:p>
    <w:p>
      <w:pPr>
        <w:spacing w:after="100"/>
      </w:pPr>
      <w:r>
        <w:t xml:space="preserve">CLOB models require active market makers to provide liquidity. In low-activity periods, order book depth may thin, increasing slippage for larger trades.</w:t>
      </w:r>
    </w:p>
    <w:p>
      <w:pPr>
        <w:spacing w:after="100"/>
      </w:pPr>
      <w:r>
        <w:rPr>
          <w:b/>
          <w:bCs/>
        </w:rPr>
        <w:t xml:space="preserve">Competition from AMMs (MEDIUM)</w:t>
      </w:r>
    </w:p>
    <w:p>
      <w:pPr>
        <w:spacing w:after="100"/>
      </w:pPr>
      <w:r>
        <w:t xml:space="preserve">AMM-based DEXs (like Cetus on Sui) offer passive liquidity provision, which is simpler for retail users. CLOBs are more complex and favor sophisticated traders.</w:t>
      </w:r>
    </w:p>
    <w:p>
      <w:pPr>
        <w:spacing w:after="100"/>
      </w:pPr>
      <w:r>
        <w:rPr>
          <w:b/>
          <w:bCs/>
        </w:rPr>
        <w:t xml:space="preserve">Token Value Capture (MEDIUM)</w:t>
      </w:r>
    </w:p>
    <w:p>
      <w:pPr>
        <w:spacing w:after="100"/>
      </w:pPr>
      <w:r>
        <w:t xml:space="preserve">As infrastructure, DeepBook must demonstrate that DEEP token captures sufficient value from the protocol's role to justify its valuation.</w:t>
      </w:r>
    </w:p>
    <w:p>
      <w:pPr>
        <w:spacing w:before="200" w:after="200"/>
      </w:pPr>
      <w:r>
        <w:t xml:space="preserve">═══════════════════════════════════════════════════════════════════</w:t>
      </w:r>
    </w:p>
    <w:p>
      <w:pPr>
        <w:pStyle w:val="Heading2"/>
        <w:spacing w:before="300" w:after="100"/>
      </w:pPr>
      <w:r>
        <w:rPr>
          <w:b/>
          <w:bCs/>
        </w:rPr>
        <w:t xml:space="preserve">CATALYSTS &amp; TIMELINE</w:t>
      </w:r>
    </w:p>
    <w:p>
      <w:pPr>
        <w:spacing w:before="100" w:after="10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999999" w:sz="1"/>
              <w:left w:val="single" w:color="999999" w:sz="1"/>
              <w:bottom w:val="single" w:color="999999" w:sz="1"/>
              <w:right w:val="single" w:color="999999" w:sz="1"/>
            </w:tcBorders>
          </w:tcPr>
          <w:p>
            <w:r>
              <w:rPr>
                <w:b/>
                <w:bCs/>
              </w:rPr>
              <w:t xml:space="preserve">Catalyst</w:t>
            </w:r>
          </w:p>
        </w:tc>
        <w:tc>
          <w:tcPr>
            <w:tcW w:type="dxa" w:w="3000"/>
            <w:tcBorders>
              <w:top w:val="single" w:color="999999" w:sz="1"/>
              <w:left w:val="single" w:color="999999" w:sz="1"/>
              <w:bottom w:val="single" w:color="999999" w:sz="1"/>
              <w:right w:val="single" w:color="999999" w:sz="1"/>
            </w:tcBorders>
          </w:tcPr>
          <w:p>
            <w:r>
              <w:rPr>
                <w:b/>
                <w:bCs/>
              </w:rPr>
              <w:t xml:space="preserve">Expected</w:t>
            </w:r>
          </w:p>
        </w:tc>
        <w:tc>
          <w:tcPr>
            <w:tcW w:type="dxa" w:w="3000"/>
            <w:tcBorders>
              <w:top w:val="single" w:color="999999" w:sz="1"/>
              <w:left w:val="single" w:color="999999" w:sz="1"/>
              <w:bottom w:val="single" w:color="999999" w:sz="1"/>
              <w:right w:val="single" w:color="999999" w:sz="1"/>
            </w:tcBorders>
          </w:tcPr>
          <w:p>
            <w:r>
              <w:rPr>
                <w:b/>
                <w:bCs/>
              </w:rPr>
              <w:t xml:space="preserve">Impact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Sui Ecosystem Growth</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More users and TVL on Sui directly benefits DeepBook volume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New Trading Pairs</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Adding major tokens and stablecoins expands addressable market</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Protocol Integrations</w:t>
            </w:r>
          </w:p>
        </w:tc>
        <w:tc>
          <w:tcPr>
            <w:tcW w:type="dxa" w:w="3000"/>
            <w:tcBorders>
              <w:top w:val="single" w:color="999999" w:sz="1"/>
              <w:left w:val="single" w:color="999999" w:sz="1"/>
              <w:bottom w:val="single" w:color="999999" w:sz="1"/>
              <w:right w:val="single" w:color="999999" w:sz="1"/>
            </w:tcBorders>
          </w:tcPr>
          <w:p>
            <w:r>
              <w:rPr>
                <w:b w:val="false"/>
                <w:bCs w:val="false"/>
              </w:rPr>
              <w:t xml:space="preserve">Ongoing</w:t>
            </w:r>
          </w:p>
        </w:tc>
        <w:tc>
          <w:tcPr>
            <w:tcW w:type="dxa" w:w="3000"/>
            <w:tcBorders>
              <w:top w:val="single" w:color="999999" w:sz="1"/>
              <w:left w:val="single" w:color="999999" w:sz="1"/>
              <w:bottom w:val="single" w:color="999999" w:sz="1"/>
              <w:right w:val="single" w:color="999999" w:sz="1"/>
            </w:tcBorders>
          </w:tcPr>
          <w:p>
            <w:r>
              <w:rPr>
                <w:b w:val="false"/>
                <w:bCs w:val="false"/>
              </w:rPr>
              <w:t xml:space="preserve">More Sui protocols composing with DeepBook deepens its role as core infrastructure</w:t>
            </w:r>
          </w:p>
        </w:tc>
      </w:tr>
      <w:tr>
        <w:tc>
          <w:tcPr>
            <w:tcW w:type="dxa" w:w="3000"/>
            <w:tcBorders>
              <w:top w:val="single" w:color="999999" w:sz="1"/>
              <w:left w:val="single" w:color="999999" w:sz="1"/>
              <w:bottom w:val="single" w:color="999999" w:sz="1"/>
              <w:right w:val="single" w:color="999999" w:sz="1"/>
            </w:tcBorders>
          </w:tcPr>
          <w:p>
            <w:r>
              <w:rPr>
                <w:b w:val="false"/>
                <w:bCs w:val="false"/>
              </w:rPr>
              <w:t xml:space="preserve">Institutional Sui Adoption</w:t>
            </w:r>
          </w:p>
        </w:tc>
        <w:tc>
          <w:tcPr>
            <w:tcW w:type="dxa" w:w="3000"/>
            <w:tcBorders>
              <w:top w:val="single" w:color="999999" w:sz="1"/>
              <w:left w:val="single" w:color="999999" w:sz="1"/>
              <w:bottom w:val="single" w:color="999999" w:sz="1"/>
              <w:right w:val="single" w:color="999999" w:sz="1"/>
            </w:tcBorders>
          </w:tcPr>
          <w:p>
            <w:r>
              <w:rPr>
                <w:b w:val="false"/>
                <w:bCs w:val="false"/>
              </w:rPr>
              <w:t xml:space="preserve">2025-2026</w:t>
            </w:r>
          </w:p>
        </w:tc>
        <w:tc>
          <w:tcPr>
            <w:tcW w:type="dxa" w:w="3000"/>
            <w:tcBorders>
              <w:top w:val="single" w:color="999999" w:sz="1"/>
              <w:left w:val="single" w:color="999999" w:sz="1"/>
              <w:bottom w:val="single" w:color="999999" w:sz="1"/>
              <w:right w:val="single" w:color="999999" w:sz="1"/>
            </w:tcBorders>
          </w:tcPr>
          <w:p>
            <w:r>
              <w:rPr>
                <w:b w:val="false"/>
                <w:bCs w:val="false"/>
              </w:rPr>
              <w:t xml:space="preserve">Enterprise and institutional use of Sui could drive institutional trading through DeepBook</w:t>
            </w:r>
          </w:p>
        </w:tc>
      </w:tr>
    </w:tbl>
    <w:p>
      <w:pPr>
        <w:spacing w:before="200" w:after="200"/>
      </w:pPr>
      <w:r>
        <w:t xml:space="preserve">═══════════════════════════════════════════════════════════════════</w:t>
      </w:r>
    </w:p>
    <w:p>
      <w:pPr>
        <w:pStyle w:val="Heading2"/>
        <w:spacing w:before="300" w:after="100"/>
      </w:pPr>
      <w:r>
        <w:rPr>
          <w:b/>
          <w:bCs/>
        </w:rPr>
        <w:t xml:space="preserve">SOURCES</w:t>
      </w:r>
    </w:p>
    <w:p>
      <w:pPr>
        <w:spacing w:before="100" w:after="100"/>
      </w:pPr>
      <w:r>
        <w:t xml:space="preserve">───────────────────────────────────────────────────────────────────</w:t>
      </w:r>
    </w:p>
    <w:p>
      <w:pPr>
        <w:spacing w:after="50"/>
      </w:pPr>
      <w:r>
        <w:t xml:space="preserve">• deepbook.tech — Official website</w:t>
      </w:r>
    </w:p>
    <w:p>
      <w:pPr>
        <w:spacing w:after="50"/>
      </w:pPr>
      <w:r>
        <w:t xml:space="preserve">• Sui documentation — DeepBook protocol specs</w:t>
      </w:r>
    </w:p>
    <w:p>
      <w:pPr>
        <w:spacing w:after="50"/>
      </w:pPr>
      <w:r>
        <w:t xml:space="preserve">• DefiLlama — Sui ecosystem TVL data</w:t>
      </w:r>
    </w:p>
    <w:p>
      <w:pPr>
        <w:spacing w:after="50"/>
      </w:pPr>
      <w:r>
        <w:t xml:space="preserve">• Mysten Labs announcements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2026-01-27T18:04:51.149Z</dcterms:created>
  <dcterms:modified xsi:type="dcterms:W3CDTF">2026-01-27T18:04:51.149Z</dcterms:modified>
</cp:coreProperties>
</file>

<file path=docProps/custom.xml><?xml version="1.0" encoding="utf-8"?>
<Properties xmlns="http://schemas.openxmlformats.org/officeDocument/2006/custom-properties" xmlns:vt="http://schemas.openxmlformats.org/officeDocument/2006/docPropsVTypes"/>
</file>