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6"/>
          <w:szCs w:val="36"/>
        </w:rPr>
        <w:t xml:space="preserve">NOMAD RESEARCH — DEEP DIVE</w:t>
      </w:r>
    </w:p>
    <w:p/>
    <w:p>
      <w:pPr>
        <w:spacing w:after="150"/>
      </w:pPr>
      <w:r>
        <w:rPr>
          <w:rFonts w:ascii="Arial" w:cs="Arial" w:eastAsia="Arial" w:hAnsi="Arial"/>
          <w:sz w:val="22"/>
          <w:szCs w:val="22"/>
        </w:rPr>
        <w:t xml:space="preserve">Protocol: Ika (formerly dWallet Network)</w:t>
      </w:r>
    </w:p>
    <w:p>
      <w:pPr>
        <w:spacing w:after="150"/>
      </w:pPr>
      <w:r>
        <w:rPr>
          <w:rFonts w:ascii="Arial" w:cs="Arial" w:eastAsia="Arial" w:hAnsi="Arial"/>
          <w:sz w:val="22"/>
          <w:szCs w:val="22"/>
        </w:rPr>
        <w:t xml:space="preserve">Ticker: $IKA</w:t>
      </w:r>
    </w:p>
    <w:p>
      <w:pPr>
        <w:spacing w:after="150"/>
      </w:pPr>
      <w:r>
        <w:rPr>
          <w:rFonts w:ascii="Arial" w:cs="Arial" w:eastAsia="Arial" w:hAnsi="Arial"/>
          <w:sz w:val="22"/>
          <w:szCs w:val="22"/>
        </w:rPr>
        <w:t xml:space="preserve">Chain: Sui</w:t>
      </w:r>
    </w:p>
    <w:p>
      <w:pPr>
        <w:spacing w:after="150"/>
      </w:pPr>
      <w:r>
        <w:rPr>
          <w:rFonts w:ascii="Arial" w:cs="Arial" w:eastAsia="Arial" w:hAnsi="Arial"/>
          <w:sz w:val="22"/>
          <w:szCs w:val="22"/>
        </w:rPr>
        <w:t xml:space="preserve">Category: Cross-Chain / MPC Infrastructure</w:t>
      </w:r>
    </w:p>
    <w:p>
      <w:pPr>
        <w:spacing w:after="150"/>
      </w:pPr>
      <w:r>
        <w:rPr>
          <w:rFonts w:ascii="Arial" w:cs="Arial" w:eastAsia="Arial" w:hAnsi="Arial"/>
          <w:sz w:val="22"/>
          <w:szCs w:val="22"/>
        </w:rPr>
        <w:t xml:space="preserve">Date: 2026-01-17</w:t>
      </w:r>
    </w:p>
    <w:p>
      <w:pPr>
        <w:spacing w:after="150"/>
      </w:pPr>
      <w:r>
        <w:rPr>
          <w:rFonts w:ascii="Arial" w:cs="Arial" w:eastAsia="Arial" w:hAnsi="Arial"/>
          <w:sz w:val="22"/>
          <w:szCs w:val="22"/>
        </w:rPr>
        <w:t xml:space="preserve">Status: Shortlist</w:t>
      </w:r>
    </w:p>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EXECUTIVE SUMMARY</w:t>
      </w:r>
    </w:p>
    <w:p>
      <w:pPr>
        <w:spacing w:before="300" w:after="100"/>
      </w:pPr>
      <w:r>
        <w:rPr>
          <w:rFonts w:ascii="Arial" w:cs="Arial" w:eastAsia="Arial" w:hAnsi="Arial"/>
          <w:sz w:val="22"/>
          <w:szCs w:val="22"/>
        </w:rPr>
        <w:t xml:space="preserve">───────────────────────────────────────────────────────────────────</w:t>
      </w:r>
    </w:p>
    <w:p>
      <w:pPr>
        <w:spacing w:after="150"/>
      </w:pPr>
      <w:r>
        <w:rPr>
          <w:rFonts w:ascii="Arial" w:cs="Arial" w:eastAsia="Arial" w:hAnsi="Arial"/>
          <w:sz w:val="22"/>
          <w:szCs w:val="22"/>
        </w:rPr>
        <w:t xml:space="preserve">Ika is the first sub-second Multi-Party Computation (MPC) network, built on Sui, enabling native cross-chain asset control without bridges or wrapped tokens. Its novel 2PC-MPC cryptography allows Sui smart contracts to directly manage assets on Bitcoin, Ethereum, and other chains through 'dWallets' - a decentralized, programmable signing mechanism. With $21M+ in funding (including Sui Foundation backing), mainnet launch in July 2025, and partnerships with BTCfi and custody solutions, Ika positions itself as critical infrastructure for multi-chain DeFi.</w:t>
      </w:r>
    </w:p>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THE OPPORTUNITY</w:t>
      </w:r>
    </w:p>
    <w:p>
      <w:pPr>
        <w:spacing w:before="300" w:after="100"/>
      </w:pPr>
      <w:r>
        <w:rPr>
          <w:rFonts w:ascii="Arial" w:cs="Arial" w:eastAsia="Arial" w:hAnsi="Arial"/>
          <w:sz w:val="22"/>
          <w:szCs w:val="22"/>
        </w:rPr>
        <w:t xml:space="preserve">───────────────────────────────────────────────────────────────────</w:t>
      </w:r>
    </w:p>
    <w:p>
      <w:pPr>
        <w:spacing w:after="150"/>
      </w:pPr>
      <w:r>
        <w:rPr>
          <w:rFonts w:ascii="Arial" w:cs="Arial" w:eastAsia="Arial" w:hAnsi="Arial"/>
          <w:b/>
          <w:bCs/>
          <w:sz w:val="24"/>
          <w:szCs w:val="24"/>
        </w:rPr>
        <w:t xml:space="preserve">What is Ika?</w:t>
      </w:r>
    </w:p>
    <w:p>
      <w:pPr>
        <w:spacing w:after="150"/>
      </w:pPr>
      <w:r>
        <w:rPr>
          <w:rFonts w:ascii="Arial" w:cs="Arial" w:eastAsia="Arial" w:hAnsi="Arial"/>
          <w:sz w:val="22"/>
          <w:szCs w:val="22"/>
        </w:rPr>
        <w:t xml:space="preserve">Ika (formerly dWallet Network) is a zero-trust threshold signature network that enables cross-chain interoperability without the risks of bridges or wrapped tokens. Instead of locking assets and creating synthetic representations, Ika's 'dWallets' allow smart contracts to directly control native assets on other blockchains using threshold signatures.</w:t>
      </w:r>
    </w:p>
    <w:p>
      <w:pPr>
        <w:spacing w:after="150"/>
      </w:pPr>
      <w:r>
        <w:rPr>
          <w:rFonts w:ascii="Arial" w:cs="Arial" w:eastAsia="Arial" w:hAnsi="Arial"/>
          <w:sz w:val="22"/>
          <w:szCs w:val="22"/>
        </w:rPr>
        <w:t xml:space="preserve">Core Innovation - dWallets:</w:t>
      </w:r>
    </w:p>
    <w:p>
      <w:pPr>
        <w:spacing w:after="100"/>
        <w:ind w:left="360"/>
      </w:pPr>
      <w:r>
        <w:rPr>
          <w:rFonts w:ascii="Arial" w:cs="Arial" w:eastAsia="Arial" w:hAnsi="Arial"/>
          <w:sz w:val="22"/>
          <w:szCs w:val="22"/>
        </w:rPr>
        <w:t xml:space="preserve">• Decentralized: No single party controls the signing key</w:t>
      </w:r>
    </w:p>
    <w:p>
      <w:pPr>
        <w:spacing w:after="100"/>
        <w:ind w:left="360"/>
      </w:pPr>
      <w:r>
        <w:rPr>
          <w:rFonts w:ascii="Arial" w:cs="Arial" w:eastAsia="Arial" w:hAnsi="Arial"/>
          <w:sz w:val="22"/>
          <w:szCs w:val="22"/>
        </w:rPr>
        <w:t xml:space="preserve">• Programmable: Sui smart contracts can define signing logic</w:t>
      </w:r>
    </w:p>
    <w:p>
      <w:pPr>
        <w:spacing w:after="100"/>
        <w:ind w:left="360"/>
      </w:pPr>
      <w:r>
        <w:rPr>
          <w:rFonts w:ascii="Arial" w:cs="Arial" w:eastAsia="Arial" w:hAnsi="Arial"/>
          <w:sz w:val="22"/>
          <w:szCs w:val="22"/>
        </w:rPr>
        <w:t xml:space="preserve">• Transferable: Ownership of dWallets can be transferred like any asset</w:t>
      </w:r>
    </w:p>
    <w:p>
      <w:pPr>
        <w:spacing w:after="100"/>
        <w:ind w:left="360"/>
      </w:pPr>
      <w:r>
        <w:rPr>
          <w:rFonts w:ascii="Arial" w:cs="Arial" w:eastAsia="Arial" w:hAnsi="Arial"/>
          <w:sz w:val="22"/>
          <w:szCs w:val="22"/>
        </w:rPr>
        <w:t xml:space="preserve">• Zero-Trust: User participation is cryptographically required for every signature</w:t>
      </w:r>
    </w:p>
    <w:p>
      <w:pPr>
        <w:spacing w:after="150"/>
      </w:pPr>
      <w:r>
        <w:rPr>
          <w:rFonts w:ascii="Arial" w:cs="Arial" w:eastAsia="Arial" w:hAnsi="Arial"/>
          <w:b/>
          <w:bCs/>
          <w:sz w:val="24"/>
          <w:szCs w:val="24"/>
        </w:rPr>
        <w:t xml:space="preserve">The Market</w:t>
      </w:r>
    </w:p>
    <w:p>
      <w:pPr>
        <w:spacing w:after="150"/>
      </w:pPr>
      <w:r>
        <w:rPr>
          <w:rFonts w:ascii="Arial" w:cs="Arial" w:eastAsia="Arial" w:hAnsi="Arial"/>
          <w:sz w:val="22"/>
          <w:szCs w:val="22"/>
        </w:rPr>
        <w:t xml:space="preserve">Total Addressable Market (TAM):</w:t>
      </w:r>
    </w:p>
    <w:p>
      <w:pPr>
        <w:spacing w:after="100"/>
        <w:ind w:left="360"/>
      </w:pPr>
      <w:r>
        <w:rPr>
          <w:rFonts w:ascii="Arial" w:cs="Arial" w:eastAsia="Arial" w:hAnsi="Arial"/>
          <w:sz w:val="22"/>
          <w:szCs w:val="22"/>
        </w:rPr>
        <w:t xml:space="preserve">• Cross-chain bridges market: $242M (2025) → $911M (2032), 22.5% CAGR</w:t>
      </w:r>
    </w:p>
    <w:p>
      <w:pPr>
        <w:spacing w:after="100"/>
        <w:ind w:left="360"/>
      </w:pPr>
      <w:r>
        <w:rPr>
          <w:rFonts w:ascii="Arial" w:cs="Arial" w:eastAsia="Arial" w:hAnsi="Arial"/>
          <w:sz w:val="22"/>
          <w:szCs w:val="22"/>
        </w:rPr>
        <w:t xml:space="preserve">• Broader blockchain interoperability market: $12.77B (2024) → $19.59B (2032)</w:t>
      </w:r>
    </w:p>
    <w:p>
      <w:pPr>
        <w:spacing w:after="100"/>
        <w:ind w:left="360"/>
      </w:pPr>
      <w:r>
        <w:rPr>
          <w:rFonts w:ascii="Arial" w:cs="Arial" w:eastAsia="Arial" w:hAnsi="Arial"/>
          <w:sz w:val="22"/>
          <w:szCs w:val="22"/>
        </w:rPr>
        <w:t xml:space="preserve">• Cross-chain bridges facilitate $1.3T+ in annual asset movement</w:t>
      </w:r>
    </w:p>
    <w:p>
      <w:pPr>
        <w:spacing w:after="100"/>
        <w:ind w:left="360"/>
      </w:pPr>
      <w:r>
        <w:rPr>
          <w:rFonts w:ascii="Arial" w:cs="Arial" w:eastAsia="Arial" w:hAnsi="Arial"/>
          <w:sz w:val="22"/>
          <w:szCs w:val="22"/>
        </w:rPr>
        <w:t xml:space="preserve">• 65% of DeFi projects rely on cross-chain bridges for liquidity</w:t>
      </w:r>
    </w:p>
    <w:p>
      <w:pPr>
        <w:spacing w:after="150"/>
      </w:pPr>
      <w:r>
        <w:rPr>
          <w:rFonts w:ascii="Arial" w:cs="Arial" w:eastAsia="Arial" w:hAnsi="Arial"/>
          <w:sz w:val="22"/>
          <w:szCs w:val="22"/>
        </w:rPr>
        <w:t xml:space="preserve">The Problem Ika Solves:</w:t>
      </w:r>
    </w:p>
    <w:p>
      <w:pPr>
        <w:spacing w:after="100"/>
        <w:ind w:left="360"/>
      </w:pPr>
      <w:r>
        <w:rPr>
          <w:rFonts w:ascii="Arial" w:cs="Arial" w:eastAsia="Arial" w:hAnsi="Arial"/>
          <w:sz w:val="22"/>
          <w:szCs w:val="22"/>
        </w:rPr>
        <w:t xml:space="preserve">• Bridge hacks: $2.8B+ lost to bridge exploits in 2025 (40% of all Web3 exploits)</w:t>
      </w:r>
    </w:p>
    <w:p>
      <w:pPr>
        <w:spacing w:after="100"/>
        <w:ind w:left="360"/>
      </w:pPr>
      <w:r>
        <w:rPr>
          <w:rFonts w:ascii="Arial" w:cs="Arial" w:eastAsia="Arial" w:hAnsi="Arial"/>
          <w:sz w:val="22"/>
          <w:szCs w:val="22"/>
        </w:rPr>
        <w:t xml:space="preserve">• Wrapped token risks: Systemic vulnerabilities from complex synchronization</w:t>
      </w:r>
    </w:p>
    <w:p>
      <w:pPr>
        <w:spacing w:after="100"/>
        <w:ind w:left="360"/>
      </w:pPr>
      <w:r>
        <w:rPr>
          <w:rFonts w:ascii="Arial" w:cs="Arial" w:eastAsia="Arial" w:hAnsi="Arial"/>
          <w:sz w:val="22"/>
          <w:szCs w:val="22"/>
        </w:rPr>
        <w:t xml:space="preserve">• Centralization: Most bridges rely on trusted intermediaries or small validator sets</w:t>
      </w:r>
    </w:p>
    <w:p>
      <w:pPr>
        <w:spacing w:after="150"/>
      </w:pPr>
      <w:r>
        <w:rPr>
          <w:rFonts w:ascii="Arial" w:cs="Arial" w:eastAsia="Arial" w:hAnsi="Arial"/>
          <w:sz w:val="22"/>
          <w:szCs w:val="22"/>
        </w:rPr>
        <w:t xml:space="preserve">Competitive Landscape:</w:t>
      </w:r>
    </w:p>
    <w:p>
      <w:pPr>
        <w:spacing w:after="100"/>
        <w:ind w:left="360"/>
      </w:pPr>
      <w:r>
        <w:rPr>
          <w:rFonts w:ascii="Arial" w:cs="Arial" w:eastAsia="Arial" w:hAnsi="Arial"/>
          <w:sz w:val="22"/>
          <w:szCs w:val="22"/>
        </w:rPr>
        <w:t xml:space="preserve">• Wormhole: Market leader, 30+ chains, but uses messaging/attestation model</w:t>
      </w:r>
    </w:p>
    <w:p>
      <w:pPr>
        <w:spacing w:after="100"/>
        <w:ind w:left="360"/>
      </w:pPr>
      <w:r>
        <w:rPr>
          <w:rFonts w:ascii="Arial" w:cs="Arial" w:eastAsia="Arial" w:hAnsi="Arial"/>
          <w:sz w:val="22"/>
          <w:szCs w:val="22"/>
        </w:rPr>
        <w:t xml:space="preserve">• LayerZero: Cross-chain messaging protocol, different architecture</w:t>
      </w:r>
    </w:p>
    <w:p>
      <w:pPr>
        <w:spacing w:after="100"/>
        <w:ind w:left="360"/>
      </w:pPr>
      <w:r>
        <w:rPr>
          <w:rFonts w:ascii="Arial" w:cs="Arial" w:eastAsia="Arial" w:hAnsi="Arial"/>
          <w:sz w:val="22"/>
          <w:szCs w:val="22"/>
        </w:rPr>
        <w:t xml:space="preserve">• Chainlink CCIP: 13% market share, oracle-based approach</w:t>
      </w:r>
    </w:p>
    <w:p>
      <w:pPr>
        <w:spacing w:after="100"/>
        <w:ind w:left="360"/>
      </w:pPr>
      <w:r>
        <w:rPr>
          <w:rFonts w:ascii="Arial" w:cs="Arial" w:eastAsia="Arial" w:hAnsi="Arial"/>
          <w:sz w:val="22"/>
          <w:szCs w:val="22"/>
        </w:rPr>
        <w:t xml:space="preserve">• Lit Protocol: MPC/TSS but permissioned validator sets (4-8 nodes)</w:t>
      </w:r>
    </w:p>
    <w:p>
      <w:pPr>
        <w:spacing w:after="100"/>
        <w:ind w:left="360"/>
      </w:pPr>
      <w:r>
        <w:rPr>
          <w:rFonts w:ascii="Arial" w:cs="Arial" w:eastAsia="Arial" w:hAnsi="Arial"/>
          <w:sz w:val="22"/>
          <w:szCs w:val="22"/>
        </w:rPr>
        <w:t xml:space="preserve">• NEAR/ICP: Threshold signatures but collusion risk from validator sets</w:t>
      </w:r>
    </w:p>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THE PROTOCOL</w:t>
      </w:r>
    </w:p>
    <w:p>
      <w:pPr>
        <w:spacing w:before="300" w:after="100"/>
      </w:pPr>
      <w:r>
        <w:rPr>
          <w:rFonts w:ascii="Arial" w:cs="Arial" w:eastAsia="Arial" w:hAnsi="Arial"/>
          <w:sz w:val="22"/>
          <w:szCs w:val="22"/>
        </w:rPr>
        <w:t xml:space="preserve">───────────────────────────────────────────────────────────────────</w:t>
      </w:r>
    </w:p>
    <w:p>
      <w:pPr>
        <w:spacing w:after="150"/>
      </w:pPr>
      <w:r>
        <w:rPr>
          <w:rFonts w:ascii="Arial" w:cs="Arial" w:eastAsia="Arial" w:hAnsi="Arial"/>
          <w:b/>
          <w:bCs/>
          <w:sz w:val="24"/>
          <w:szCs w:val="24"/>
        </w:rPr>
        <w:t xml:space="preserve">How It Works</w:t>
      </w:r>
    </w:p>
    <w:p>
      <w:pPr>
        <w:spacing w:after="150"/>
      </w:pPr>
      <w:r>
        <w:rPr>
          <w:rFonts w:ascii="Arial" w:cs="Arial" w:eastAsia="Arial" w:hAnsi="Arial"/>
          <w:sz w:val="22"/>
          <w:szCs w:val="22"/>
        </w:rPr>
        <w:t xml:space="preserve">2PC-MPC Architecture:</w:t>
      </w:r>
    </w:p>
    <w:p>
      <w:pPr>
        <w:spacing w:after="150"/>
      </w:pPr>
      <w:r>
        <w:rPr>
          <w:rFonts w:ascii="Arial" w:cs="Arial" w:eastAsia="Arial" w:hAnsi="Arial"/>
          <w:sz w:val="22"/>
          <w:szCs w:val="22"/>
        </w:rPr>
        <w:t xml:space="preserve">Ika uses a novel '2PC-MPC' (Two-Party Computation within Multi-Party Computation) cryptographic protocol:</w:t>
      </w:r>
    </w:p>
    <w:p>
      <w:pPr>
        <w:spacing w:after="100"/>
        <w:ind w:left="360"/>
      </w:pPr>
      <w:r>
        <w:rPr>
          <w:rFonts w:ascii="Arial" w:cs="Arial" w:eastAsia="Arial" w:hAnsi="Arial"/>
          <w:sz w:val="22"/>
          <w:szCs w:val="22"/>
        </w:rPr>
        <w:t xml:space="preserve">• 2PC Layer: Every signature requires BOTH the user AND the network - neither can sign alone</w:t>
      </w:r>
    </w:p>
    <w:p>
      <w:pPr>
        <w:spacing w:after="100"/>
        <w:ind w:left="360"/>
      </w:pPr>
      <w:r>
        <w:rPr>
          <w:rFonts w:ascii="Arial" w:cs="Arial" w:eastAsia="Arial" w:hAnsi="Arial"/>
          <w:sz w:val="22"/>
          <w:szCs w:val="22"/>
        </w:rPr>
        <w:t xml:space="preserve">• MPC Layer: The network's portion requires 2/3 consensus among hundreds/thousands of validators</w:t>
      </w:r>
    </w:p>
    <w:p>
      <w:pPr>
        <w:spacing w:after="100"/>
        <w:ind w:left="360"/>
      </w:pPr>
      <w:r>
        <w:rPr>
          <w:rFonts w:ascii="Arial" w:cs="Arial" w:eastAsia="Arial" w:hAnsi="Arial"/>
          <w:sz w:val="22"/>
          <w:szCs w:val="22"/>
        </w:rPr>
        <w:t xml:space="preserve">• Result: Non-collusive by design - even if all validators collude, they cannot sign without the user</w:t>
      </w:r>
    </w:p>
    <w:p>
      <w:pPr>
        <w:spacing w:after="150"/>
      </w:pPr>
      <w:r>
        <w:rPr>
          <w:rFonts w:ascii="Arial" w:cs="Arial" w:eastAsia="Arial" w:hAnsi="Arial"/>
          <w:sz w:val="22"/>
          <w:szCs w:val="22"/>
        </w:rPr>
        <w:t xml:space="preserve">Technical Performance:</w:t>
      </w:r>
    </w:p>
    <w:p>
      <w:pPr>
        <w:spacing w:after="100"/>
        <w:ind w:left="360"/>
      </w:pPr>
      <w:r>
        <w:rPr>
          <w:rFonts w:ascii="Arial" w:cs="Arial" w:eastAsia="Arial" w:hAnsi="Arial"/>
          <w:sz w:val="22"/>
          <w:szCs w:val="22"/>
        </w:rPr>
        <w:t xml:space="preserve">• Throughput: Up to 10,000 threshold signatures per second</w:t>
      </w:r>
    </w:p>
    <w:p>
      <w:pPr>
        <w:spacing w:after="100"/>
        <w:ind w:left="360"/>
      </w:pPr>
      <w:r>
        <w:rPr>
          <w:rFonts w:ascii="Arial" w:cs="Arial" w:eastAsia="Arial" w:hAnsi="Arial"/>
          <w:sz w:val="22"/>
          <w:szCs w:val="22"/>
        </w:rPr>
        <w:t xml:space="preserve">• Latency: Sub-second (vs 30+ seconds for legacy MPC networks)</w:t>
      </w:r>
    </w:p>
    <w:p>
      <w:pPr>
        <w:spacing w:after="100"/>
        <w:ind w:left="360"/>
      </w:pPr>
      <w:r>
        <w:rPr>
          <w:rFonts w:ascii="Arial" w:cs="Arial" w:eastAsia="Arial" w:hAnsi="Arial"/>
          <w:sz w:val="22"/>
          <w:szCs w:val="22"/>
        </w:rPr>
        <w:t xml:space="preserve">• Scalability: Supports hundreds to thousands of signer nodes (vs 4-8 for competitors)</w:t>
      </w:r>
    </w:p>
    <w:p>
      <w:pPr>
        <w:spacing w:after="100"/>
        <w:ind w:left="360"/>
      </w:pPr>
      <w:r>
        <w:rPr>
          <w:rFonts w:ascii="Arial" w:cs="Arial" w:eastAsia="Arial" w:hAnsi="Arial"/>
          <w:sz w:val="22"/>
          <w:szCs w:val="22"/>
        </w:rPr>
        <w:t xml:space="preserve">• Signature Types: ECDSA, Schnorr, EdDSA supported</w:t>
      </w:r>
    </w:p>
    <w:p>
      <w:pPr>
        <w:spacing w:after="150"/>
      </w:pPr>
      <w:r>
        <w:rPr>
          <w:rFonts w:ascii="Arial" w:cs="Arial" w:eastAsia="Arial" w:hAnsi="Arial"/>
          <w:sz w:val="22"/>
          <w:szCs w:val="22"/>
        </w:rPr>
        <w:t xml:space="preserve">How dWallets Work:</w:t>
      </w:r>
    </w:p>
    <w:p>
      <w:pPr>
        <w:spacing w:after="100"/>
        <w:ind w:left="360"/>
      </w:pPr>
      <w:r>
        <w:rPr>
          <w:rFonts w:ascii="Arial" w:cs="Arial" w:eastAsia="Arial" w:hAnsi="Arial"/>
          <w:sz w:val="22"/>
          <w:szCs w:val="22"/>
        </w:rPr>
        <w:t xml:space="preserve">• 1. User creates a dWallet via Distributed Key Generation (DKG)</w:t>
      </w:r>
    </w:p>
    <w:p>
      <w:pPr>
        <w:spacing w:after="100"/>
        <w:ind w:left="360"/>
      </w:pPr>
      <w:r>
        <w:rPr>
          <w:rFonts w:ascii="Arial" w:cs="Arial" w:eastAsia="Arial" w:hAnsi="Arial"/>
          <w:sz w:val="22"/>
          <w:szCs w:val="22"/>
        </w:rPr>
        <w:t xml:space="preserve">• 2. User holds their key share; network holds threshold-distributed shares</w:t>
      </w:r>
    </w:p>
    <w:p>
      <w:pPr>
        <w:spacing w:after="100"/>
        <w:ind w:left="360"/>
      </w:pPr>
      <w:r>
        <w:rPr>
          <w:rFonts w:ascii="Arial" w:cs="Arial" w:eastAsia="Arial" w:hAnsi="Arial"/>
          <w:sz w:val="22"/>
          <w:szCs w:val="22"/>
        </w:rPr>
        <w:t xml:space="preserve">• 3. Sui smart contracts can request signatures for cross-chain actions</w:t>
      </w:r>
    </w:p>
    <w:p>
      <w:pPr>
        <w:spacing w:after="100"/>
        <w:ind w:left="360"/>
      </w:pPr>
      <w:r>
        <w:rPr>
          <w:rFonts w:ascii="Arial" w:cs="Arial" w:eastAsia="Arial" w:hAnsi="Arial"/>
          <w:sz w:val="22"/>
          <w:szCs w:val="22"/>
        </w:rPr>
        <w:t xml:space="preserve">• 4. Both user + network threshold must participate to produce valid signature</w:t>
      </w:r>
    </w:p>
    <w:p>
      <w:pPr>
        <w:spacing w:after="100"/>
        <w:ind w:left="360"/>
      </w:pPr>
      <w:r>
        <w:rPr>
          <w:rFonts w:ascii="Arial" w:cs="Arial" w:eastAsia="Arial" w:hAnsi="Arial"/>
          <w:sz w:val="22"/>
          <w:szCs w:val="22"/>
        </w:rPr>
        <w:t xml:space="preserve">• 5. Signature is valid on target chain (Bitcoin, Ethereum, etc.) natively</w:t>
      </w:r>
    </w:p>
    <w:p>
      <w:pPr>
        <w:spacing w:after="150"/>
      </w:pPr>
      <w:r>
        <w:rPr>
          <w:rFonts w:ascii="Arial" w:cs="Arial" w:eastAsia="Arial" w:hAnsi="Arial"/>
          <w:b/>
          <w:bCs/>
          <w:sz w:val="24"/>
          <w:szCs w:val="24"/>
        </w:rPr>
        <w:t xml:space="preserve">Competitive Advantage</w:t>
      </w:r>
    </w:p>
    <w:p>
      <w:pPr>
        <w:spacing w:after="100"/>
        <w:ind w:left="360"/>
      </w:pPr>
      <w:r>
        <w:rPr>
          <w:rFonts w:ascii="Arial" w:cs="Arial" w:eastAsia="Arial" w:hAnsi="Arial"/>
          <w:sz w:val="22"/>
          <w:szCs w:val="22"/>
        </w:rPr>
        <w:t xml:space="preserve">• Zero-Trust Security: User required for every signature (no validator collusion risk)</w:t>
      </w:r>
    </w:p>
    <w:p>
      <w:pPr>
        <w:spacing w:after="100"/>
        <w:ind w:left="360"/>
      </w:pPr>
      <w:r>
        <w:rPr>
          <w:rFonts w:ascii="Arial" w:cs="Arial" w:eastAsia="Arial" w:hAnsi="Arial"/>
          <w:sz w:val="22"/>
          <w:szCs w:val="22"/>
        </w:rPr>
        <w:t xml:space="preserve">• Native Assets: No wrapping, bridging, or synthetic tokens - direct control</w:t>
      </w:r>
    </w:p>
    <w:p>
      <w:pPr>
        <w:spacing w:after="100"/>
        <w:ind w:left="360"/>
      </w:pPr>
      <w:r>
        <w:rPr>
          <w:rFonts w:ascii="Arial" w:cs="Arial" w:eastAsia="Arial" w:hAnsi="Arial"/>
          <w:sz w:val="22"/>
          <w:szCs w:val="22"/>
        </w:rPr>
        <w:t xml:space="preserve">• Sui Integration: Leverages Mysticeti consensus for sub-second performance</w:t>
      </w:r>
    </w:p>
    <w:p>
      <w:pPr>
        <w:spacing w:after="100"/>
        <w:ind w:left="360"/>
      </w:pPr>
      <w:r>
        <w:rPr>
          <w:rFonts w:ascii="Arial" w:cs="Arial" w:eastAsia="Arial" w:hAnsi="Arial"/>
          <w:sz w:val="22"/>
          <w:szCs w:val="22"/>
        </w:rPr>
        <w:t xml:space="preserve">• Scalability: Orders of magnitude faster than existing MPC solutions</w:t>
      </w:r>
    </w:p>
    <w:p>
      <w:pPr>
        <w:spacing w:after="100"/>
        <w:ind w:left="360"/>
      </w:pPr>
      <w:r>
        <w:rPr>
          <w:rFonts w:ascii="Arial" w:cs="Arial" w:eastAsia="Arial" w:hAnsi="Arial"/>
          <w:sz w:val="22"/>
          <w:szCs w:val="22"/>
        </w:rPr>
        <w:t xml:space="preserve">• Academic Validation: 2PC-MPC protocol peer-reviewed and published</w:t>
      </w:r>
    </w:p>
    <w:p>
      <w:pPr>
        <w:spacing w:after="150"/>
      </w:pPr>
      <w:r>
        <w:rPr>
          <w:rFonts w:ascii="Arial" w:cs="Arial" w:eastAsia="Arial" w:hAnsi="Arial"/>
          <w:b/>
          <w:bCs/>
          <w:sz w:val="24"/>
          <w:szCs w:val="24"/>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jc w:val="left"/>
            </w:pPr>
            <w:r>
              <w:rPr>
                <w:rFonts w:ascii="Arial" w:cs="Arial" w:eastAsia="Arial" w:hAnsi="Arial"/>
                <w:b/>
                <w:bCs/>
                <w:sz w:val="20"/>
                <w:szCs w:val="20"/>
              </w:rPr>
              <w:t xml:space="preserve">Metric</w:t>
            </w:r>
          </w:p>
        </w:tc>
        <w:tc>
          <w:tcPr>
            <w:tcW w:type="dxa" w:w="3000"/>
          </w:tcPr>
          <w:p>
            <w:pPr>
              <w:jc w:val="left"/>
            </w:pPr>
            <w:r>
              <w:rPr>
                <w:rFonts w:ascii="Arial" w:cs="Arial" w:eastAsia="Arial" w:hAnsi="Arial"/>
                <w:b/>
                <w:bCs/>
                <w:sz w:val="20"/>
                <w:szCs w:val="20"/>
              </w:rPr>
              <w:t xml:space="preserve">Value</w:t>
            </w:r>
          </w:p>
        </w:tc>
        <w:tc>
          <w:tcPr>
            <w:tcW w:type="dxa" w:w="3000"/>
          </w:tcPr>
          <w:p>
            <w:pPr>
              <w:jc w:val="left"/>
            </w:pPr>
            <w:r>
              <w:rPr>
                <w:rFonts w:ascii="Arial" w:cs="Arial" w:eastAsia="Arial" w:hAnsi="Arial"/>
                <w:b/>
                <w:bCs/>
                <w:sz w:val="20"/>
                <w:szCs w:val="20"/>
              </w:rPr>
              <w:t xml:space="preserve">Context</w:t>
            </w:r>
          </w:p>
        </w:tc>
      </w:tr>
      <w:tr>
        <w:tc>
          <w:tcPr>
            <w:tcW w:type="dxa" w:w="3000"/>
          </w:tcPr>
          <w:p>
            <w:pPr>
              <w:jc w:val="left"/>
            </w:pPr>
            <w:r>
              <w:rPr>
                <w:rFonts w:ascii="Arial" w:cs="Arial" w:eastAsia="Arial" w:hAnsi="Arial"/>
                <w:b w:val="false"/>
                <w:bCs w:val="false"/>
                <w:sz w:val="20"/>
                <w:szCs w:val="20"/>
              </w:rPr>
              <w:t xml:space="preserve">Market Cap</w:t>
            </w:r>
          </w:p>
        </w:tc>
        <w:tc>
          <w:tcPr>
            <w:tcW w:type="dxa" w:w="3000"/>
          </w:tcPr>
          <w:p>
            <w:pPr>
              <w:jc w:val="left"/>
            </w:pPr>
            <w:r>
              <w:rPr>
                <w:rFonts w:ascii="Arial" w:cs="Arial" w:eastAsia="Arial" w:hAnsi="Arial"/>
                <w:b w:val="false"/>
                <w:bCs w:val="false"/>
                <w:sz w:val="20"/>
                <w:szCs w:val="20"/>
              </w:rPr>
              <w:t xml:space="preserve">$23.9M</w:t>
            </w:r>
          </w:p>
        </w:tc>
        <w:tc>
          <w:tcPr>
            <w:tcW w:type="dxa" w:w="3000"/>
          </w:tcPr>
          <w:p>
            <w:pPr>
              <w:jc w:val="left"/>
            </w:pPr>
            <w:r>
              <w:rPr>
                <w:rFonts w:ascii="Arial" w:cs="Arial" w:eastAsia="Arial" w:hAnsi="Arial"/>
                <w:b w:val="false"/>
                <w:bCs w:val="false"/>
                <w:sz w:val="20"/>
                <w:szCs w:val="20"/>
              </w:rPr>
              <w:t xml:space="preserve">Ranked #707 on CMC</w:t>
            </w:r>
          </w:p>
        </w:tc>
      </w:tr>
      <w:tr>
        <w:tc>
          <w:tcPr>
            <w:tcW w:type="dxa" w:w="3000"/>
          </w:tcPr>
          <w:p>
            <w:pPr>
              <w:jc w:val="left"/>
            </w:pPr>
            <w:r>
              <w:rPr>
                <w:rFonts w:ascii="Arial" w:cs="Arial" w:eastAsia="Arial" w:hAnsi="Arial"/>
                <w:b w:val="false"/>
                <w:bCs w:val="false"/>
                <w:sz w:val="20"/>
                <w:szCs w:val="20"/>
              </w:rPr>
              <w:t xml:space="preserve">FDV</w:t>
            </w:r>
          </w:p>
        </w:tc>
        <w:tc>
          <w:tcPr>
            <w:tcW w:type="dxa" w:w="3000"/>
          </w:tcPr>
          <w:p>
            <w:pPr>
              <w:jc w:val="left"/>
            </w:pPr>
            <w:r>
              <w:rPr>
                <w:rFonts w:ascii="Arial" w:cs="Arial" w:eastAsia="Arial" w:hAnsi="Arial"/>
                <w:b w:val="false"/>
                <w:bCs w:val="false"/>
                <w:sz w:val="20"/>
                <w:szCs w:val="20"/>
              </w:rPr>
              <w:t xml:space="preserve">$491.9M</w:t>
            </w:r>
          </w:p>
        </w:tc>
        <w:tc>
          <w:tcPr>
            <w:tcW w:type="dxa" w:w="3000"/>
          </w:tcPr>
          <w:p>
            <w:pPr>
              <w:jc w:val="left"/>
            </w:pPr>
            <w:r>
              <w:rPr>
                <w:rFonts w:ascii="Arial" w:cs="Arial" w:eastAsia="Arial" w:hAnsi="Arial"/>
                <w:b w:val="false"/>
                <w:bCs w:val="false"/>
                <w:sz w:val="20"/>
                <w:szCs w:val="20"/>
              </w:rPr>
              <w:t xml:space="preserve">Peak private valuation $600M</w:t>
            </w:r>
          </w:p>
        </w:tc>
      </w:tr>
      <w:tr>
        <w:tc>
          <w:tcPr>
            <w:tcW w:type="dxa" w:w="3000"/>
          </w:tcPr>
          <w:p>
            <w:pPr>
              <w:jc w:val="left"/>
            </w:pPr>
            <w:r>
              <w:rPr>
                <w:rFonts w:ascii="Arial" w:cs="Arial" w:eastAsia="Arial" w:hAnsi="Arial"/>
                <w:b w:val="false"/>
                <w:bCs w:val="false"/>
                <w:sz w:val="20"/>
                <w:szCs w:val="20"/>
              </w:rPr>
              <w:t xml:space="preserve">Token Price</w:t>
            </w:r>
          </w:p>
        </w:tc>
        <w:tc>
          <w:tcPr>
            <w:tcW w:type="dxa" w:w="3000"/>
          </w:tcPr>
          <w:p>
            <w:pPr>
              <w:jc w:val="left"/>
            </w:pPr>
            <w:r>
              <w:rPr>
                <w:rFonts w:ascii="Arial" w:cs="Arial" w:eastAsia="Arial" w:hAnsi="Arial"/>
                <w:b w:val="false"/>
                <w:bCs w:val="false"/>
                <w:sz w:val="20"/>
                <w:szCs w:val="20"/>
              </w:rPr>
              <w:t xml:space="preserve">$0.008</w:t>
            </w:r>
          </w:p>
        </w:tc>
        <w:tc>
          <w:tcPr>
            <w:tcW w:type="dxa" w:w="3000"/>
          </w:tcPr>
          <w:p>
            <w:pPr>
              <w:jc w:val="left"/>
            </w:pPr>
            <w:r>
              <w:rPr>
                <w:rFonts w:ascii="Arial" w:cs="Arial" w:eastAsia="Arial" w:hAnsi="Arial"/>
                <w:b w:val="false"/>
                <w:bCs w:val="false"/>
                <w:sz w:val="20"/>
                <w:szCs w:val="20"/>
              </w:rPr>
              <w:t xml:space="preserve">ATH: $0.34</w:t>
            </w:r>
          </w:p>
        </w:tc>
      </w:tr>
      <w:tr>
        <w:tc>
          <w:tcPr>
            <w:tcW w:type="dxa" w:w="3000"/>
          </w:tcPr>
          <w:p>
            <w:pPr>
              <w:jc w:val="left"/>
            </w:pPr>
            <w:r>
              <w:rPr>
                <w:rFonts w:ascii="Arial" w:cs="Arial" w:eastAsia="Arial" w:hAnsi="Arial"/>
                <w:b w:val="false"/>
                <w:bCs w:val="false"/>
                <w:sz w:val="20"/>
                <w:szCs w:val="20"/>
              </w:rPr>
              <w:t xml:space="preserve">Circulating Supply</w:t>
            </w:r>
          </w:p>
        </w:tc>
        <w:tc>
          <w:tcPr>
            <w:tcW w:type="dxa" w:w="3000"/>
          </w:tcPr>
          <w:p>
            <w:pPr>
              <w:jc w:val="left"/>
            </w:pPr>
            <w:r>
              <w:rPr>
                <w:rFonts w:ascii="Arial" w:cs="Arial" w:eastAsia="Arial" w:hAnsi="Arial"/>
                <w:b w:val="false"/>
                <w:bCs w:val="false"/>
                <w:sz w:val="20"/>
                <w:szCs w:val="20"/>
              </w:rPr>
              <w:t xml:space="preserve">3B IKA</w:t>
            </w:r>
          </w:p>
        </w:tc>
        <w:tc>
          <w:tcPr>
            <w:tcW w:type="dxa" w:w="3000"/>
          </w:tcPr>
          <w:p>
            <w:pPr>
              <w:jc w:val="left"/>
            </w:pPr>
            <w:r>
              <w:rPr>
                <w:rFonts w:ascii="Arial" w:cs="Arial" w:eastAsia="Arial" w:hAnsi="Arial"/>
                <w:b w:val="false"/>
                <w:bCs w:val="false"/>
                <w:sz w:val="20"/>
                <w:szCs w:val="20"/>
              </w:rPr>
              <w:t xml:space="preserve">30% of total supply</w:t>
            </w:r>
          </w:p>
        </w:tc>
      </w:tr>
      <w:tr>
        <w:tc>
          <w:tcPr>
            <w:tcW w:type="dxa" w:w="3000"/>
          </w:tcPr>
          <w:p>
            <w:pPr>
              <w:jc w:val="left"/>
            </w:pPr>
            <w:r>
              <w:rPr>
                <w:rFonts w:ascii="Arial" w:cs="Arial" w:eastAsia="Arial" w:hAnsi="Arial"/>
                <w:b w:val="false"/>
                <w:bCs w:val="false"/>
                <w:sz w:val="20"/>
                <w:szCs w:val="20"/>
              </w:rPr>
              <w:t xml:space="preserve">24h Volume</w:t>
            </w:r>
          </w:p>
        </w:tc>
        <w:tc>
          <w:tcPr>
            <w:tcW w:type="dxa" w:w="3000"/>
          </w:tcPr>
          <w:p>
            <w:pPr>
              <w:jc w:val="left"/>
            </w:pPr>
            <w:r>
              <w:rPr>
                <w:rFonts w:ascii="Arial" w:cs="Arial" w:eastAsia="Arial" w:hAnsi="Arial"/>
                <w:b w:val="false"/>
                <w:bCs w:val="false"/>
                <w:sz w:val="20"/>
                <w:szCs w:val="20"/>
              </w:rPr>
              <w:t xml:space="preserve">$11.1M</w:t>
            </w:r>
          </w:p>
        </w:tc>
        <w:tc>
          <w:tcPr>
            <w:tcW w:type="dxa" w:w="3000"/>
          </w:tcPr>
          <w:p>
            <w:pPr>
              <w:jc w:val="left"/>
            </w:pPr>
            <w:r>
              <w:rPr>
                <w:rFonts w:ascii="Arial" w:cs="Arial" w:eastAsia="Arial" w:hAnsi="Arial"/>
                <w:b w:val="false"/>
                <w:bCs w:val="false"/>
                <w:sz w:val="20"/>
                <w:szCs w:val="20"/>
              </w:rPr>
              <w:t xml:space="preserve">Active trading</w:t>
            </w:r>
          </w:p>
        </w:tc>
      </w:tr>
      <w:tr>
        <w:tc>
          <w:tcPr>
            <w:tcW w:type="dxa" w:w="3000"/>
          </w:tcPr>
          <w:p>
            <w:pPr>
              <w:jc w:val="left"/>
            </w:pPr>
            <w:r>
              <w:rPr>
                <w:rFonts w:ascii="Arial" w:cs="Arial" w:eastAsia="Arial" w:hAnsi="Arial"/>
                <w:b w:val="false"/>
                <w:bCs w:val="false"/>
                <w:sz w:val="20"/>
                <w:szCs w:val="20"/>
              </w:rPr>
              <w:t xml:space="preserve">Mainnet Launch</w:t>
            </w:r>
          </w:p>
        </w:tc>
        <w:tc>
          <w:tcPr>
            <w:tcW w:type="dxa" w:w="3000"/>
          </w:tcPr>
          <w:p>
            <w:pPr>
              <w:jc w:val="left"/>
            </w:pPr>
            <w:r>
              <w:rPr>
                <w:rFonts w:ascii="Arial" w:cs="Arial" w:eastAsia="Arial" w:hAnsi="Arial"/>
                <w:b w:val="false"/>
                <w:bCs w:val="false"/>
                <w:sz w:val="20"/>
                <w:szCs w:val="20"/>
              </w:rPr>
              <w:t xml:space="preserve">July 29, 2025</w:t>
            </w:r>
          </w:p>
        </w:tc>
        <w:tc>
          <w:tcPr>
            <w:tcW w:type="dxa" w:w="3000"/>
          </w:tcPr>
          <w:p>
            <w:pPr>
              <w:jc w:val="left"/>
            </w:pPr>
            <w:r>
              <w:rPr>
                <w:rFonts w:ascii="Arial" w:cs="Arial" w:eastAsia="Arial" w:hAnsi="Arial"/>
                <w:b w:val="false"/>
                <w:bCs w:val="false"/>
                <w:sz w:val="20"/>
                <w:szCs w:val="20"/>
              </w:rPr>
              <w:t xml:space="preserve">TGE same date</w:t>
            </w:r>
          </w:p>
        </w:tc>
      </w:tr>
      <w:tr>
        <w:tc>
          <w:tcPr>
            <w:tcW w:type="dxa" w:w="3000"/>
          </w:tcPr>
          <w:p>
            <w:pPr>
              <w:jc w:val="left"/>
            </w:pPr>
            <w:r>
              <w:rPr>
                <w:rFonts w:ascii="Arial" w:cs="Arial" w:eastAsia="Arial" w:hAnsi="Arial"/>
                <w:b w:val="false"/>
                <w:bCs w:val="false"/>
                <w:sz w:val="20"/>
                <w:szCs w:val="20"/>
              </w:rPr>
              <w:t xml:space="preserve">Total Funding</w:t>
            </w:r>
          </w:p>
        </w:tc>
        <w:tc>
          <w:tcPr>
            <w:tcW w:type="dxa" w:w="3000"/>
          </w:tcPr>
          <w:p>
            <w:pPr>
              <w:jc w:val="left"/>
            </w:pPr>
            <w:r>
              <w:rPr>
                <w:rFonts w:ascii="Arial" w:cs="Arial" w:eastAsia="Arial" w:hAnsi="Arial"/>
                <w:b w:val="false"/>
                <w:bCs w:val="false"/>
                <w:sz w:val="20"/>
                <w:szCs w:val="20"/>
              </w:rPr>
              <w:t xml:space="preserve">$21M+</w:t>
            </w:r>
          </w:p>
        </w:tc>
        <w:tc>
          <w:tcPr>
            <w:tcW w:type="dxa" w:w="3000"/>
          </w:tcPr>
          <w:p>
            <w:pPr>
              <w:jc w:val="left"/>
            </w:pPr>
            <w:r>
              <w:rPr>
                <w:rFonts w:ascii="Arial" w:cs="Arial" w:eastAsia="Arial" w:hAnsi="Arial"/>
                <w:b w:val="false"/>
                <w:bCs w:val="false"/>
                <w:sz w:val="20"/>
                <w:szCs w:val="20"/>
              </w:rPr>
              <w:t xml:space="preserve">Including Sui Foundation</w:t>
            </w:r>
          </w:p>
        </w:tc>
      </w:tr>
    </w:tbl>
    <w:p>
      <w:pPr>
        <w:spacing w:after="150"/>
      </w:pPr>
      <w:r>
        <w:rPr>
          <w:rFonts w:ascii="Arial" w:cs="Arial" w:eastAsia="Arial" w:hAnsi="Arial"/>
          <w:sz w:val="22"/>
          <w:szCs w:val="22"/>
        </w:rPr>
        <w:t xml:space="preserve">Launch Partners:</w:t>
      </w:r>
    </w:p>
    <w:p>
      <w:pPr>
        <w:spacing w:after="100"/>
        <w:ind w:left="360"/>
      </w:pPr>
      <w:r>
        <w:rPr>
          <w:rFonts w:ascii="Arial" w:cs="Arial" w:eastAsia="Arial" w:hAnsi="Arial"/>
          <w:sz w:val="22"/>
          <w:szCs w:val="22"/>
        </w:rPr>
        <w:t xml:space="preserve">• Native: Bitcoin liquidity protocols - native BTC lending, trading, yield</w:t>
      </w:r>
    </w:p>
    <w:p>
      <w:pPr>
        <w:spacing w:after="100"/>
        <w:ind w:left="360"/>
      </w:pPr>
      <w:r>
        <w:rPr>
          <w:rFonts w:ascii="Arial" w:cs="Arial" w:eastAsia="Arial" w:hAnsi="Arial"/>
          <w:sz w:val="22"/>
          <w:szCs w:val="22"/>
        </w:rPr>
        <w:t xml:space="preserve">• Human Tech: Wallet-as-a-Protocol - unified interface for multi-chain assets</w:t>
      </w:r>
    </w:p>
    <w:p>
      <w:pPr>
        <w:spacing w:after="100"/>
        <w:ind w:left="360"/>
      </w:pPr>
      <w:r>
        <w:rPr>
          <w:rFonts w:ascii="Arial" w:cs="Arial" w:eastAsia="Arial" w:hAnsi="Arial"/>
          <w:sz w:val="22"/>
          <w:szCs w:val="22"/>
        </w:rPr>
        <w:t xml:space="preserve">• Rhei Finance: Multi-chain DeFi for institutional users</w:t>
      </w:r>
    </w:p>
    <w:p>
      <w:pPr>
        <w:spacing w:after="100"/>
        <w:ind w:left="360"/>
      </w:pPr>
      <w:r>
        <w:rPr>
          <w:rFonts w:ascii="Arial" w:cs="Arial" w:eastAsia="Arial" w:hAnsi="Arial"/>
          <w:sz w:val="22"/>
          <w:szCs w:val="22"/>
        </w:rPr>
        <w:t xml:space="preserve">• Aeon: Zero-trust custody for AI agents with MPC guardrails</w:t>
      </w:r>
    </w:p>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TOKENOMICS</w:t>
      </w:r>
    </w:p>
    <w:p>
      <w:pPr>
        <w:spacing w:before="300" w:after="100"/>
      </w:pPr>
      <w:r>
        <w:rPr>
          <w:rFonts w:ascii="Arial" w:cs="Arial" w:eastAsia="Arial" w:hAnsi="Arial"/>
          <w:sz w:val="22"/>
          <w:szCs w:val="22"/>
        </w:rPr>
        <w:t xml:space="preserve">───────────────────────────────────────────────────────────────────</w:t>
      </w:r>
    </w:p>
    <w:p>
      <w:pPr>
        <w:spacing w:after="150"/>
      </w:pPr>
      <w:r>
        <w:rPr>
          <w:rFonts w:ascii="Arial" w:cs="Arial" w:eastAsia="Arial" w:hAnsi="Arial"/>
          <w:b/>
          <w:bCs/>
          <w:sz w:val="24"/>
          <w:szCs w:val="24"/>
        </w:rPr>
        <w:t xml:space="preserve">Token Utility</w:t>
      </w:r>
    </w:p>
    <w:p>
      <w:pPr>
        <w:spacing w:after="100"/>
        <w:ind w:left="360"/>
      </w:pPr>
      <w:r>
        <w:rPr>
          <w:rFonts w:ascii="Arial" w:cs="Arial" w:eastAsia="Arial" w:hAnsi="Arial"/>
          <w:sz w:val="22"/>
          <w:szCs w:val="22"/>
        </w:rPr>
        <w:t xml:space="preserve">• Payment: Users pay IKA for network operations (dWallet creation, signatures, resharing)</w:t>
      </w:r>
    </w:p>
    <w:p>
      <w:pPr>
        <w:spacing w:after="100"/>
        <w:ind w:left="360"/>
      </w:pPr>
      <w:r>
        <w:rPr>
          <w:rFonts w:ascii="Arial" w:cs="Arial" w:eastAsia="Arial" w:hAnsi="Arial"/>
          <w:sz w:val="22"/>
          <w:szCs w:val="22"/>
        </w:rPr>
        <w:t xml:space="preserve">• Staking: Secures network via Proof-of-Stake; rewards for validators/operators</w:t>
      </w:r>
    </w:p>
    <w:p>
      <w:pPr>
        <w:spacing w:after="100"/>
        <w:ind w:left="360"/>
      </w:pPr>
      <w:r>
        <w:rPr>
          <w:rFonts w:ascii="Arial" w:cs="Arial" w:eastAsia="Arial" w:hAnsi="Arial"/>
          <w:sz w:val="22"/>
          <w:szCs w:val="22"/>
        </w:rPr>
        <w:t xml:space="preserve">• Governance: Community-driven decision making on protocol changes</w:t>
      </w:r>
    </w:p>
    <w:p>
      <w:pPr>
        <w:spacing w:after="150"/>
      </w:pPr>
      <w:r>
        <w:rPr>
          <w:rFonts w:ascii="Arial" w:cs="Arial" w:eastAsia="Arial" w:hAnsi="Arial"/>
          <w:sz w:val="22"/>
          <w:szCs w:val="22"/>
        </w:rPr>
        <w:t xml:space="preserve">Fee Structure:</w:t>
      </w:r>
    </w:p>
    <w:p>
      <w:pPr>
        <w:spacing w:after="150"/>
      </w:pPr>
      <w:r>
        <w:rPr>
          <w:rFonts w:ascii="Arial" w:cs="Arial" w:eastAsia="Arial" w:hAnsi="Arial"/>
          <w:sz w:val="22"/>
          <w:szCs w:val="22"/>
        </w:rPr>
        <w:t xml:space="preserve">Fees vary by cryptographic operation complexity:</w:t>
      </w:r>
    </w:p>
    <w:p>
      <w:pPr>
        <w:spacing w:after="100"/>
        <w:ind w:left="360"/>
      </w:pPr>
      <w:r>
        <w:rPr>
          <w:rFonts w:ascii="Arial" w:cs="Arial" w:eastAsia="Arial" w:hAnsi="Arial"/>
          <w:sz w:val="22"/>
          <w:szCs w:val="22"/>
        </w:rPr>
        <w:t xml:space="preserve">• Different elliptic curves (ECDSA vs EdDSA vs Schnorr) have different costs</w:t>
      </w:r>
    </w:p>
    <w:p>
      <w:pPr>
        <w:spacing w:after="100"/>
        <w:ind w:left="360"/>
      </w:pPr>
      <w:r>
        <w:rPr>
          <w:rFonts w:ascii="Arial" w:cs="Arial" w:eastAsia="Arial" w:hAnsi="Arial"/>
          <w:sz w:val="22"/>
          <w:szCs w:val="22"/>
        </w:rPr>
        <w:t xml:space="preserve">• DKG (wallet creation) costs differ from signature generation</w:t>
      </w:r>
    </w:p>
    <w:p>
      <w:pPr>
        <w:spacing w:after="100"/>
        <w:ind w:left="360"/>
      </w:pPr>
      <w:r>
        <w:rPr>
          <w:rFonts w:ascii="Arial" w:cs="Arial" w:eastAsia="Arial" w:hAnsi="Arial"/>
          <w:sz w:val="22"/>
          <w:szCs w:val="22"/>
        </w:rPr>
        <w:t xml:space="preserve">• Resharing operations have separate fee structures</w:t>
      </w:r>
    </w:p>
    <w:p>
      <w:pPr>
        <w:spacing w:after="150"/>
      </w:pPr>
      <w:r>
        <w:rPr>
          <w:rFonts w:ascii="Arial" w:cs="Arial" w:eastAsia="Arial" w:hAnsi="Arial"/>
          <w:b/>
          <w:bCs/>
          <w:sz w:val="24"/>
          <w:szCs w:val="24"/>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jc w:val="left"/>
            </w:pPr>
            <w:r>
              <w:rPr>
                <w:rFonts w:ascii="Arial" w:cs="Arial" w:eastAsia="Arial" w:hAnsi="Arial"/>
                <w:b/>
                <w:bCs/>
                <w:sz w:val="20"/>
                <w:szCs w:val="20"/>
              </w:rPr>
              <w:t xml:space="preserve">Category</w:t>
            </w:r>
          </w:p>
        </w:tc>
        <w:tc>
          <w:tcPr>
            <w:tcW w:type="dxa" w:w="3000"/>
          </w:tcPr>
          <w:p>
            <w:pPr>
              <w:jc w:val="left"/>
            </w:pPr>
            <w:r>
              <w:rPr>
                <w:rFonts w:ascii="Arial" w:cs="Arial" w:eastAsia="Arial" w:hAnsi="Arial"/>
                <w:b/>
                <w:bCs/>
                <w:sz w:val="20"/>
                <w:szCs w:val="20"/>
              </w:rPr>
              <w:t xml:space="preserve">Allocation</w:t>
            </w:r>
          </w:p>
        </w:tc>
        <w:tc>
          <w:tcPr>
            <w:tcW w:type="dxa" w:w="3000"/>
          </w:tcPr>
          <w:p>
            <w:pPr>
              <w:jc w:val="left"/>
            </w:pPr>
            <w:r>
              <w:rPr>
                <w:rFonts w:ascii="Arial" w:cs="Arial" w:eastAsia="Arial" w:hAnsi="Arial"/>
                <w:b/>
                <w:bCs/>
                <w:sz w:val="20"/>
                <w:szCs w:val="20"/>
              </w:rPr>
              <w:t xml:space="preserve">Vesting</w:t>
            </w:r>
          </w:p>
        </w:tc>
      </w:tr>
      <w:tr>
        <w:tc>
          <w:tcPr>
            <w:tcW w:type="dxa" w:w="3000"/>
          </w:tcPr>
          <w:p>
            <w:pPr>
              <w:jc w:val="left"/>
            </w:pPr>
            <w:r>
              <w:rPr>
                <w:rFonts w:ascii="Arial" w:cs="Arial" w:eastAsia="Arial" w:hAnsi="Arial"/>
                <w:b w:val="false"/>
                <w:bCs w:val="false"/>
                <w:sz w:val="20"/>
                <w:szCs w:val="20"/>
              </w:rPr>
              <w:t xml:space="preserve">Community Treasury</w:t>
            </w:r>
          </w:p>
        </w:tc>
        <w:tc>
          <w:tcPr>
            <w:tcW w:type="dxa" w:w="3000"/>
          </w:tcPr>
          <w:p>
            <w:pPr>
              <w:jc w:val="left"/>
            </w:pPr>
            <w:r>
              <w:rPr>
                <w:rFonts w:ascii="Arial" w:cs="Arial" w:eastAsia="Arial" w:hAnsi="Arial"/>
                <w:b w:val="false"/>
                <w:bCs w:val="false"/>
                <w:sz w:val="20"/>
                <w:szCs w:val="20"/>
              </w:rPr>
              <w:t xml:space="preserve">46%</w:t>
            </w:r>
          </w:p>
        </w:tc>
        <w:tc>
          <w:tcPr>
            <w:tcW w:type="dxa" w:w="3000"/>
          </w:tcPr>
          <w:p>
            <w:pPr>
              <w:jc w:val="left"/>
            </w:pPr>
            <w:r>
              <w:rPr>
                <w:rFonts w:ascii="Arial" w:cs="Arial" w:eastAsia="Arial" w:hAnsi="Arial"/>
                <w:b w:val="false"/>
                <w:bCs w:val="false"/>
                <w:sz w:val="20"/>
                <w:szCs w:val="20"/>
              </w:rPr>
              <w:t xml:space="preserve">Managed by governance</w:t>
            </w:r>
          </w:p>
        </w:tc>
      </w:tr>
      <w:tr>
        <w:tc>
          <w:tcPr>
            <w:tcW w:type="dxa" w:w="3000"/>
          </w:tcPr>
          <w:p>
            <w:pPr>
              <w:jc w:val="left"/>
            </w:pPr>
            <w:r>
              <w:rPr>
                <w:rFonts w:ascii="Arial" w:cs="Arial" w:eastAsia="Arial" w:hAnsi="Arial"/>
                <w:b w:val="false"/>
                <w:bCs w:val="false"/>
                <w:sz w:val="20"/>
                <w:szCs w:val="20"/>
              </w:rPr>
              <w:t xml:space="preserve">Future Ecosystem Incentives</w:t>
            </w:r>
          </w:p>
        </w:tc>
        <w:tc>
          <w:tcPr>
            <w:tcW w:type="dxa" w:w="3000"/>
          </w:tcPr>
          <w:p>
            <w:pPr>
              <w:jc w:val="left"/>
            </w:pPr>
            <w:r>
              <w:rPr>
                <w:rFonts w:ascii="Arial" w:cs="Arial" w:eastAsia="Arial" w:hAnsi="Arial"/>
                <w:b w:val="false"/>
                <w:bCs w:val="false"/>
                <w:sz w:val="20"/>
                <w:szCs w:val="20"/>
              </w:rPr>
              <w:t xml:space="preserve">8.25%</w:t>
            </w:r>
          </w:p>
        </w:tc>
        <w:tc>
          <w:tcPr>
            <w:tcW w:type="dxa" w:w="3000"/>
          </w:tcPr>
          <w:p>
            <w:pPr>
              <w:jc w:val="left"/>
            </w:pPr>
            <w:r>
              <w:rPr>
                <w:rFonts w:ascii="Arial" w:cs="Arial" w:eastAsia="Arial" w:hAnsi="Arial"/>
                <w:b w:val="false"/>
                <w:bCs w:val="false"/>
                <w:sz w:val="20"/>
                <w:szCs w:val="20"/>
              </w:rPr>
              <w:t xml:space="preserve">Developer/liquidity rewards</w:t>
            </w:r>
          </w:p>
        </w:tc>
      </w:tr>
      <w:tr>
        <w:tc>
          <w:tcPr>
            <w:tcW w:type="dxa" w:w="3000"/>
          </w:tcPr>
          <w:p>
            <w:pPr>
              <w:jc w:val="left"/>
            </w:pPr>
            <w:r>
              <w:rPr>
                <w:rFonts w:ascii="Arial" w:cs="Arial" w:eastAsia="Arial" w:hAnsi="Arial"/>
                <w:b w:val="false"/>
                <w:bCs w:val="false"/>
                <w:sz w:val="20"/>
                <w:szCs w:val="20"/>
              </w:rPr>
              <w:t xml:space="preserve">Airdrop 1 (Launch)</w:t>
            </w:r>
          </w:p>
        </w:tc>
        <w:tc>
          <w:tcPr>
            <w:tcW w:type="dxa" w:w="3000"/>
          </w:tcPr>
          <w:p>
            <w:pPr>
              <w:jc w:val="left"/>
            </w:pPr>
            <w:r>
              <w:rPr>
                <w:rFonts w:ascii="Arial" w:cs="Arial" w:eastAsia="Arial" w:hAnsi="Arial"/>
                <w:b w:val="false"/>
                <w:bCs w:val="false"/>
                <w:sz w:val="20"/>
                <w:szCs w:val="20"/>
              </w:rPr>
              <w:t xml:space="preserve">6%</w:t>
            </w:r>
          </w:p>
        </w:tc>
        <w:tc>
          <w:tcPr>
            <w:tcW w:type="dxa" w:w="3000"/>
          </w:tcPr>
          <w:p>
            <w:pPr>
              <w:jc w:val="left"/>
            </w:pPr>
            <w:r>
              <w:rPr>
                <w:rFonts w:ascii="Arial" w:cs="Arial" w:eastAsia="Arial" w:hAnsi="Arial"/>
                <w:b w:val="false"/>
                <w:bCs w:val="false"/>
                <w:sz w:val="20"/>
                <w:szCs w:val="20"/>
              </w:rPr>
              <w:t xml:space="preserve">Released at mainnet</w:t>
            </w:r>
          </w:p>
        </w:tc>
      </w:tr>
      <w:tr>
        <w:tc>
          <w:tcPr>
            <w:tcW w:type="dxa" w:w="3000"/>
          </w:tcPr>
          <w:p>
            <w:pPr>
              <w:jc w:val="left"/>
            </w:pPr>
            <w:r>
              <w:rPr>
                <w:rFonts w:ascii="Arial" w:cs="Arial" w:eastAsia="Arial" w:hAnsi="Arial"/>
                <w:b w:val="false"/>
                <w:bCs w:val="false"/>
                <w:sz w:val="20"/>
                <w:szCs w:val="20"/>
              </w:rPr>
              <w:t xml:space="preserve">Early Backers</w:t>
            </w:r>
          </w:p>
        </w:tc>
        <w:tc>
          <w:tcPr>
            <w:tcW w:type="dxa" w:w="3000"/>
          </w:tcPr>
          <w:p>
            <w:pPr>
              <w:jc w:val="left"/>
            </w:pPr>
            <w:r>
              <w:rPr>
                <w:rFonts w:ascii="Arial" w:cs="Arial" w:eastAsia="Arial" w:hAnsi="Arial"/>
                <w:b w:val="false"/>
                <w:bCs w:val="false"/>
                <w:sz w:val="20"/>
                <w:szCs w:val="20"/>
              </w:rPr>
              <w:t xml:space="preserve">~23%</w:t>
            </w:r>
          </w:p>
        </w:tc>
        <w:tc>
          <w:tcPr>
            <w:tcW w:type="dxa" w:w="3000"/>
          </w:tcPr>
          <w:p>
            <w:pPr>
              <w:jc w:val="left"/>
            </w:pPr>
            <w:r>
              <w:rPr>
                <w:rFonts w:ascii="Arial" w:cs="Arial" w:eastAsia="Arial" w:hAnsi="Arial"/>
                <w:b w:val="false"/>
                <w:bCs w:val="false"/>
                <w:sz w:val="20"/>
                <w:szCs w:val="20"/>
              </w:rPr>
              <w:t xml:space="preserve">7-month cliff (Feb 2026)</w:t>
            </w:r>
          </w:p>
        </w:tc>
      </w:tr>
      <w:tr>
        <w:tc>
          <w:tcPr>
            <w:tcW w:type="dxa" w:w="3000"/>
          </w:tcPr>
          <w:p>
            <w:pPr>
              <w:jc w:val="left"/>
            </w:pPr>
            <w:r>
              <w:rPr>
                <w:rFonts w:ascii="Arial" w:cs="Arial" w:eastAsia="Arial" w:hAnsi="Arial"/>
                <w:b w:val="false"/>
                <w:bCs w:val="false"/>
                <w:sz w:val="20"/>
                <w:szCs w:val="20"/>
              </w:rPr>
              <w:t xml:space="preserve">Team/Contributors</w:t>
            </w:r>
          </w:p>
        </w:tc>
        <w:tc>
          <w:tcPr>
            <w:tcW w:type="dxa" w:w="3000"/>
          </w:tcPr>
          <w:p>
            <w:pPr>
              <w:jc w:val="left"/>
            </w:pPr>
            <w:r>
              <w:rPr>
                <w:rFonts w:ascii="Arial" w:cs="Arial" w:eastAsia="Arial" w:hAnsi="Arial"/>
                <w:b w:val="false"/>
                <w:bCs w:val="false"/>
                <w:sz w:val="20"/>
                <w:szCs w:val="20"/>
              </w:rPr>
              <w:t xml:space="preserve">~17%</w:t>
            </w:r>
          </w:p>
        </w:tc>
        <w:tc>
          <w:tcPr>
            <w:tcW w:type="dxa" w:w="3000"/>
          </w:tcPr>
          <w:p>
            <w:pPr>
              <w:jc w:val="left"/>
            </w:pPr>
            <w:r>
              <w:rPr>
                <w:rFonts w:ascii="Arial" w:cs="Arial" w:eastAsia="Arial" w:hAnsi="Arial"/>
                <w:b w:val="false"/>
                <w:bCs w:val="false"/>
                <w:sz w:val="20"/>
                <w:szCs w:val="20"/>
              </w:rPr>
              <w:t xml:space="preserve">7-month cliff (Feb 2026)</w:t>
            </w:r>
          </w:p>
        </w:tc>
      </w:tr>
    </w:tbl>
    <w:p/>
    <w:p>
      <w:pPr>
        <w:spacing w:after="150"/>
      </w:pPr>
      <w:r>
        <w:rPr>
          <w:rFonts w:ascii="Arial" w:cs="Arial" w:eastAsia="Arial" w:hAnsi="Arial"/>
          <w:sz w:val="22"/>
          <w:szCs w:val="22"/>
        </w:rPr>
        <w:t xml:space="preserve">Total Supply: 10,000,000,000 IKA (10 billion)</w:t>
      </w:r>
    </w:p>
    <w:p>
      <w:pPr>
        <w:spacing w:after="150"/>
      </w:pPr>
      <w:r>
        <w:rPr>
          <w:rFonts w:ascii="Arial" w:cs="Arial" w:eastAsia="Arial" w:hAnsi="Arial"/>
          <w:sz w:val="22"/>
          <w:szCs w:val="22"/>
        </w:rPr>
        <w:t xml:space="preserve">Circulating Supply: 3,000,000,000 IKA (30%)</w:t>
      </w:r>
    </w:p>
    <w:p>
      <w:pPr>
        <w:spacing w:after="150"/>
      </w:pPr>
      <w:r>
        <w:rPr>
          <w:rFonts w:ascii="Arial" w:cs="Arial" w:eastAsia="Arial" w:hAnsi="Arial"/>
          <w:sz w:val="22"/>
          <w:szCs w:val="22"/>
        </w:rPr>
        <w:t xml:space="preserve">Initial Unlock: 30% at TGE (July 2025)</w:t>
      </w:r>
    </w:p>
    <w:p>
      <w:pPr>
        <w:spacing w:after="150"/>
      </w:pPr>
      <w:r>
        <w:rPr>
          <w:rFonts w:ascii="Arial" w:cs="Arial" w:eastAsia="Arial" w:hAnsi="Arial"/>
          <w:sz w:val="22"/>
          <w:szCs w:val="22"/>
        </w:rPr>
        <w:t xml:space="preserve">Cliff Period: Team/investor unlocks begin February 2026 (7 months post-TGE)</w:t>
      </w:r>
    </w:p>
    <w:p>
      <w:pPr>
        <w:spacing w:after="150"/>
      </w:pPr>
      <w:r>
        <w:rPr>
          <w:rFonts w:ascii="Arial" w:cs="Arial" w:eastAsia="Arial" w:hAnsi="Arial"/>
          <w:sz w:val="22"/>
          <w:szCs w:val="22"/>
        </w:rPr>
        <w:t xml:space="preserve">Long-term Lock: 70% remains locked until 2027</w:t>
      </w:r>
    </w:p>
    <w:p>
      <w:pPr>
        <w:spacing w:after="150"/>
      </w:pPr>
      <w:r>
        <w:rPr>
          <w:rFonts w:ascii="Arial" w:cs="Arial" w:eastAsia="Arial" w:hAnsi="Arial"/>
          <w:b/>
          <w:bCs/>
          <w:sz w:val="24"/>
          <w:szCs w:val="24"/>
        </w:rPr>
        <w:t xml:space="preserve">Value Accrual</w:t>
      </w:r>
    </w:p>
    <w:p>
      <w:pPr>
        <w:spacing w:after="100"/>
        <w:ind w:left="360"/>
      </w:pPr>
      <w:r>
        <w:rPr>
          <w:rFonts w:ascii="Arial" w:cs="Arial" w:eastAsia="Arial" w:hAnsi="Arial"/>
          <w:sz w:val="22"/>
          <w:szCs w:val="22"/>
        </w:rPr>
        <w:t xml:space="preserve">• Usage-Based Demand: Every dWallet operation requires IKA payment</w:t>
      </w:r>
    </w:p>
    <w:p>
      <w:pPr>
        <w:spacing w:after="100"/>
        <w:ind w:left="360"/>
      </w:pPr>
      <w:r>
        <w:rPr>
          <w:rFonts w:ascii="Arial" w:cs="Arial" w:eastAsia="Arial" w:hAnsi="Arial"/>
          <w:sz w:val="22"/>
          <w:szCs w:val="22"/>
        </w:rPr>
        <w:t xml:space="preserve">• Staking Lock-up: Validators must stake IKA to participate</w:t>
      </w:r>
    </w:p>
    <w:p>
      <w:pPr>
        <w:spacing w:after="100"/>
        <w:ind w:left="360"/>
      </w:pPr>
      <w:r>
        <w:rPr>
          <w:rFonts w:ascii="Arial" w:cs="Arial" w:eastAsia="Arial" w:hAnsi="Arial"/>
          <w:sz w:val="22"/>
          <w:szCs w:val="22"/>
        </w:rPr>
        <w:t xml:space="preserve">• Community Treasury: 46% controlled by governance for ecosystem growth</w:t>
      </w:r>
    </w:p>
    <w:p>
      <w:pPr>
        <w:spacing w:after="100"/>
        <w:ind w:left="360"/>
      </w:pPr>
      <w:r>
        <w:rPr>
          <w:rFonts w:ascii="Arial" w:cs="Arial" w:eastAsia="Arial" w:hAnsi="Arial"/>
          <w:sz w:val="22"/>
          <w:szCs w:val="22"/>
        </w:rPr>
        <w:t xml:space="preserve">• Deflationary Potential: As adoption grows, fee demand increases</w:t>
      </w:r>
    </w:p>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TEAM &amp; BACKERS</w:t>
      </w:r>
    </w:p>
    <w:p>
      <w:pPr>
        <w:spacing w:before="300" w:after="100"/>
      </w:pPr>
      <w:r>
        <w:rPr>
          <w:rFonts w:ascii="Arial" w:cs="Arial" w:eastAsia="Arial" w:hAnsi="Arial"/>
          <w:sz w:val="22"/>
          <w:szCs w:val="22"/>
        </w:rPr>
        <w:t xml:space="preserve">───────────────────────────────────────────────────────────────────</w:t>
      </w:r>
    </w:p>
    <w:p>
      <w:pPr>
        <w:spacing w:after="150"/>
      </w:pPr>
      <w:r>
        <w:rPr>
          <w:rFonts w:ascii="Arial" w:cs="Arial" w:eastAsia="Arial" w:hAnsi="Arial"/>
          <w:b/>
          <w:bCs/>
          <w:sz w:val="24"/>
          <w:szCs w:val="24"/>
        </w:rPr>
        <w:t xml:space="preserve">Team</w:t>
      </w:r>
    </w:p>
    <w:p>
      <w:pPr>
        <w:spacing w:after="150"/>
      </w:pPr>
      <w:r>
        <w:rPr>
          <w:rFonts w:ascii="Arial" w:cs="Arial" w:eastAsia="Arial" w:hAnsi="Arial"/>
          <w:sz w:val="22"/>
          <w:szCs w:val="22"/>
        </w:rPr>
        <w:t xml:space="preserve">Founded as dWallet Network, rebranded to Ika in 2025.</w:t>
      </w:r>
    </w:p>
    <w:p>
      <w:pPr>
        <w:spacing w:after="100"/>
        <w:ind w:left="360"/>
      </w:pPr>
      <w:r>
        <w:rPr>
          <w:rFonts w:ascii="Arial" w:cs="Arial" w:eastAsia="Arial" w:hAnsi="Arial"/>
          <w:sz w:val="22"/>
          <w:szCs w:val="22"/>
        </w:rPr>
        <w:t xml:space="preserve">• Omer Sadika: Co-Founder</w:t>
      </w:r>
    </w:p>
    <w:p>
      <w:pPr>
        <w:spacing w:after="100"/>
        <w:ind w:left="360"/>
      </w:pPr>
      <w:r>
        <w:rPr>
          <w:rFonts w:ascii="Arial" w:cs="Arial" w:eastAsia="Arial" w:hAnsi="Arial"/>
          <w:sz w:val="22"/>
          <w:szCs w:val="22"/>
        </w:rPr>
        <w:t xml:space="preserve">• Research Team: Published peer-reviewed 2PC-MPC papers (V1 and V2)</w:t>
      </w:r>
    </w:p>
    <w:p>
      <w:pPr>
        <w:spacing w:after="150"/>
      </w:pPr>
      <w:r>
        <w:rPr>
          <w:rFonts w:ascii="Arial" w:cs="Arial" w:eastAsia="Arial" w:hAnsi="Arial"/>
          <w:sz w:val="22"/>
          <w:szCs w:val="22"/>
        </w:rPr>
        <w:t xml:space="preserve">Location: Zug, Switzerland (Crypto Valley)</w:t>
      </w:r>
    </w:p>
    <w:p>
      <w:pPr>
        <w:spacing w:after="150"/>
      </w:pPr>
      <w:r>
        <w:rPr>
          <w:rFonts w:ascii="Arial" w:cs="Arial" w:eastAsia="Arial" w:hAnsi="Arial"/>
          <w:sz w:val="22"/>
          <w:szCs w:val="22"/>
        </w:rPr>
        <w:t xml:space="preserve">[Note: Full team details require manual research - limited public information on complete founding team]</w:t>
      </w:r>
    </w:p>
    <w:p>
      <w:pPr>
        <w:spacing w:after="150"/>
      </w:pPr>
      <w:r>
        <w:rPr>
          <w:rFonts w:ascii="Arial" w:cs="Arial" w:eastAsia="Arial" w:hAnsi="Arial"/>
          <w:b/>
          <w:bCs/>
          <w:sz w:val="24"/>
          <w:szCs w:val="24"/>
        </w:rPr>
        <w:t xml:space="preserve">Investors</w:t>
      </w:r>
    </w:p>
    <w:p>
      <w:pPr>
        <w:spacing w:after="150"/>
      </w:pPr>
      <w:r>
        <w:rPr>
          <w:rFonts w:ascii="Arial" w:cs="Arial" w:eastAsia="Arial" w:hAnsi="Arial"/>
          <w:sz w:val="22"/>
          <w:szCs w:val="22"/>
        </w:rPr>
        <w:t xml:space="preserve">Total Funding: $21M+ across multiple rounds</w:t>
      </w:r>
    </w:p>
    <w:p>
      <w:pPr>
        <w:spacing w:after="100"/>
        <w:ind w:left="360"/>
      </w:pPr>
      <w:r>
        <w:rPr>
          <w:rFonts w:ascii="Arial" w:cs="Arial" w:eastAsia="Arial" w:hAnsi="Arial"/>
          <w:sz w:val="22"/>
          <w:szCs w:val="22"/>
        </w:rPr>
        <w:t xml:space="preserve">• September 2024: $7.5M funding round</w:t>
      </w:r>
    </w:p>
    <w:p>
      <w:pPr>
        <w:spacing w:after="100"/>
        <w:ind w:left="360"/>
      </w:pPr>
      <w:r>
        <w:rPr>
          <w:rFonts w:ascii="Arial" w:cs="Arial" w:eastAsia="Arial" w:hAnsi="Arial"/>
          <w:sz w:val="22"/>
          <w:szCs w:val="22"/>
        </w:rPr>
        <w:t xml:space="preserve">• April 2025: Strategic round from Sui Foundation</w:t>
      </w:r>
    </w:p>
    <w:p>
      <w:pPr>
        <w:spacing w:after="150"/>
      </w:pPr>
      <w:r>
        <w:rPr>
          <w:rFonts w:ascii="Arial" w:cs="Arial" w:eastAsia="Arial" w:hAnsi="Arial"/>
          <w:sz w:val="22"/>
          <w:szCs w:val="22"/>
        </w:rPr>
        <w:t xml:space="preserve">Key Investors:</w:t>
      </w:r>
    </w:p>
    <w:p>
      <w:pPr>
        <w:spacing w:after="100"/>
        <w:ind w:left="360"/>
      </w:pPr>
      <w:r>
        <w:rPr>
          <w:rFonts w:ascii="Arial" w:cs="Arial" w:eastAsia="Arial" w:hAnsi="Arial"/>
          <w:sz w:val="22"/>
          <w:szCs w:val="22"/>
        </w:rPr>
        <w:t xml:space="preserve">• Sui Foundation (Strategic)</w:t>
      </w:r>
    </w:p>
    <w:p>
      <w:pPr>
        <w:spacing w:after="100"/>
        <w:ind w:left="360"/>
      </w:pPr>
      <w:r>
        <w:rPr>
          <w:rFonts w:ascii="Arial" w:cs="Arial" w:eastAsia="Arial" w:hAnsi="Arial"/>
          <w:sz w:val="22"/>
          <w:szCs w:val="22"/>
        </w:rPr>
        <w:t xml:space="preserve">• DCG (Digital Currency Group)</w:t>
      </w:r>
    </w:p>
    <w:p>
      <w:pPr>
        <w:spacing w:after="100"/>
        <w:ind w:left="360"/>
      </w:pPr>
      <w:r>
        <w:rPr>
          <w:rFonts w:ascii="Arial" w:cs="Arial" w:eastAsia="Arial" w:hAnsi="Arial"/>
          <w:sz w:val="22"/>
          <w:szCs w:val="22"/>
        </w:rPr>
        <w:t xml:space="preserve">• Big Brain Holdings</w:t>
      </w:r>
    </w:p>
    <w:p>
      <w:pPr>
        <w:spacing w:after="100"/>
        <w:ind w:left="360"/>
      </w:pPr>
      <w:r>
        <w:rPr>
          <w:rFonts w:ascii="Arial" w:cs="Arial" w:eastAsia="Arial" w:hAnsi="Arial"/>
          <w:sz w:val="22"/>
          <w:szCs w:val="22"/>
        </w:rPr>
        <w:t xml:space="preserve">• Blockchange</w:t>
      </w:r>
    </w:p>
    <w:p>
      <w:pPr>
        <w:spacing w:after="100"/>
        <w:ind w:left="360"/>
      </w:pPr>
      <w:r>
        <w:rPr>
          <w:rFonts w:ascii="Arial" w:cs="Arial" w:eastAsia="Arial" w:hAnsi="Arial"/>
          <w:sz w:val="22"/>
          <w:szCs w:val="22"/>
        </w:rPr>
        <w:t xml:space="preserve">• Node Capital</w:t>
      </w:r>
    </w:p>
    <w:p>
      <w:pPr>
        <w:spacing w:after="100"/>
        <w:ind w:left="360"/>
      </w:pPr>
      <w:r>
        <w:rPr>
          <w:rFonts w:ascii="Arial" w:cs="Arial" w:eastAsia="Arial" w:hAnsi="Arial"/>
          <w:sz w:val="22"/>
          <w:szCs w:val="22"/>
        </w:rPr>
        <w:t xml:space="preserve">• Amplify Partners</w:t>
      </w:r>
    </w:p>
    <w:p>
      <w:pPr>
        <w:spacing w:after="100"/>
        <w:ind w:left="360"/>
      </w:pPr>
      <w:r>
        <w:rPr>
          <w:rFonts w:ascii="Arial" w:cs="Arial" w:eastAsia="Arial" w:hAnsi="Arial"/>
          <w:sz w:val="22"/>
          <w:szCs w:val="22"/>
        </w:rPr>
        <w:t xml:space="preserve">• Liquid2 Ventures</w:t>
      </w:r>
    </w:p>
    <w:p>
      <w:pPr>
        <w:spacing w:after="100"/>
        <w:ind w:left="360"/>
      </w:pPr>
      <w:r>
        <w:rPr>
          <w:rFonts w:ascii="Arial" w:cs="Arial" w:eastAsia="Arial" w:hAnsi="Arial"/>
          <w:sz w:val="22"/>
          <w:szCs w:val="22"/>
        </w:rPr>
        <w:t xml:space="preserve">• FalconX</w:t>
      </w:r>
    </w:p>
    <w:p>
      <w:pPr>
        <w:spacing w:after="100"/>
        <w:ind w:left="360"/>
      </w:pPr>
      <w:r>
        <w:rPr>
          <w:rFonts w:ascii="Arial" w:cs="Arial" w:eastAsia="Arial" w:hAnsi="Arial"/>
          <w:sz w:val="22"/>
          <w:szCs w:val="22"/>
        </w:rPr>
        <w:t xml:space="preserve">• Naval Ravikant (Angel - AngelList founder)</w:t>
      </w:r>
    </w:p>
    <w:p>
      <w:pPr>
        <w:spacing w:after="150"/>
      </w:pPr>
      <w:r>
        <w:rPr>
          <w:rFonts w:ascii="Arial" w:cs="Arial" w:eastAsia="Arial" w:hAnsi="Arial"/>
          <w:sz w:val="22"/>
          <w:szCs w:val="22"/>
        </w:rPr>
        <w:t xml:space="preserve">Other investors: Tykhe Block Ventures, Lightshift, Token Bay Capital, Collider, Zero Knowledge Ventures, Dispersion Capital, Flowdesk, and others.</w:t>
      </w:r>
    </w:p>
    <w:p>
      <w:pPr>
        <w:spacing w:after="150"/>
      </w:pPr>
      <w:r>
        <w:rPr>
          <w:rFonts w:ascii="Arial" w:cs="Arial" w:eastAsia="Arial" w:hAnsi="Arial"/>
          <w:b/>
          <w:bCs/>
          <w:sz w:val="24"/>
          <w:szCs w:val="24"/>
        </w:rPr>
        <w:t xml:space="preserve">Community &amp; Governance</w:t>
      </w:r>
    </w:p>
    <w:p>
      <w:pPr>
        <w:spacing w:after="100"/>
        <w:ind w:left="360"/>
      </w:pPr>
      <w:r>
        <w:rPr>
          <w:rFonts w:ascii="Arial" w:cs="Arial" w:eastAsia="Arial" w:hAnsi="Arial"/>
          <w:sz w:val="22"/>
          <w:szCs w:val="22"/>
        </w:rPr>
        <w:t xml:space="preserve">• NFT Campaign: Record-setting 1.4M SUI raised via NFT art campaign</w:t>
      </w:r>
    </w:p>
    <w:p>
      <w:pPr>
        <w:spacing w:after="100"/>
        <w:ind w:left="360"/>
      </w:pPr>
      <w:r>
        <w:rPr>
          <w:rFonts w:ascii="Arial" w:cs="Arial" w:eastAsia="Arial" w:hAnsi="Arial"/>
          <w:sz w:val="22"/>
          <w:szCs w:val="22"/>
        </w:rPr>
        <w:t xml:space="preserve">• MDROP Launch: Token launched via MDROP mechanism on Sui</w:t>
      </w:r>
    </w:p>
    <w:p>
      <w:pPr>
        <w:spacing w:after="100"/>
        <w:ind w:left="360"/>
      </w:pPr>
      <w:r>
        <w:rPr>
          <w:rFonts w:ascii="Arial" w:cs="Arial" w:eastAsia="Arial" w:hAnsi="Arial"/>
          <w:sz w:val="22"/>
          <w:szCs w:val="22"/>
        </w:rPr>
        <w:t xml:space="preserve">• Governance: IKA holders can vote on protocol changes</w:t>
      </w:r>
    </w:p>
    <w:p>
      <w:pPr>
        <w:spacing w:after="100"/>
        <w:ind w:left="360"/>
      </w:pPr>
      <w:r>
        <w:rPr>
          <w:rFonts w:ascii="Arial" w:cs="Arial" w:eastAsia="Arial" w:hAnsi="Arial"/>
          <w:sz w:val="22"/>
          <w:szCs w:val="22"/>
        </w:rPr>
        <w:t xml:space="preserve">• RFP Program: Funding 12+ projects for Web3 tooling and cross-chain use cases</w:t>
      </w:r>
    </w:p>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RISKS</w:t>
      </w:r>
    </w:p>
    <w:p>
      <w:pPr>
        <w:spacing w:before="300" w:after="100"/>
      </w:pPr>
      <w:r>
        <w:rPr>
          <w:rFonts w:ascii="Arial" w:cs="Arial" w:eastAsia="Arial" w:hAnsi="Arial"/>
          <w:sz w:val="22"/>
          <w:szCs w:val="22"/>
        </w:rPr>
        <w:t xml:space="preserve">───────────────────────────────────────────────────────────────────</w:t>
      </w:r>
    </w:p>
    <w:p>
      <w:pPr>
        <w:spacing w:after="150"/>
      </w:pPr>
      <w:r>
        <w:rPr>
          <w:rFonts w:ascii="Arial" w:cs="Arial" w:eastAsia="Arial" w:hAnsi="Arial"/>
          <w:b/>
          <w:bCs/>
          <w:sz w:val="24"/>
          <w:szCs w:val="24"/>
        </w:rPr>
        <w:t xml:space="preserve">Sui Ecosystem Dependency (HIGH)</w:t>
      </w:r>
    </w:p>
    <w:p>
      <w:pPr>
        <w:spacing w:after="150"/>
      </w:pPr>
      <w:r>
        <w:rPr>
          <w:rFonts w:ascii="Arial" w:cs="Arial" w:eastAsia="Arial" w:hAnsi="Arial"/>
          <w:sz w:val="22"/>
          <w:szCs w:val="22"/>
        </w:rPr>
        <w:t xml:space="preserve">Ika is built exclusively on Sui and leverages Sui's Mysticeti consensus. Its success is directly tied to Sui's growth and stability. If Sui experiences issues (like the January 2026 6-hour outage), Ika's operations are affected. Price correlation with SUI ecosystem is high.</w:t>
      </w:r>
    </w:p>
    <w:p>
      <w:pPr>
        <w:spacing w:after="150"/>
      </w:pPr>
      <w:r>
        <w:rPr>
          <w:rFonts w:ascii="Arial" w:cs="Arial" w:eastAsia="Arial" w:hAnsi="Arial"/>
          <w:b/>
          <w:bCs/>
          <w:sz w:val="24"/>
          <w:szCs w:val="24"/>
        </w:rPr>
        <w:t xml:space="preserve">Token Unlock Dilution (HIGH)</w:t>
      </w:r>
    </w:p>
    <w:p>
      <w:pPr>
        <w:spacing w:after="150"/>
      </w:pPr>
      <w:r>
        <w:rPr>
          <w:rFonts w:ascii="Arial" w:cs="Arial" w:eastAsia="Arial" w:hAnsi="Arial"/>
          <w:sz w:val="22"/>
          <w:szCs w:val="22"/>
        </w:rPr>
        <w:t xml:space="preserve">70% of total supply remains locked until 2027. Team and early backer unlocks begin in February 2026 (7 months post-TGE). This creates significant potential dilution pressure. Current price ($0.008) is down 97.6% from ATH ($0.34), potentially reflecting unlock concerns.</w:t>
      </w:r>
    </w:p>
    <w:p>
      <w:pPr>
        <w:spacing w:after="150"/>
      </w:pPr>
      <w:r>
        <w:rPr>
          <w:rFonts w:ascii="Arial" w:cs="Arial" w:eastAsia="Arial" w:hAnsi="Arial"/>
          <w:b/>
          <w:bCs/>
          <w:sz w:val="24"/>
          <w:szCs w:val="24"/>
        </w:rPr>
        <w:t xml:space="preserve">Cryptographic Security Assumptions (MEDIUM)</w:t>
      </w:r>
    </w:p>
    <w:p>
      <w:pPr>
        <w:spacing w:after="150"/>
      </w:pPr>
      <w:r>
        <w:rPr>
          <w:rFonts w:ascii="Arial" w:cs="Arial" w:eastAsia="Arial" w:hAnsi="Arial"/>
          <w:sz w:val="22"/>
          <w:szCs w:val="22"/>
        </w:rPr>
        <w:t xml:space="preserve">The 2PC-MPC protocol is novel and, while academically validated, remains experimental in production. Any cryptographic vulnerability discovered would be catastrophic. The technology has not yet been battle-tested at scale.</w:t>
      </w:r>
    </w:p>
    <w:p>
      <w:pPr>
        <w:spacing w:after="150"/>
      </w:pPr>
      <w:r>
        <w:rPr>
          <w:rFonts w:ascii="Arial" w:cs="Arial" w:eastAsia="Arial" w:hAnsi="Arial"/>
          <w:b/>
          <w:bCs/>
          <w:sz w:val="24"/>
          <w:szCs w:val="24"/>
        </w:rPr>
        <w:t xml:space="preserve">Competition (MEDIUM)</w:t>
      </w:r>
    </w:p>
    <w:p>
      <w:pPr>
        <w:spacing w:after="150"/>
      </w:pPr>
      <w:r>
        <w:rPr>
          <w:rFonts w:ascii="Arial" w:cs="Arial" w:eastAsia="Arial" w:hAnsi="Arial"/>
          <w:sz w:val="22"/>
          <w:szCs w:val="22"/>
        </w:rPr>
        <w:t xml:space="preserve">Established players (Wormhole, LayerZero, Chainlink CCIP) have larger ecosystems and developer mindshare. While Ika's architecture is differentiated, adoption requires convincing projects to build on a newer, less proven infrastructure.</w:t>
      </w:r>
    </w:p>
    <w:p>
      <w:pPr>
        <w:spacing w:after="150"/>
      </w:pPr>
      <w:r>
        <w:rPr>
          <w:rFonts w:ascii="Arial" w:cs="Arial" w:eastAsia="Arial" w:hAnsi="Arial"/>
          <w:b/>
          <w:bCs/>
          <w:sz w:val="24"/>
          <w:szCs w:val="24"/>
        </w:rPr>
        <w:t xml:space="preserve">Regulatory Uncertainty (MEDIUM)</w:t>
      </w:r>
    </w:p>
    <w:p>
      <w:pPr>
        <w:spacing w:after="150"/>
      </w:pPr>
      <w:r>
        <w:rPr>
          <w:rFonts w:ascii="Arial" w:cs="Arial" w:eastAsia="Arial" w:hAnsi="Arial"/>
          <w:sz w:val="22"/>
          <w:szCs w:val="22"/>
        </w:rPr>
        <w:t xml:space="preserve">Cross-chain infrastructure enabling asset transfers across jurisdictions may face regulatory scrutiny. MPC custody solutions are also under evolving regulatory frameworks globally.</w:t>
      </w:r>
    </w:p>
    <w:p>
      <w:pPr>
        <w:spacing w:after="150"/>
      </w:pPr>
      <w:r>
        <w:rPr>
          <w:rFonts w:ascii="Arial" w:cs="Arial" w:eastAsia="Arial" w:hAnsi="Arial"/>
          <w:b/>
          <w:bCs/>
          <w:sz w:val="24"/>
          <w:szCs w:val="24"/>
        </w:rPr>
        <w:t xml:space="preserve">Early Stage / Limited Traction (MEDIUM)</w:t>
      </w:r>
    </w:p>
    <w:p>
      <w:pPr>
        <w:spacing w:after="150"/>
      </w:pPr>
      <w:r>
        <w:rPr>
          <w:rFonts w:ascii="Arial" w:cs="Arial" w:eastAsia="Arial" w:hAnsi="Arial"/>
          <w:sz w:val="22"/>
          <w:szCs w:val="22"/>
        </w:rPr>
        <w:t xml:space="preserve">Mainnet launched only July 2025. Limited public metrics on TVL, transaction volume, or active dWallets. Launch partners are building but products are early. Market cap rank #707 indicates limited adoption so far.</w:t>
      </w:r>
    </w:p>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CATALYSTS &amp; TIMELINE</w:t>
      </w:r>
    </w:p>
    <w:p>
      <w:pPr>
        <w:spacing w:before="300" w:after="100"/>
      </w:pPr>
      <w:r>
        <w:rPr>
          <w:rFonts w:ascii="Arial" w:cs="Arial" w:eastAsia="Arial" w:hAnsi="Arial"/>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jc w:val="left"/>
            </w:pPr>
            <w:r>
              <w:rPr>
                <w:rFonts w:ascii="Arial" w:cs="Arial" w:eastAsia="Arial" w:hAnsi="Arial"/>
                <w:b/>
                <w:bCs/>
                <w:sz w:val="20"/>
                <w:szCs w:val="20"/>
              </w:rPr>
              <w:t xml:space="preserve">Catalyst</w:t>
            </w:r>
          </w:p>
        </w:tc>
        <w:tc>
          <w:tcPr>
            <w:tcW w:type="dxa" w:w="3000"/>
          </w:tcPr>
          <w:p>
            <w:pPr>
              <w:jc w:val="left"/>
            </w:pPr>
            <w:r>
              <w:rPr>
                <w:rFonts w:ascii="Arial" w:cs="Arial" w:eastAsia="Arial" w:hAnsi="Arial"/>
                <w:b/>
                <w:bCs/>
                <w:sz w:val="20"/>
                <w:szCs w:val="20"/>
              </w:rPr>
              <w:t xml:space="preserve">Expected</w:t>
            </w:r>
          </w:p>
        </w:tc>
        <w:tc>
          <w:tcPr>
            <w:tcW w:type="dxa" w:w="3000"/>
          </w:tcPr>
          <w:p>
            <w:pPr>
              <w:jc w:val="left"/>
            </w:pPr>
            <w:r>
              <w:rPr>
                <w:rFonts w:ascii="Arial" w:cs="Arial" w:eastAsia="Arial" w:hAnsi="Arial"/>
                <w:b/>
                <w:bCs/>
                <w:sz w:val="20"/>
                <w:szCs w:val="20"/>
              </w:rPr>
              <w:t xml:space="preserve">Impact</w:t>
            </w:r>
          </w:p>
        </w:tc>
      </w:tr>
      <w:tr>
        <w:tc>
          <w:tcPr>
            <w:tcW w:type="dxa" w:w="3000"/>
          </w:tcPr>
          <w:p>
            <w:pPr>
              <w:jc w:val="left"/>
            </w:pPr>
            <w:r>
              <w:rPr>
                <w:rFonts w:ascii="Arial" w:cs="Arial" w:eastAsia="Arial" w:hAnsi="Arial"/>
                <w:b w:val="false"/>
                <w:bCs w:val="false"/>
                <w:sz w:val="20"/>
                <w:szCs w:val="20"/>
              </w:rPr>
              <w:t xml:space="preserve">Wallet-as-a-Protocol (Human Tech)</w:t>
            </w:r>
          </w:p>
        </w:tc>
        <w:tc>
          <w:tcPr>
            <w:tcW w:type="dxa" w:w="3000"/>
          </w:tcPr>
          <w:p>
            <w:pPr>
              <w:jc w:val="left"/>
            </w:pPr>
            <w:r>
              <w:rPr>
                <w:rFonts w:ascii="Arial" w:cs="Arial" w:eastAsia="Arial" w:hAnsi="Arial"/>
                <w:b w:val="false"/>
                <w:bCs w:val="false"/>
                <w:sz w:val="20"/>
                <w:szCs w:val="20"/>
              </w:rPr>
              <w:t xml:space="preserve">Q4 2025</w:t>
            </w:r>
          </w:p>
        </w:tc>
        <w:tc>
          <w:tcPr>
            <w:tcW w:type="dxa" w:w="3000"/>
          </w:tcPr>
          <w:p>
            <w:pPr>
              <w:jc w:val="left"/>
            </w:pPr>
            <w:r>
              <w:rPr>
                <w:rFonts w:ascii="Arial" w:cs="Arial" w:eastAsia="Arial" w:hAnsi="Arial"/>
                <w:b w:val="false"/>
                <w:bCs w:val="false"/>
                <w:sz w:val="20"/>
                <w:szCs w:val="20"/>
              </w:rPr>
              <w:t xml:space="preserve">MEDIUM - Zero-trust decentralized wallet infra</w:t>
            </w:r>
          </w:p>
        </w:tc>
      </w:tr>
      <w:tr>
        <w:tc>
          <w:tcPr>
            <w:tcW w:type="dxa" w:w="3000"/>
          </w:tcPr>
          <w:p>
            <w:pPr>
              <w:jc w:val="left"/>
            </w:pPr>
            <w:r>
              <w:rPr>
                <w:rFonts w:ascii="Arial" w:cs="Arial" w:eastAsia="Arial" w:hAnsi="Arial"/>
                <w:b w:val="false"/>
                <w:bCs w:val="false"/>
                <w:sz w:val="20"/>
                <w:szCs w:val="20"/>
              </w:rPr>
              <w:t xml:space="preserve">Team/Investor Token Unlocks</w:t>
            </w:r>
          </w:p>
        </w:tc>
        <w:tc>
          <w:tcPr>
            <w:tcW w:type="dxa" w:w="3000"/>
          </w:tcPr>
          <w:p>
            <w:pPr>
              <w:jc w:val="left"/>
            </w:pPr>
            <w:r>
              <w:rPr>
                <w:rFonts w:ascii="Arial" w:cs="Arial" w:eastAsia="Arial" w:hAnsi="Arial"/>
                <w:b w:val="false"/>
                <w:bCs w:val="false"/>
                <w:sz w:val="20"/>
                <w:szCs w:val="20"/>
              </w:rPr>
              <w:t xml:space="preserve">Feb 2026</w:t>
            </w:r>
          </w:p>
        </w:tc>
        <w:tc>
          <w:tcPr>
            <w:tcW w:type="dxa" w:w="3000"/>
          </w:tcPr>
          <w:p>
            <w:pPr>
              <w:jc w:val="left"/>
            </w:pPr>
            <w:r>
              <w:rPr>
                <w:rFonts w:ascii="Arial" w:cs="Arial" w:eastAsia="Arial" w:hAnsi="Arial"/>
                <w:b w:val="false"/>
                <w:bCs w:val="false"/>
                <w:sz w:val="20"/>
                <w:szCs w:val="20"/>
              </w:rPr>
              <w:t xml:space="preserve">HIGH (Negative) - 70% supply unlocking begins</w:t>
            </w:r>
          </w:p>
        </w:tc>
      </w:tr>
      <w:tr>
        <w:tc>
          <w:tcPr>
            <w:tcW w:type="dxa" w:w="3000"/>
          </w:tcPr>
          <w:p>
            <w:pPr>
              <w:jc w:val="left"/>
            </w:pPr>
            <w:r>
              <w:rPr>
                <w:rFonts w:ascii="Arial" w:cs="Arial" w:eastAsia="Arial" w:hAnsi="Arial"/>
                <w:b w:val="false"/>
                <w:bCs w:val="false"/>
                <w:sz w:val="20"/>
                <w:szCs w:val="20"/>
              </w:rPr>
              <w:t xml:space="preserve">RFP Program Expansion</w:t>
            </w:r>
          </w:p>
        </w:tc>
        <w:tc>
          <w:tcPr>
            <w:tcW w:type="dxa" w:w="3000"/>
          </w:tcPr>
          <w:p>
            <w:pPr>
              <w:jc w:val="left"/>
            </w:pPr>
            <w:r>
              <w:rPr>
                <w:rFonts w:ascii="Arial" w:cs="Arial" w:eastAsia="Arial" w:hAnsi="Arial"/>
                <w:b w:val="false"/>
                <w:bCs w:val="false"/>
                <w:sz w:val="20"/>
                <w:szCs w:val="20"/>
              </w:rPr>
              <w:t xml:space="preserve">Ongoing</w:t>
            </w:r>
          </w:p>
        </w:tc>
        <w:tc>
          <w:tcPr>
            <w:tcW w:type="dxa" w:w="3000"/>
          </w:tcPr>
          <w:p>
            <w:pPr>
              <w:jc w:val="left"/>
            </w:pPr>
            <w:r>
              <w:rPr>
                <w:rFonts w:ascii="Arial" w:cs="Arial" w:eastAsia="Arial" w:hAnsi="Arial"/>
                <w:b w:val="false"/>
                <w:bCs w:val="false"/>
                <w:sz w:val="20"/>
                <w:szCs w:val="20"/>
              </w:rPr>
              <w:t xml:space="preserve">MEDIUM - Funding 12+ ecosystem projects</w:t>
            </w:r>
          </w:p>
        </w:tc>
      </w:tr>
      <w:tr>
        <w:tc>
          <w:tcPr>
            <w:tcW w:type="dxa" w:w="3000"/>
          </w:tcPr>
          <w:p>
            <w:pPr>
              <w:jc w:val="left"/>
            </w:pPr>
            <w:r>
              <w:rPr>
                <w:rFonts w:ascii="Arial" w:cs="Arial" w:eastAsia="Arial" w:hAnsi="Arial"/>
                <w:b w:val="false"/>
                <w:bCs w:val="false"/>
                <w:sz w:val="20"/>
                <w:szCs w:val="20"/>
              </w:rPr>
              <w:t xml:space="preserve">Cross-Chain DeFi Scaling</w:t>
            </w:r>
          </w:p>
        </w:tc>
        <w:tc>
          <w:tcPr>
            <w:tcW w:type="dxa" w:w="3000"/>
          </w:tcPr>
          <w:p>
            <w:pPr>
              <w:jc w:val="left"/>
            </w:pPr>
            <w:r>
              <w:rPr>
                <w:rFonts w:ascii="Arial" w:cs="Arial" w:eastAsia="Arial" w:hAnsi="Arial"/>
                <w:b w:val="false"/>
                <w:bCs w:val="false"/>
                <w:sz w:val="20"/>
                <w:szCs w:val="20"/>
              </w:rPr>
              <w:t xml:space="preserve">2026</w:t>
            </w:r>
          </w:p>
        </w:tc>
        <w:tc>
          <w:tcPr>
            <w:tcW w:type="dxa" w:w="3000"/>
          </w:tcPr>
          <w:p>
            <w:pPr>
              <w:jc w:val="left"/>
            </w:pPr>
            <w:r>
              <w:rPr>
                <w:rFonts w:ascii="Arial" w:cs="Arial" w:eastAsia="Arial" w:hAnsi="Arial"/>
                <w:b w:val="false"/>
                <w:bCs w:val="false"/>
                <w:sz w:val="20"/>
                <w:szCs w:val="20"/>
              </w:rPr>
              <w:t xml:space="preserve">HIGH - Institutional multi-chain asset management</w:t>
            </w:r>
          </w:p>
        </w:tc>
      </w:tr>
      <w:tr>
        <w:tc>
          <w:tcPr>
            <w:tcW w:type="dxa" w:w="3000"/>
          </w:tcPr>
          <w:p>
            <w:pPr>
              <w:jc w:val="left"/>
            </w:pPr>
            <w:r>
              <w:rPr>
                <w:rFonts w:ascii="Arial" w:cs="Arial" w:eastAsia="Arial" w:hAnsi="Arial"/>
                <w:b w:val="false"/>
                <w:bCs w:val="false"/>
                <w:sz w:val="20"/>
                <w:szCs w:val="20"/>
              </w:rPr>
              <w:t xml:space="preserve">100k+ TPS Target</w:t>
            </w:r>
          </w:p>
        </w:tc>
        <w:tc>
          <w:tcPr>
            <w:tcW w:type="dxa" w:w="3000"/>
          </w:tcPr>
          <w:p>
            <w:pPr>
              <w:jc w:val="left"/>
            </w:pPr>
            <w:r>
              <w:rPr>
                <w:rFonts w:ascii="Arial" w:cs="Arial" w:eastAsia="Arial" w:hAnsi="Arial"/>
                <w:b w:val="false"/>
                <w:bCs w:val="false"/>
                <w:sz w:val="20"/>
                <w:szCs w:val="20"/>
              </w:rPr>
              <w:t xml:space="preserve">2026</w:t>
            </w:r>
          </w:p>
        </w:tc>
        <w:tc>
          <w:tcPr>
            <w:tcW w:type="dxa" w:w="3000"/>
          </w:tcPr>
          <w:p>
            <w:pPr>
              <w:jc w:val="left"/>
            </w:pPr>
            <w:r>
              <w:rPr>
                <w:rFonts w:ascii="Arial" w:cs="Arial" w:eastAsia="Arial" w:hAnsi="Arial"/>
                <w:b w:val="false"/>
                <w:bCs w:val="false"/>
                <w:sz w:val="20"/>
                <w:szCs w:val="20"/>
              </w:rPr>
              <w:t xml:space="preserve">MEDIUM - Scaling MPC network capacity</w:t>
            </w:r>
          </w:p>
        </w:tc>
      </w:tr>
      <w:tr>
        <w:tc>
          <w:tcPr>
            <w:tcW w:type="dxa" w:w="3000"/>
          </w:tcPr>
          <w:p>
            <w:pPr>
              <w:jc w:val="left"/>
            </w:pPr>
            <w:r>
              <w:rPr>
                <w:rFonts w:ascii="Arial" w:cs="Arial" w:eastAsia="Arial" w:hAnsi="Arial"/>
                <w:b w:val="false"/>
                <w:bCs w:val="false"/>
                <w:sz w:val="20"/>
                <w:szCs w:val="20"/>
              </w:rPr>
              <w:t xml:space="preserve">BTCfi Expansion</w:t>
            </w:r>
          </w:p>
        </w:tc>
        <w:tc>
          <w:tcPr>
            <w:tcW w:type="dxa" w:w="3000"/>
          </w:tcPr>
          <w:p>
            <w:pPr>
              <w:jc w:val="left"/>
            </w:pPr>
            <w:r>
              <w:rPr>
                <w:rFonts w:ascii="Arial" w:cs="Arial" w:eastAsia="Arial" w:hAnsi="Arial"/>
                <w:b w:val="false"/>
                <w:bCs w:val="false"/>
                <w:sz w:val="20"/>
                <w:szCs w:val="20"/>
              </w:rPr>
              <w:t xml:space="preserve">Ongoing</w:t>
            </w:r>
          </w:p>
        </w:tc>
        <w:tc>
          <w:tcPr>
            <w:tcW w:type="dxa" w:w="3000"/>
          </w:tcPr>
          <w:p>
            <w:pPr>
              <w:jc w:val="left"/>
            </w:pPr>
            <w:r>
              <w:rPr>
                <w:rFonts w:ascii="Arial" w:cs="Arial" w:eastAsia="Arial" w:hAnsi="Arial"/>
                <w:b w:val="false"/>
                <w:bCs w:val="false"/>
                <w:sz w:val="20"/>
                <w:szCs w:val="20"/>
              </w:rPr>
              <w:t xml:space="preserve">HIGH - Native BTC in DeFi via dWallets</w:t>
            </w:r>
          </w:p>
        </w:tc>
      </w:tr>
      <w:tr>
        <w:tc>
          <w:tcPr>
            <w:tcW w:type="dxa" w:w="3000"/>
          </w:tcPr>
          <w:p>
            <w:pPr>
              <w:jc w:val="left"/>
            </w:pPr>
            <w:r>
              <w:rPr>
                <w:rFonts w:ascii="Arial" w:cs="Arial" w:eastAsia="Arial" w:hAnsi="Arial"/>
                <w:b w:val="false"/>
                <w:bCs w:val="false"/>
                <w:sz w:val="20"/>
                <w:szCs w:val="20"/>
              </w:rPr>
              <w:t xml:space="preserve">Rhei Finance Launch</w:t>
            </w:r>
          </w:p>
        </w:tc>
        <w:tc>
          <w:tcPr>
            <w:tcW w:type="dxa" w:w="3000"/>
          </w:tcPr>
          <w:p>
            <w:pPr>
              <w:jc w:val="left"/>
            </w:pPr>
            <w:r>
              <w:rPr>
                <w:rFonts w:ascii="Arial" w:cs="Arial" w:eastAsia="Arial" w:hAnsi="Arial"/>
                <w:b w:val="false"/>
                <w:bCs w:val="false"/>
                <w:sz w:val="20"/>
                <w:szCs w:val="20"/>
              </w:rPr>
              <w:t xml:space="preserve">2026</w:t>
            </w:r>
          </w:p>
        </w:tc>
        <w:tc>
          <w:tcPr>
            <w:tcW w:type="dxa" w:w="3000"/>
          </w:tcPr>
          <w:p>
            <w:pPr>
              <w:jc w:val="left"/>
            </w:pPr>
            <w:r>
              <w:rPr>
                <w:rFonts w:ascii="Arial" w:cs="Arial" w:eastAsia="Arial" w:hAnsi="Arial"/>
                <w:b w:val="false"/>
                <w:bCs w:val="false"/>
                <w:sz w:val="20"/>
                <w:szCs w:val="20"/>
              </w:rPr>
              <w:t xml:space="preserve">MEDIUM - Institutional multi-chain DeFi</w:t>
            </w:r>
          </w:p>
        </w:tc>
      </w:tr>
      <w:tr>
        <w:tc>
          <w:tcPr>
            <w:tcW w:type="dxa" w:w="3000"/>
          </w:tcPr>
          <w:p>
            <w:pPr>
              <w:jc w:val="left"/>
            </w:pPr>
            <w:r>
              <w:rPr>
                <w:rFonts w:ascii="Arial" w:cs="Arial" w:eastAsia="Arial" w:hAnsi="Arial"/>
                <w:b w:val="false"/>
                <w:bCs w:val="false"/>
                <w:sz w:val="20"/>
                <w:szCs w:val="20"/>
              </w:rPr>
              <w:t xml:space="preserve">Aeon AI Custody</w:t>
            </w:r>
          </w:p>
        </w:tc>
        <w:tc>
          <w:tcPr>
            <w:tcW w:type="dxa" w:w="3000"/>
          </w:tcPr>
          <w:p>
            <w:pPr>
              <w:jc w:val="left"/>
            </w:pPr>
            <w:r>
              <w:rPr>
                <w:rFonts w:ascii="Arial" w:cs="Arial" w:eastAsia="Arial" w:hAnsi="Arial"/>
                <w:b w:val="false"/>
                <w:bCs w:val="false"/>
                <w:sz w:val="20"/>
                <w:szCs w:val="20"/>
              </w:rPr>
              <w:t xml:space="preserve">2026</w:t>
            </w:r>
          </w:p>
        </w:tc>
        <w:tc>
          <w:tcPr>
            <w:tcW w:type="dxa" w:w="3000"/>
          </w:tcPr>
          <w:p>
            <w:pPr>
              <w:jc w:val="left"/>
            </w:pPr>
            <w:r>
              <w:rPr>
                <w:rFonts w:ascii="Arial" w:cs="Arial" w:eastAsia="Arial" w:hAnsi="Arial"/>
                <w:b w:val="false"/>
                <w:bCs w:val="false"/>
                <w:sz w:val="20"/>
                <w:szCs w:val="20"/>
              </w:rPr>
              <w:t xml:space="preserve">MEDIUM - AI agent custody solutions</w:t>
            </w:r>
          </w:p>
        </w:tc>
      </w:tr>
    </w:tbl>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KEY USE CASES</w:t>
      </w:r>
    </w:p>
    <w:p>
      <w:pPr>
        <w:spacing w:before="300" w:after="100"/>
      </w:pPr>
      <w:r>
        <w:rPr>
          <w:rFonts w:ascii="Arial" w:cs="Arial" w:eastAsia="Arial" w:hAnsi="Arial"/>
          <w:sz w:val="22"/>
          <w:szCs w:val="22"/>
        </w:rPr>
        <w:t xml:space="preserve">───────────────────────────────────────────────────────────────────</w:t>
      </w:r>
    </w:p>
    <w:p>
      <w:pPr>
        <w:spacing w:after="150"/>
      </w:pPr>
      <w:r>
        <w:rPr>
          <w:rFonts w:ascii="Arial" w:cs="Arial" w:eastAsia="Arial" w:hAnsi="Arial"/>
          <w:b/>
          <w:bCs/>
          <w:sz w:val="24"/>
          <w:szCs w:val="24"/>
        </w:rPr>
        <w:t xml:space="preserve">BTCfi (Bitcoin DeFi)</w:t>
      </w:r>
    </w:p>
    <w:p>
      <w:pPr>
        <w:spacing w:after="150"/>
      </w:pPr>
      <w:r>
        <w:rPr>
          <w:rFonts w:ascii="Arial" w:cs="Arial" w:eastAsia="Arial" w:hAnsi="Arial"/>
          <w:sz w:val="22"/>
          <w:szCs w:val="22"/>
        </w:rPr>
        <w:t xml:space="preserve">dWallets enable Sui smart contracts to directly control Bitcoin UTXOs without wrapping. This allows:</w:t>
      </w:r>
    </w:p>
    <w:p>
      <w:pPr>
        <w:spacing w:after="100"/>
        <w:ind w:left="360"/>
      </w:pPr>
      <w:r>
        <w:rPr>
          <w:rFonts w:ascii="Arial" w:cs="Arial" w:eastAsia="Arial" w:hAnsi="Arial"/>
          <w:sz w:val="22"/>
          <w:szCs w:val="22"/>
        </w:rPr>
        <w:t xml:space="preserve">• Native BTC lending and borrowing</w:t>
      </w:r>
    </w:p>
    <w:p>
      <w:pPr>
        <w:spacing w:after="100"/>
        <w:ind w:left="360"/>
      </w:pPr>
      <w:r>
        <w:rPr>
          <w:rFonts w:ascii="Arial" w:cs="Arial" w:eastAsia="Arial" w:hAnsi="Arial"/>
          <w:sz w:val="22"/>
          <w:szCs w:val="22"/>
        </w:rPr>
        <w:t xml:space="preserve">• BTC-collateralized stablecoin minting</w:t>
      </w:r>
    </w:p>
    <w:p>
      <w:pPr>
        <w:spacing w:after="100"/>
        <w:ind w:left="360"/>
      </w:pPr>
      <w:r>
        <w:rPr>
          <w:rFonts w:ascii="Arial" w:cs="Arial" w:eastAsia="Arial" w:hAnsi="Arial"/>
          <w:sz w:val="22"/>
          <w:szCs w:val="22"/>
        </w:rPr>
        <w:t xml:space="preserve">• BTC yield generation without bridges</w:t>
      </w:r>
    </w:p>
    <w:p>
      <w:pPr>
        <w:spacing w:after="150"/>
      </w:pPr>
      <w:r>
        <w:rPr>
          <w:rFonts w:ascii="Arial" w:cs="Arial" w:eastAsia="Arial" w:hAnsi="Arial"/>
          <w:b/>
          <w:bCs/>
          <w:sz w:val="24"/>
          <w:szCs w:val="24"/>
        </w:rPr>
        <w:t xml:space="preserve">Multi-Chain DeFi</w:t>
      </w:r>
    </w:p>
    <w:p>
      <w:pPr>
        <w:spacing w:after="150"/>
      </w:pPr>
      <w:r>
        <w:rPr>
          <w:rFonts w:ascii="Arial" w:cs="Arial" w:eastAsia="Arial" w:hAnsi="Arial"/>
          <w:sz w:val="22"/>
          <w:szCs w:val="22"/>
        </w:rPr>
        <w:t xml:space="preserve">Smart contracts on Sui can manage positions across Ethereum, Solana, and other chains:</w:t>
      </w:r>
    </w:p>
    <w:p>
      <w:pPr>
        <w:spacing w:after="100"/>
        <w:ind w:left="360"/>
      </w:pPr>
      <w:r>
        <w:rPr>
          <w:rFonts w:ascii="Arial" w:cs="Arial" w:eastAsia="Arial" w:hAnsi="Arial"/>
          <w:sz w:val="22"/>
          <w:szCs w:val="22"/>
        </w:rPr>
        <w:t xml:space="preserve">• Cross-chain arbitrage</w:t>
      </w:r>
    </w:p>
    <w:p>
      <w:pPr>
        <w:spacing w:after="100"/>
        <w:ind w:left="360"/>
      </w:pPr>
      <w:r>
        <w:rPr>
          <w:rFonts w:ascii="Arial" w:cs="Arial" w:eastAsia="Arial" w:hAnsi="Arial"/>
          <w:sz w:val="22"/>
          <w:szCs w:val="22"/>
        </w:rPr>
        <w:t xml:space="preserve">• Multi-chain liquidity aggregation</w:t>
      </w:r>
    </w:p>
    <w:p>
      <w:pPr>
        <w:spacing w:after="100"/>
        <w:ind w:left="360"/>
      </w:pPr>
      <w:r>
        <w:rPr>
          <w:rFonts w:ascii="Arial" w:cs="Arial" w:eastAsia="Arial" w:hAnsi="Arial"/>
          <w:sz w:val="22"/>
          <w:szCs w:val="22"/>
        </w:rPr>
        <w:t xml:space="preserve">• Unified portfolio management</w:t>
      </w:r>
    </w:p>
    <w:p>
      <w:pPr>
        <w:spacing w:after="150"/>
      </w:pPr>
      <w:r>
        <w:rPr>
          <w:rFonts w:ascii="Arial" w:cs="Arial" w:eastAsia="Arial" w:hAnsi="Arial"/>
          <w:b/>
          <w:bCs/>
          <w:sz w:val="24"/>
          <w:szCs w:val="24"/>
        </w:rPr>
        <w:t xml:space="preserve">Institutional Custody</w:t>
      </w:r>
    </w:p>
    <w:p>
      <w:pPr>
        <w:spacing w:after="150"/>
      </w:pPr>
      <w:r>
        <w:rPr>
          <w:rFonts w:ascii="Arial" w:cs="Arial" w:eastAsia="Arial" w:hAnsi="Arial"/>
          <w:sz w:val="22"/>
          <w:szCs w:val="22"/>
        </w:rPr>
        <w:t xml:space="preserve">Zero-trust MPC provides institutional-grade security:</w:t>
      </w:r>
    </w:p>
    <w:p>
      <w:pPr>
        <w:spacing w:after="100"/>
        <w:ind w:left="360"/>
      </w:pPr>
      <w:r>
        <w:rPr>
          <w:rFonts w:ascii="Arial" w:cs="Arial" w:eastAsia="Arial" w:hAnsi="Arial"/>
          <w:sz w:val="22"/>
          <w:szCs w:val="22"/>
        </w:rPr>
        <w:t xml:space="preserve">• No single point of failure</w:t>
      </w:r>
    </w:p>
    <w:p>
      <w:pPr>
        <w:spacing w:after="100"/>
        <w:ind w:left="360"/>
      </w:pPr>
      <w:r>
        <w:rPr>
          <w:rFonts w:ascii="Arial" w:cs="Arial" w:eastAsia="Arial" w:hAnsi="Arial"/>
          <w:sz w:val="22"/>
          <w:szCs w:val="22"/>
        </w:rPr>
        <w:t xml:space="preserve">• Programmable spending policies</w:t>
      </w:r>
    </w:p>
    <w:p>
      <w:pPr>
        <w:spacing w:after="100"/>
        <w:ind w:left="360"/>
      </w:pPr>
      <w:r>
        <w:rPr>
          <w:rFonts w:ascii="Arial" w:cs="Arial" w:eastAsia="Arial" w:hAnsi="Arial"/>
          <w:sz w:val="22"/>
          <w:szCs w:val="22"/>
        </w:rPr>
        <w:t xml:space="preserve">• Auditable, compliant custody</w:t>
      </w:r>
    </w:p>
    <w:p>
      <w:pPr>
        <w:spacing w:after="150"/>
      </w:pPr>
      <w:r>
        <w:rPr>
          <w:rFonts w:ascii="Arial" w:cs="Arial" w:eastAsia="Arial" w:hAnsi="Arial"/>
          <w:b/>
          <w:bCs/>
          <w:sz w:val="24"/>
          <w:szCs w:val="24"/>
        </w:rPr>
        <w:t xml:space="preserve">AI Agent Infrastructure</w:t>
      </w:r>
    </w:p>
    <w:p>
      <w:pPr>
        <w:spacing w:after="150"/>
      </w:pPr>
      <w:r>
        <w:rPr>
          <w:rFonts w:ascii="Arial" w:cs="Arial" w:eastAsia="Arial" w:hAnsi="Arial"/>
          <w:sz w:val="22"/>
          <w:szCs w:val="22"/>
        </w:rPr>
        <w:t xml:space="preserve">Aeon partnership enables AI agents to manage crypto assets with:</w:t>
      </w:r>
    </w:p>
    <w:p>
      <w:pPr>
        <w:spacing w:after="100"/>
        <w:ind w:left="360"/>
      </w:pPr>
      <w:r>
        <w:rPr>
          <w:rFonts w:ascii="Arial" w:cs="Arial" w:eastAsia="Arial" w:hAnsi="Arial"/>
          <w:sz w:val="22"/>
          <w:szCs w:val="22"/>
        </w:rPr>
        <w:t xml:space="preserve">• MPC guardrails preventing unauthorized actions</w:t>
      </w:r>
    </w:p>
    <w:p>
      <w:pPr>
        <w:spacing w:after="100"/>
        <w:ind w:left="360"/>
      </w:pPr>
      <w:r>
        <w:rPr>
          <w:rFonts w:ascii="Arial" w:cs="Arial" w:eastAsia="Arial" w:hAnsi="Arial"/>
          <w:sz w:val="22"/>
          <w:szCs w:val="22"/>
        </w:rPr>
        <w:t xml:space="preserve">• Human-in-the-loop for high-value transactions</w:t>
      </w:r>
    </w:p>
    <w:p>
      <w:pPr>
        <w:spacing w:after="100"/>
        <w:ind w:left="360"/>
      </w:pPr>
      <w:r>
        <w:rPr>
          <w:rFonts w:ascii="Arial" w:cs="Arial" w:eastAsia="Arial" w:hAnsi="Arial"/>
          <w:sz w:val="22"/>
          <w:szCs w:val="22"/>
        </w:rPr>
        <w:t xml:space="preserve">• Decentralized key management</w:t>
      </w:r>
    </w:p>
    <w:p>
      <w:pPr>
        <w:spacing w:before="400" w:after="100"/>
      </w:pPr>
      <w:r>
        <w:rPr>
          <w:rFonts w:ascii="Arial" w:cs="Arial" w:eastAsia="Arial" w:hAnsi="Arial"/>
          <w:sz w:val="22"/>
          <w:szCs w:val="22"/>
        </w:rPr>
        <w:t xml:space="preserve">═══════════════════════════════════════════════════════════════════</w:t>
      </w:r>
    </w:p>
    <w:p>
      <w:pPr>
        <w:spacing w:after="200"/>
      </w:pPr>
      <w:r>
        <w:rPr>
          <w:rFonts w:ascii="Arial" w:cs="Arial" w:eastAsia="Arial" w:hAnsi="Arial"/>
          <w:b/>
          <w:bCs/>
          <w:sz w:val="28"/>
          <w:szCs w:val="28"/>
        </w:rPr>
        <w:t xml:space="preserve">SOURCES</w:t>
      </w:r>
    </w:p>
    <w:p>
      <w:pPr>
        <w:spacing w:before="300" w:after="100"/>
      </w:pPr>
      <w:r>
        <w:rPr>
          <w:rFonts w:ascii="Arial" w:cs="Arial" w:eastAsia="Arial" w:hAnsi="Arial"/>
          <w:sz w:val="22"/>
          <w:szCs w:val="22"/>
        </w:rPr>
        <w:t xml:space="preserve">───────────────────────────────────────────────────────────────────</w:t>
      </w:r>
    </w:p>
    <w:p>
      <w:pPr>
        <w:spacing w:after="100"/>
        <w:ind w:left="360"/>
      </w:pPr>
      <w:r>
        <w:rPr>
          <w:rFonts w:ascii="Arial" w:cs="Arial" w:eastAsia="Arial" w:hAnsi="Arial"/>
          <w:sz w:val="22"/>
          <w:szCs w:val="22"/>
        </w:rPr>
        <w:t xml:space="preserve">• Ika Official Website: https://ika.xyz/</w:t>
      </w:r>
    </w:p>
    <w:p>
      <w:pPr>
        <w:spacing w:after="100"/>
        <w:ind w:left="360"/>
      </w:pPr>
      <w:r>
        <w:rPr>
          <w:rFonts w:ascii="Arial" w:cs="Arial" w:eastAsia="Arial" w:hAnsi="Arial"/>
          <w:sz w:val="22"/>
          <w:szCs w:val="22"/>
        </w:rPr>
        <w:t xml:space="preserve">• Ika Documentation: https://docs.ika.xyz/core-concepts/cryptography/2pc-mpc</w:t>
      </w:r>
    </w:p>
    <w:p>
      <w:pPr>
        <w:spacing w:after="100"/>
        <w:ind w:left="360"/>
      </w:pPr>
      <w:r>
        <w:rPr>
          <w:rFonts w:ascii="Arial" w:cs="Arial" w:eastAsia="Arial" w:hAnsi="Arial"/>
          <w:sz w:val="22"/>
          <w:szCs w:val="22"/>
        </w:rPr>
        <w:t xml:space="preserve">• Ika Tokenomics Blog: https://ika.xyz/blog/ika-tokenomics</w:t>
      </w:r>
    </w:p>
    <w:p>
      <w:pPr>
        <w:spacing w:after="100"/>
        <w:ind w:left="360"/>
      </w:pPr>
      <w:r>
        <w:rPr>
          <w:rFonts w:ascii="Arial" w:cs="Arial" w:eastAsia="Arial" w:hAnsi="Arial"/>
          <w:sz w:val="22"/>
          <w:szCs w:val="22"/>
        </w:rPr>
        <w:t xml:space="preserve">• Sui Blog - Ika Launch: https://blog.sui.io/ika-mainnet-launch-btcfi-interoperability/</w:t>
      </w:r>
    </w:p>
    <w:p>
      <w:pPr>
        <w:spacing w:after="100"/>
        <w:ind w:left="360"/>
      </w:pPr>
      <w:r>
        <w:rPr>
          <w:rFonts w:ascii="Arial" w:cs="Arial" w:eastAsia="Arial" w:hAnsi="Arial"/>
          <w:sz w:val="22"/>
          <w:szCs w:val="22"/>
        </w:rPr>
        <w:t xml:space="preserve">• The Block - Mainnet Launch: https://www.theblock.co/press-releases/364571/ika-launches-mainnet</w:t>
      </w:r>
    </w:p>
    <w:p>
      <w:pPr>
        <w:spacing w:after="100"/>
        <w:ind w:left="360"/>
      </w:pPr>
      <w:r>
        <w:rPr>
          <w:rFonts w:ascii="Arial" w:cs="Arial" w:eastAsia="Arial" w:hAnsi="Arial"/>
          <w:sz w:val="22"/>
          <w:szCs w:val="22"/>
        </w:rPr>
        <w:t xml:space="preserve">• The Block - Sui Foundation Investment: https://www.theblock.co/press-releases/352194/ika-sui-foundation-21m</w:t>
      </w:r>
    </w:p>
    <w:p>
      <w:pPr>
        <w:spacing w:after="100"/>
        <w:ind w:left="360"/>
      </w:pPr>
      <w:r>
        <w:rPr>
          <w:rFonts w:ascii="Arial" w:cs="Arial" w:eastAsia="Arial" w:hAnsi="Arial"/>
          <w:sz w:val="22"/>
          <w:szCs w:val="22"/>
        </w:rPr>
        <w:t xml:space="preserve">• CoinGecko - IKA: https://www.coingecko.com/en/coins/ika</w:t>
      </w:r>
    </w:p>
    <w:p>
      <w:pPr>
        <w:spacing w:after="100"/>
        <w:ind w:left="360"/>
      </w:pPr>
      <w:r>
        <w:rPr>
          <w:rFonts w:ascii="Arial" w:cs="Arial" w:eastAsia="Arial" w:hAnsi="Arial"/>
          <w:sz w:val="22"/>
          <w:szCs w:val="22"/>
        </w:rPr>
        <w:t xml:space="preserve">• CoinMarketCap - IKA: https://coinmarketcap.com/currencies/ika/</w:t>
      </w:r>
    </w:p>
    <w:p>
      <w:pPr>
        <w:spacing w:after="100"/>
        <w:ind w:left="360"/>
      </w:pPr>
      <w:r>
        <w:rPr>
          <w:rFonts w:ascii="Arial" w:cs="Arial" w:eastAsia="Arial" w:hAnsi="Arial"/>
          <w:sz w:val="22"/>
          <w:szCs w:val="22"/>
        </w:rPr>
        <w:t xml:space="preserve">• MEXC - IKA Analysis: https://blog.mexc.com/what-is-ika/</w:t>
      </w:r>
    </w:p>
    <w:p>
      <w:pPr>
        <w:spacing w:after="100"/>
        <w:ind w:left="360"/>
      </w:pPr>
      <w:r>
        <w:rPr>
          <w:rFonts w:ascii="Arial" w:cs="Arial" w:eastAsia="Arial" w:hAnsi="Arial"/>
          <w:sz w:val="22"/>
          <w:szCs w:val="22"/>
        </w:rPr>
        <w:t xml:space="preserve">• Blockworks - Ika DeFi: https://blockworks.co/news/ika-trustless-crosschain-defi</w:t>
      </w:r>
    </w:p>
    <w:p>
      <w:pPr>
        <w:spacing w:after="100"/>
        <w:ind w:left="360"/>
      </w:pPr>
      <w:r>
        <w:rPr>
          <w:rFonts w:ascii="Arial" w:cs="Arial" w:eastAsia="Arial" w:hAnsi="Arial"/>
          <w:sz w:val="22"/>
          <w:szCs w:val="22"/>
        </w:rPr>
        <w:t xml:space="preserve">• ICO Drops - IKA: https://icodrops.com/ika/</w:t>
      </w:r>
    </w:p>
    <w:p>
      <w:pPr>
        <w:spacing w:after="100"/>
        <w:ind w:left="360"/>
      </w:pPr>
      <w:r>
        <w:rPr>
          <w:rFonts w:ascii="Arial" w:cs="Arial" w:eastAsia="Arial" w:hAnsi="Arial"/>
          <w:sz w:val="22"/>
          <w:szCs w:val="22"/>
        </w:rPr>
        <w:t xml:space="preserve">• GitHub - Ika: https://github.com/dwallet-labs/ika</w:t>
      </w:r>
    </w:p>
    <w:p>
      <w:pPr>
        <w:spacing w:after="100"/>
        <w:ind w:left="360"/>
      </w:pPr>
      <w:r>
        <w:rPr>
          <w:rFonts w:ascii="Arial" w:cs="Arial" w:eastAsia="Arial" w:hAnsi="Arial"/>
          <w:sz w:val="22"/>
          <w:szCs w:val="22"/>
        </w:rPr>
        <w:t xml:space="preserve">• Stakin - IKA Analysis: https://stakin.com/blog/ika-the-fastest-parallel-mpc-network</w:t>
      </w:r>
    </w:p>
    <w:p>
      <w:pPr>
        <w:spacing w:after="100"/>
        <w:ind w:left="360"/>
      </w:pPr>
      <w:r>
        <w:rPr>
          <w:rFonts w:ascii="Arial" w:cs="Arial" w:eastAsia="Arial" w:hAnsi="Arial"/>
          <w:sz w:val="22"/>
          <w:szCs w:val="22"/>
        </w:rPr>
        <w:t xml:space="preserve">• SkyQuest - Interoperability Market: https://www.skyquestt.com/report/blockchain-interoperability-market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2026-01-17T08:04:58.059Z</dcterms:created>
  <dcterms:modified xsi:type="dcterms:W3CDTF">2026-01-17T08:04:58.059Z</dcterms:modified>
</cp:coreProperties>
</file>

<file path=docProps/custom.xml><?xml version="1.0" encoding="utf-8"?>
<Properties xmlns="http://schemas.openxmlformats.org/officeDocument/2006/custom-properties" xmlns:vt="http://schemas.openxmlformats.org/officeDocument/2006/docPropsVTypes"/>
</file>