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X: Model Performance on Test Set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92"/>
        <w:gridCol w:w="961"/>
        <w:gridCol w:w="1401"/>
        <w:gridCol w:w="1401"/>
      </w:tblGrid>
      <w:tr>
        <w:trPr>
          <w:trHeight w:val="62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AUC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Sensitivity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Specificity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Logistic_Regression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Naive_Bayes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</w:tbl>
    <w:p>
      <w:pPr>
        <w:pStyle w:val="Normal"/>
      </w:pPr>
      <w:r>
        <w:t xml:space="preserve">Note: Sensitivity measures the proportion of readmitted patients correctly identified, while specificity measures the proportion of non-readmitted patients correctly classified.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spencer</cp:lastModifiedBy>
  <cp:revision>9</cp:revision>
  <dcterms:created xsi:type="dcterms:W3CDTF">2017-02-28T11:18:00Z</dcterms:created>
  <dcterms:modified xsi:type="dcterms:W3CDTF">2026-02-13T20:23:10Z</dcterms:modified>
  <cp:category/>
</cp:coreProperties>
</file>