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2A307" w14:textId="77777777" w:rsidR="00C562DD" w:rsidRDefault="00AE146B" w:rsidP="00AE146B">
      <w:pPr>
        <w:spacing w:line="480" w:lineRule="auto"/>
      </w:pPr>
      <w:r>
        <w:t>Spencer Tang</w:t>
      </w:r>
    </w:p>
    <w:p w14:paraId="0BF550F0" w14:textId="26E73741" w:rsidR="00AE146B" w:rsidRDefault="00AE146B" w:rsidP="00AE146B">
      <w:pPr>
        <w:spacing w:line="480" w:lineRule="auto"/>
      </w:pPr>
      <w:r>
        <w:t>5/18/18</w:t>
      </w:r>
    </w:p>
    <w:p w14:paraId="0F3F7502" w14:textId="67A019C6" w:rsidR="00AE146B" w:rsidRDefault="00AE146B" w:rsidP="00AE146B">
      <w:pPr>
        <w:spacing w:line="480" w:lineRule="auto"/>
      </w:pPr>
      <w:r>
        <w:t>History 177R</w:t>
      </w:r>
    </w:p>
    <w:p w14:paraId="04099EF8" w14:textId="6E2BFD37" w:rsidR="00AE146B" w:rsidRDefault="00AE146B" w:rsidP="00AE146B">
      <w:pPr>
        <w:spacing w:line="480" w:lineRule="auto"/>
      </w:pPr>
      <w:r>
        <w:t>Graves</w:t>
      </w:r>
    </w:p>
    <w:p w14:paraId="289E1EF1" w14:textId="5515D60C" w:rsidR="00AE146B" w:rsidRDefault="00AE146B" w:rsidP="00AE146B">
      <w:pPr>
        <w:spacing w:line="480" w:lineRule="auto"/>
      </w:pPr>
    </w:p>
    <w:p w14:paraId="41C163AD" w14:textId="03D8A321" w:rsidR="00AE146B" w:rsidRDefault="00F8494E" w:rsidP="00AE146B">
      <w:pPr>
        <w:spacing w:line="480" w:lineRule="auto"/>
        <w:jc w:val="center"/>
      </w:pPr>
      <w:r>
        <w:t>Fairchild Semiconductor</w:t>
      </w:r>
      <w:r w:rsidR="00997815">
        <w:t>’s</w:t>
      </w:r>
      <w:r w:rsidR="00855471">
        <w:t xml:space="preserve"> Early History and</w:t>
      </w:r>
      <w:r w:rsidR="00997815">
        <w:t xml:space="preserve"> Contributions to</w:t>
      </w:r>
      <w:r w:rsidR="007E1926">
        <w:t xml:space="preserve"> </w:t>
      </w:r>
      <w:r w:rsidR="003E1F50">
        <w:t>the Modern Semiconductor Industry</w:t>
      </w:r>
    </w:p>
    <w:p w14:paraId="2717B855" w14:textId="54075F6F" w:rsidR="00AE146B" w:rsidRDefault="00AE146B" w:rsidP="00AE146B">
      <w:pPr>
        <w:spacing w:line="480" w:lineRule="auto"/>
        <w:jc w:val="center"/>
      </w:pPr>
    </w:p>
    <w:p w14:paraId="39E4F4E6" w14:textId="6D3C9968" w:rsidR="00AE146B" w:rsidRDefault="00AE146B" w:rsidP="00AE146B">
      <w:pPr>
        <w:spacing w:line="480" w:lineRule="auto"/>
      </w:pPr>
      <w:r>
        <w:tab/>
      </w:r>
      <w:r w:rsidR="00F53BCA">
        <w:t xml:space="preserve">The organization, business strategies, and technological advancements carried out by Fairchild Semiconductor from </w:t>
      </w:r>
      <w:r w:rsidR="00A45469">
        <w:t xml:space="preserve">1957 to 1961 has left a lasting mark on Silicon Valley’s </w:t>
      </w:r>
      <w:r w:rsidR="008F25CE">
        <w:t xml:space="preserve">contemporary </w:t>
      </w:r>
      <w:r w:rsidR="00A45469">
        <w:t xml:space="preserve">paradigms. </w:t>
      </w:r>
      <w:r w:rsidR="00836870">
        <w:t xml:space="preserve">In </w:t>
      </w:r>
      <w:r w:rsidR="007B4263">
        <w:t>t</w:t>
      </w:r>
      <w:r w:rsidR="00836870">
        <w:t xml:space="preserve">his short span of time, the company carved out a significant business niche for itself, outdoing competitors </w:t>
      </w:r>
      <w:r w:rsidR="00783EBB">
        <w:t xml:space="preserve">by focused development and the introduction of </w:t>
      </w:r>
      <w:r w:rsidR="0084503C">
        <w:t>key technologies</w:t>
      </w:r>
      <w:r w:rsidR="00B45A8C">
        <w:t>,</w:t>
      </w:r>
      <w:r w:rsidR="0084503C">
        <w:t xml:space="preserve"> such as </w:t>
      </w:r>
      <w:r w:rsidR="00A60647">
        <w:t xml:space="preserve">the planar process and silicon integrated </w:t>
      </w:r>
      <w:r w:rsidR="00BD01BE">
        <w:t>circuits.</w:t>
      </w:r>
      <w:r w:rsidR="00685E53">
        <w:t xml:space="preserve"> </w:t>
      </w:r>
      <w:r w:rsidR="00A45469">
        <w:t xml:space="preserve">This paper will discuss the circumstances which allowed Fairchild Semiconductor to be founded and how it went about shaping an infant semiconductor industry. </w:t>
      </w:r>
    </w:p>
    <w:p w14:paraId="6A9294B0" w14:textId="396D0A45" w:rsidR="007124F1" w:rsidRDefault="00A45469" w:rsidP="00F83C8E">
      <w:pPr>
        <w:spacing w:line="480" w:lineRule="auto"/>
      </w:pPr>
      <w:r>
        <w:tab/>
      </w:r>
      <w:r w:rsidR="00AD3DCF">
        <w:t>Silicon Valle</w:t>
      </w:r>
      <w:r w:rsidR="004374F5">
        <w:t>y before</w:t>
      </w:r>
      <w:r w:rsidR="0091091C">
        <w:t xml:space="preserve"> </w:t>
      </w:r>
      <w:r w:rsidR="004374F5">
        <w:t>the introduction of its</w:t>
      </w:r>
      <w:r>
        <w:t xml:space="preserve"> semiconductor and hardware manufacturing</w:t>
      </w:r>
      <w:r w:rsidR="0091091C">
        <w:t xml:space="preserve"> sector</w:t>
      </w:r>
      <w:r>
        <w:t xml:space="preserve"> was already a </w:t>
      </w:r>
      <w:r w:rsidR="00427F37">
        <w:t>location on the forefront of technology.</w:t>
      </w:r>
      <w:r>
        <w:t xml:space="preserve"> </w:t>
      </w:r>
      <w:r w:rsidR="00427F37">
        <w:t>Hig</w:t>
      </w:r>
      <w:r>
        <w:t>h technology in the early 20</w:t>
      </w:r>
      <w:r w:rsidRPr="00A45469">
        <w:rPr>
          <w:vertAlign w:val="superscript"/>
        </w:rPr>
        <w:t>th</w:t>
      </w:r>
      <w:r>
        <w:t xml:space="preserve"> century revolved around the early amateur radio industry. The San Francisco Bay</w:t>
      </w:r>
      <w:r w:rsidR="004374F5">
        <w:t xml:space="preserve"> area</w:t>
      </w:r>
      <w:r>
        <w:t xml:space="preserve"> during the “mid 1910s and the early 1920s” contained “more than 1,200 licensed amateurs, about 10 percent of all the radio operators in the United States.</w:t>
      </w:r>
      <w:r w:rsidR="00FD3572">
        <w:t>”</w:t>
      </w:r>
      <w:r w:rsidR="002F253E">
        <w:rPr>
          <w:rStyle w:val="EndnoteReference"/>
        </w:rPr>
        <w:endnoteReference w:id="1"/>
      </w:r>
      <w:r>
        <w:t xml:space="preserve"> Major cities such as Oakland and San Francisco had radio clubs which </w:t>
      </w:r>
      <w:r w:rsidR="00D45397">
        <w:t>congregat</w:t>
      </w:r>
      <w:r w:rsidR="00817C2F">
        <w:t>ed</w:t>
      </w:r>
      <w:r>
        <w:t xml:space="preserve"> large numbers of hobbyists</w:t>
      </w:r>
      <w:r w:rsidR="00692B9D">
        <w:t xml:space="preserve"> from diverse </w:t>
      </w:r>
      <w:r w:rsidR="00270859">
        <w:t>occupations and economic backgrounds</w:t>
      </w:r>
      <w:r>
        <w:t>.</w:t>
      </w:r>
      <w:r w:rsidR="00005033">
        <w:t xml:space="preserve"> Factors </w:t>
      </w:r>
      <w:r w:rsidR="008D4F1F">
        <w:t xml:space="preserve">which </w:t>
      </w:r>
      <w:r w:rsidR="00005033">
        <w:t xml:space="preserve">made California especially suitable for this early radio scene </w:t>
      </w:r>
      <w:r w:rsidR="00E06FA8">
        <w:t>included</w:t>
      </w:r>
      <w:r w:rsidR="00005033">
        <w:t xml:space="preserve"> its large seaport and heavy presence of both commercial shipping </w:t>
      </w:r>
      <w:r w:rsidR="00005033">
        <w:lastRenderedPageBreak/>
        <w:t xml:space="preserve">and the </w:t>
      </w:r>
      <w:r w:rsidR="00706044">
        <w:t xml:space="preserve">U.S. </w:t>
      </w:r>
      <w:r w:rsidR="00005033">
        <w:t>Navy</w:t>
      </w:r>
      <w:r w:rsidR="000E51CE">
        <w:t>.</w:t>
      </w:r>
      <w:r w:rsidR="00005033">
        <w:t xml:space="preserve"> </w:t>
      </w:r>
      <w:r w:rsidR="00602E47">
        <w:t>Both</w:t>
      </w:r>
      <w:r w:rsidR="000E51CE">
        <w:t xml:space="preserve"> industries</w:t>
      </w:r>
      <w:r w:rsidR="00005033">
        <w:t xml:space="preserve"> heavily </w:t>
      </w:r>
      <w:r w:rsidR="000E51CE">
        <w:t>leveraged</w:t>
      </w:r>
      <w:r w:rsidR="00005033">
        <w:t xml:space="preserve"> radio communications for their own </w:t>
      </w:r>
      <w:r w:rsidR="00282E09">
        <w:t>economic</w:t>
      </w:r>
      <w:r w:rsidR="00D85299">
        <w:t xml:space="preserve"> and military purposes</w:t>
      </w:r>
      <w:r w:rsidR="00005033">
        <w:t xml:space="preserve">. </w:t>
      </w:r>
      <w:r w:rsidR="00AD3DCF">
        <w:t>This also provided a major source of employment for radio operators.</w:t>
      </w:r>
      <w:r w:rsidR="007124F1">
        <w:rPr>
          <w:rStyle w:val="EndnoteReference"/>
        </w:rPr>
        <w:endnoteReference w:id="2"/>
      </w:r>
      <w:r w:rsidR="007124F1">
        <w:t xml:space="preserve"> </w:t>
      </w:r>
      <w:r w:rsidR="00F83C8E">
        <w:t>I</w:t>
      </w:r>
      <w:r w:rsidR="007124F1">
        <w:t>n many ways, the spirit and culture of this amateur radio scene influence</w:t>
      </w:r>
      <w:r w:rsidR="00602E47">
        <w:t>d</w:t>
      </w:r>
      <w:r w:rsidR="007124F1">
        <w:t xml:space="preserve"> Silicon Valley’s would</w:t>
      </w:r>
      <w:r w:rsidR="00D15F46">
        <w:t>-</w:t>
      </w:r>
      <w:r w:rsidR="007124F1">
        <w:t xml:space="preserve">be entrepreneurs and </w:t>
      </w:r>
      <w:r w:rsidR="00FE3743">
        <w:t>early engineers</w:t>
      </w:r>
      <w:r w:rsidR="00FA356E">
        <w:t>.</w:t>
      </w:r>
    </w:p>
    <w:p w14:paraId="667822B6" w14:textId="4230AFB2" w:rsidR="00FA356E" w:rsidRDefault="00A71514" w:rsidP="00F83C8E">
      <w:pPr>
        <w:spacing w:line="480" w:lineRule="auto"/>
      </w:pPr>
      <w:r>
        <w:tab/>
        <w:t xml:space="preserve">Amateur radio enthusiasts at club meetings and </w:t>
      </w:r>
      <w:proofErr w:type="spellStart"/>
      <w:r>
        <w:t>hamfests</w:t>
      </w:r>
      <w:proofErr w:type="spellEnd"/>
      <w:r>
        <w:t xml:space="preserve"> emphasized democratic, egalitarian values and </w:t>
      </w:r>
      <w:r w:rsidR="003D4DC3">
        <w:t xml:space="preserve">lauded </w:t>
      </w:r>
      <w:r>
        <w:t xml:space="preserve">technical </w:t>
      </w:r>
      <w:r w:rsidR="00CB5ECB">
        <w:t>expertise</w:t>
      </w:r>
      <w:r>
        <w:t xml:space="preserve"> and resourcefulness.</w:t>
      </w:r>
      <w:r w:rsidR="00FE3743">
        <w:t xml:space="preserve"> They valued healthy, productive int</w:t>
      </w:r>
      <w:r w:rsidR="00F7779E">
        <w:t>er-competition in the pursuit of more efficient circuits and better transmitters.</w:t>
      </w:r>
      <w:r w:rsidR="001D6A08">
        <w:rPr>
          <w:rStyle w:val="EndnoteReference"/>
        </w:rPr>
        <w:endnoteReference w:id="3"/>
      </w:r>
      <w:r w:rsidR="00383E10">
        <w:t xml:space="preserve"> These </w:t>
      </w:r>
      <w:r w:rsidR="00FE6476">
        <w:t>friendly competitions between radio enthusiasts</w:t>
      </w:r>
      <w:r w:rsidR="00383E10">
        <w:t xml:space="preserve"> </w:t>
      </w:r>
      <w:r w:rsidR="009A7A5D">
        <w:t>were</w:t>
      </w:r>
      <w:r w:rsidR="00383E10">
        <w:t xml:space="preserve"> analogous to Fairchild Semiconductor’s fierce competition with their rivals</w:t>
      </w:r>
      <w:r w:rsidR="00851C5B">
        <w:t xml:space="preserve"> </w:t>
      </w:r>
      <w:r w:rsidR="00FE6476">
        <w:t xml:space="preserve">in </w:t>
      </w:r>
      <w:r w:rsidR="007D58E0">
        <w:t>transistors and miniaturized circuits.</w:t>
      </w:r>
      <w:r w:rsidR="005F31E3">
        <w:t xml:space="preserve"> Various vacuum tube companies sprouted up to meet the radio technology demands of both industry and th</w:t>
      </w:r>
      <w:r w:rsidR="00D75D99">
        <w:t>e</w:t>
      </w:r>
      <w:r w:rsidR="00302C8E">
        <w:t xml:space="preserve"> U.S.</w:t>
      </w:r>
      <w:r w:rsidR="005F31E3">
        <w:t xml:space="preserve"> military.</w:t>
      </w:r>
    </w:p>
    <w:p w14:paraId="51D8A70B" w14:textId="66182640" w:rsidR="00224D7A" w:rsidRDefault="00CD77B5" w:rsidP="00F83C8E">
      <w:pPr>
        <w:spacing w:line="480" w:lineRule="auto"/>
      </w:pPr>
      <w:r>
        <w:tab/>
        <w:t xml:space="preserve">Firms such as </w:t>
      </w:r>
      <w:proofErr w:type="spellStart"/>
      <w:r w:rsidR="00D57ED7">
        <w:t>Eitel</w:t>
      </w:r>
      <w:proofErr w:type="spellEnd"/>
      <w:r w:rsidR="00D57ED7">
        <w:t>-McCullough, Litton Industries</w:t>
      </w:r>
      <w:r w:rsidR="00D9518F">
        <w:t>,</w:t>
      </w:r>
      <w:r w:rsidR="00D57ED7">
        <w:t xml:space="preserve"> and Watkins-Johnson provided a model for West Coast manufacturing companies to compete with their larger</w:t>
      </w:r>
      <w:r w:rsidR="003E2354">
        <w:t xml:space="preserve"> E</w:t>
      </w:r>
      <w:r w:rsidR="00D57ED7">
        <w:t xml:space="preserve">ast </w:t>
      </w:r>
      <w:r w:rsidR="003E2354">
        <w:t>C</w:t>
      </w:r>
      <w:r w:rsidR="00D57ED7">
        <w:t xml:space="preserve">oast </w:t>
      </w:r>
      <w:r w:rsidR="00C304B1">
        <w:t>rivals</w:t>
      </w:r>
      <w:r w:rsidR="00D57ED7">
        <w:t>.</w:t>
      </w:r>
      <w:r w:rsidR="00286386">
        <w:rPr>
          <w:rStyle w:val="EndnoteReference"/>
        </w:rPr>
        <w:endnoteReference w:id="4"/>
      </w:r>
      <w:r w:rsidR="000B37DA">
        <w:t xml:space="preserve"> The path forward involved </w:t>
      </w:r>
      <w:r w:rsidR="009239C4">
        <w:t>“innovative manufacturing” and “high-quality products</w:t>
      </w:r>
      <w:r w:rsidR="00970B10">
        <w:t>.</w:t>
      </w:r>
      <w:r w:rsidR="009239C4">
        <w:t>”</w:t>
      </w:r>
      <w:r w:rsidR="00970B10">
        <w:t xml:space="preserve"> These companies found their</w:t>
      </w:r>
      <w:r w:rsidR="0021037B">
        <w:t xml:space="preserve"> business niches </w:t>
      </w:r>
      <w:r w:rsidR="00970B10">
        <w:t xml:space="preserve">by </w:t>
      </w:r>
      <w:r w:rsidR="00293964">
        <w:t>exploiting</w:t>
      </w:r>
      <w:r w:rsidR="00970B10">
        <w:t xml:space="preserve"> </w:t>
      </w:r>
      <w:r w:rsidR="00293964">
        <w:t>specific</w:t>
      </w:r>
      <w:r w:rsidR="002545C7">
        <w:t>,</w:t>
      </w:r>
      <w:r w:rsidR="00970B10">
        <w:t xml:space="preserve"> disruptive products</w:t>
      </w:r>
      <w:r w:rsidR="0021037B">
        <w:t>.</w:t>
      </w:r>
      <w:bookmarkStart w:id="0" w:name="_GoBack"/>
      <w:bookmarkEnd w:id="0"/>
      <w:r w:rsidR="009239C4">
        <w:t xml:space="preserve"> Semiconductor companies leveraged ceramic</w:t>
      </w:r>
      <w:r w:rsidR="00D7619D">
        <w:t xml:space="preserve">, glass, </w:t>
      </w:r>
      <w:r w:rsidR="009239C4">
        <w:t xml:space="preserve">and skilled machinery shops </w:t>
      </w:r>
      <w:r w:rsidR="007C34ED">
        <w:t xml:space="preserve">which used to </w:t>
      </w:r>
      <w:r w:rsidR="009A5F01">
        <w:t>suppl</w:t>
      </w:r>
      <w:r w:rsidR="007C34ED">
        <w:t>y</w:t>
      </w:r>
      <w:r w:rsidR="009239C4">
        <w:t xml:space="preserve"> vacuum tube companies.</w:t>
      </w:r>
      <w:r w:rsidR="0021037B">
        <w:t xml:space="preserve"> </w:t>
      </w:r>
      <w:r w:rsidR="00E84E03">
        <w:t>Some vacuum tube</w:t>
      </w:r>
      <w:r w:rsidR="0021037B">
        <w:t xml:space="preserve"> specialists</w:t>
      </w:r>
      <w:r w:rsidR="00E84E03">
        <w:t>, especially the</w:t>
      </w:r>
      <w:r w:rsidR="006F40C2">
        <w:t xml:space="preserve"> process engineers with knowledge of fabrication, “chemical handling, glass working” and “vacuum techniques” </w:t>
      </w:r>
      <w:r w:rsidR="003A0249">
        <w:t>moved to</w:t>
      </w:r>
      <w:r w:rsidR="006F40C2">
        <w:t xml:space="preserve"> semiconductor firms in the 1960s.</w:t>
      </w:r>
      <w:r w:rsidR="0079404D">
        <w:rPr>
          <w:rStyle w:val="EndnoteReference"/>
        </w:rPr>
        <w:endnoteReference w:id="5"/>
      </w:r>
      <w:r w:rsidR="0021037B">
        <w:t xml:space="preserve"> </w:t>
      </w:r>
      <w:r w:rsidR="006F40C2">
        <w:t xml:space="preserve">Fairchild Semiconductor consulted with Varian and other vacuum tube companies for strategic and management advice in their early years. </w:t>
      </w:r>
      <w:r w:rsidR="00224D7A">
        <w:t>Meanwhile</w:t>
      </w:r>
      <w:r w:rsidR="00D15F46">
        <w:t>,</w:t>
      </w:r>
      <w:r w:rsidR="00224D7A">
        <w:t xml:space="preserve"> large geopolitical forces of the post-World War II order were</w:t>
      </w:r>
      <w:r w:rsidR="00052E46">
        <w:t xml:space="preserve"> actively</w:t>
      </w:r>
      <w:r w:rsidR="00224D7A">
        <w:t xml:space="preserve"> reshaping </w:t>
      </w:r>
      <w:r w:rsidR="00E673F1">
        <w:t xml:space="preserve">the </w:t>
      </w:r>
      <w:r w:rsidR="007B4C0B">
        <w:t>nation</w:t>
      </w:r>
      <w:r w:rsidR="00E673F1">
        <w:t xml:space="preserve">’s political and military institutions. </w:t>
      </w:r>
    </w:p>
    <w:p w14:paraId="72AF0A5C" w14:textId="01646136" w:rsidR="007124F1" w:rsidRDefault="007124F1" w:rsidP="00170F8E">
      <w:pPr>
        <w:spacing w:line="480" w:lineRule="auto"/>
        <w:ind w:firstLine="720"/>
      </w:pPr>
      <w:r>
        <w:lastRenderedPageBreak/>
        <w:t xml:space="preserve">The 1950s was a period of increasingly high political tensions between both the United States and the </w:t>
      </w:r>
      <w:r w:rsidR="0047665B">
        <w:t>Soviet Union</w:t>
      </w:r>
      <w:r w:rsidR="00A316FF">
        <w:t>:</w:t>
      </w:r>
      <w:r w:rsidR="006426AF">
        <w:t xml:space="preserve"> a period</w:t>
      </w:r>
      <w:r>
        <w:t xml:space="preserve"> </w:t>
      </w:r>
      <w:r w:rsidR="006426AF">
        <w:t xml:space="preserve">best described as </w:t>
      </w:r>
      <w:r w:rsidR="00D76F69">
        <w:t>the</w:t>
      </w:r>
      <w:r w:rsidR="006426AF">
        <w:t xml:space="preserve"> </w:t>
      </w:r>
      <w:r>
        <w:t>Cold War. The Korean War, which began in 1950, ended in stalemate in 1953. As a</w:t>
      </w:r>
      <w:r w:rsidR="00DA1386">
        <w:t xml:space="preserve"> rough equivalent</w:t>
      </w:r>
      <w:r>
        <w:t xml:space="preserve"> </w:t>
      </w:r>
      <w:r w:rsidR="00214450">
        <w:t>of</w:t>
      </w:r>
      <w:r>
        <w:t xml:space="preserve"> NATO,</w:t>
      </w:r>
      <w:r w:rsidR="00F56341">
        <w:t xml:space="preserve"> an alliance tying the nation to the military defense of Western Europe,</w:t>
      </w:r>
      <w:r>
        <w:t xml:space="preserve"> the Soviet Union created the Warsaw Pact in 1955.</w:t>
      </w:r>
      <w:r w:rsidRPr="005F3DEB">
        <w:rPr>
          <w:rStyle w:val="EndnoteReference"/>
        </w:rPr>
        <w:t xml:space="preserve"> </w:t>
      </w:r>
      <w:r>
        <w:rPr>
          <w:rStyle w:val="EndnoteReference"/>
        </w:rPr>
        <w:endnoteReference w:id="6"/>
      </w:r>
      <w:r>
        <w:t xml:space="preserve"> </w:t>
      </w:r>
      <w:r w:rsidR="006967E0">
        <w:t xml:space="preserve">Americans were </w:t>
      </w:r>
      <w:r w:rsidR="004C185B">
        <w:t xml:space="preserve">caught </w:t>
      </w:r>
      <w:proofErr w:type="spellStart"/>
      <w:r w:rsidR="004C185B">
        <w:t>offguard</w:t>
      </w:r>
      <w:proofErr w:type="spellEnd"/>
      <w:r>
        <w:t xml:space="preserve"> when the Soviets in October 1957 launched Sputnik, setting the stage for the Space Race. As technological knowledge and expertise began to carry even greater </w:t>
      </w:r>
      <w:r w:rsidR="001B4B57">
        <w:t>strategic</w:t>
      </w:r>
      <w:r>
        <w:t xml:space="preserve"> importance, the </w:t>
      </w:r>
      <w:r w:rsidR="00244987">
        <w:t>American</w:t>
      </w:r>
      <w:r>
        <w:t xml:space="preserve"> military began to invest heavily into its intercontinental ballistic missile program. Prior to1956, when the military pushed for “digitalization of its avionics equipment,” most of its aircraft and missiles relied on analog systems.</w:t>
      </w:r>
      <w:r>
        <w:rPr>
          <w:rStyle w:val="EndnoteReference"/>
        </w:rPr>
        <w:endnoteReference w:id="7"/>
      </w:r>
      <w:r>
        <w:t xml:space="preserve"> </w:t>
      </w:r>
      <w:r w:rsidR="00014841">
        <w:t>In 1947, three researchers at Bell Labs,</w:t>
      </w:r>
      <w:r>
        <w:t xml:space="preserve"> William Shockley, John Bardeen, and Walter Brattain</w:t>
      </w:r>
      <w:r w:rsidR="00014841">
        <w:t>,</w:t>
      </w:r>
      <w:r>
        <w:t xml:space="preserve"> invented a point-contact transistor</w:t>
      </w:r>
      <w:r w:rsidR="00014841">
        <w:t>;</w:t>
      </w:r>
      <w:r>
        <w:t xml:space="preserve"> one of the earliest applications of the transistor was for the AN/TSQ</w:t>
      </w:r>
      <w:r w:rsidR="00127A46">
        <w:t>-51 Air Defense Command and Coordination System</w:t>
      </w:r>
      <w:r>
        <w:t xml:space="preserve"> which relayed target coordinates from radar over to control center operators.</w:t>
      </w:r>
      <w:r w:rsidR="00014841">
        <w:rPr>
          <w:rStyle w:val="EndnoteReference"/>
        </w:rPr>
        <w:endnoteReference w:id="8"/>
      </w:r>
      <w:r w:rsidR="00C47FD2">
        <w:t xml:space="preserve"> Transistors</w:t>
      </w:r>
      <w:r w:rsidR="00880433">
        <w:t xml:space="preserve">, </w:t>
      </w:r>
      <w:r w:rsidR="00795033">
        <w:t>made up of semiconductor materials, were combined into logic circuits</w:t>
      </w:r>
      <w:r w:rsidR="002A1750">
        <w:t>.</w:t>
      </w:r>
      <w:r w:rsidR="00795033">
        <w:t xml:space="preserve"> These logic circuits of “transistors, resistors, and capacitors could represent numbers in binary form (on and off in a basic switch) and perform mathematical operations with them</w:t>
      </w:r>
      <w:r w:rsidR="007905E5">
        <w:t>.</w:t>
      </w:r>
      <w:r w:rsidR="007905E5">
        <w:rPr>
          <w:rStyle w:val="EndnoteReference"/>
        </w:rPr>
        <w:endnoteReference w:id="9"/>
      </w:r>
      <w:r>
        <w:t xml:space="preserve"> These AN/TSQ apparatuses </w:t>
      </w:r>
      <w:r w:rsidR="009C7B23">
        <w:t>controlled</w:t>
      </w:r>
      <w:r>
        <w:t xml:space="preserve"> the Nike missile batteries to be discharged in the event of a Soviet air attack.</w:t>
      </w:r>
      <w:r>
        <w:rPr>
          <w:rStyle w:val="EndnoteReference"/>
        </w:rPr>
        <w:endnoteReference w:id="10"/>
      </w:r>
      <w:r>
        <w:rPr>
          <w:rStyle w:val="EndnoteReference"/>
        </w:rPr>
        <w:endnoteReference w:id="11"/>
      </w:r>
      <w:r>
        <w:t xml:space="preserve"> William</w:t>
      </w:r>
      <w:r w:rsidR="00212D4A">
        <w:t xml:space="preserve"> Shockley</w:t>
      </w:r>
      <w:r>
        <w:t>, while working at Bell Labs, won a</w:t>
      </w:r>
      <w:r w:rsidR="00DB66C5">
        <w:t xml:space="preserve"> shared</w:t>
      </w:r>
      <w:r>
        <w:t xml:space="preserve"> Nobel prize for inventing the first transistor, “a point-contact germanium transistor, in 1947,” and would later start up a transistor research and development company</w:t>
      </w:r>
      <w:r w:rsidR="00CB7CBD">
        <w:t>:</w:t>
      </w:r>
      <w:r w:rsidR="000E4D82">
        <w:t xml:space="preserve"> Shockley Semiconductor Laboratory</w:t>
      </w:r>
      <w:r>
        <w:t>.</w:t>
      </w:r>
      <w:r>
        <w:rPr>
          <w:rStyle w:val="EndnoteReference"/>
        </w:rPr>
        <w:endnoteReference w:id="12"/>
      </w:r>
      <w:r>
        <w:t xml:space="preserve"> This company w</w:t>
      </w:r>
      <w:r w:rsidR="00ED6E96">
        <w:t>as</w:t>
      </w:r>
      <w:r>
        <w:t xml:space="preserve"> where Fairchild Semiconductor’s founders first met</w:t>
      </w:r>
      <w:r w:rsidR="000B1BCD">
        <w:t>.</w:t>
      </w:r>
      <w:r>
        <w:t xml:space="preserve"> </w:t>
      </w:r>
      <w:r w:rsidR="001B20FB">
        <w:t>They took</w:t>
      </w:r>
      <w:r>
        <w:t xml:space="preserve"> </w:t>
      </w:r>
      <w:r w:rsidR="001B20FB">
        <w:t>their</w:t>
      </w:r>
      <w:r w:rsidR="00093521">
        <w:t xml:space="preserve"> tacit</w:t>
      </w:r>
      <w:r w:rsidR="001B20FB">
        <w:t xml:space="preserve"> </w:t>
      </w:r>
      <w:r>
        <w:t>knowledge of diffused silicon transistors and work connections</w:t>
      </w:r>
      <w:r w:rsidR="008C54B9">
        <w:t xml:space="preserve"> gained at Shockley</w:t>
      </w:r>
      <w:r>
        <w:t xml:space="preserve"> to found Fairchild Semiconductor.</w:t>
      </w:r>
    </w:p>
    <w:p w14:paraId="48BB3788" w14:textId="18FCDBD2" w:rsidR="00625E3F" w:rsidRDefault="007124F1" w:rsidP="00625E3F">
      <w:pPr>
        <w:spacing w:line="480" w:lineRule="auto"/>
        <w:ind w:firstLine="720"/>
      </w:pPr>
      <w:r>
        <w:lastRenderedPageBreak/>
        <w:t>A group of Shockley</w:t>
      </w:r>
      <w:r w:rsidR="00A772CD">
        <w:t xml:space="preserve"> Semiconductor</w:t>
      </w:r>
      <w:r>
        <w:t xml:space="preserve"> Lab</w:t>
      </w:r>
      <w:r w:rsidR="00A772CD">
        <w:t>oratory</w:t>
      </w:r>
      <w:r>
        <w:t xml:space="preserve"> senior staff members “included Gordon Moore, Jay Last, Eugene </w:t>
      </w:r>
      <w:proofErr w:type="spellStart"/>
      <w:r>
        <w:t>Kleiner</w:t>
      </w:r>
      <w:proofErr w:type="spellEnd"/>
      <w:r>
        <w:t xml:space="preserve">, Jean </w:t>
      </w:r>
      <w:proofErr w:type="spellStart"/>
      <w:r>
        <w:t>Hoerni</w:t>
      </w:r>
      <w:proofErr w:type="spellEnd"/>
      <w:r>
        <w:t xml:space="preserve">, Julius Blank, Victor </w:t>
      </w:r>
      <w:proofErr w:type="spellStart"/>
      <w:r>
        <w:t>Grinich</w:t>
      </w:r>
      <w:proofErr w:type="spellEnd"/>
      <w:r>
        <w:t>, and Sheldon Roberts</w:t>
      </w:r>
      <w:r w:rsidR="001302D2">
        <w:t>.</w:t>
      </w:r>
      <w:r>
        <w:t>”</w:t>
      </w:r>
      <w:r w:rsidR="001302D2">
        <w:t xml:space="preserve"> They</w:t>
      </w:r>
      <w:r>
        <w:t xml:space="preserve"> penned a letter to Hayden Stone &amp; Company, a New York investment bank</w:t>
      </w:r>
      <w:r w:rsidR="007F51C6">
        <w:t xml:space="preserve"> asking </w:t>
      </w:r>
      <w:r>
        <w:t xml:space="preserve">the group for resources </w:t>
      </w:r>
      <w:r w:rsidR="00E356BB">
        <w:t>to enable them to</w:t>
      </w:r>
      <w:r>
        <w:t xml:space="preserve"> </w:t>
      </w:r>
      <w:r w:rsidR="00E356BB">
        <w:t>produce</w:t>
      </w:r>
      <w:r>
        <w:t xml:space="preserve"> “a line of silicon diffused transistors of </w:t>
      </w:r>
      <w:proofErr w:type="spellStart"/>
      <w:r>
        <w:t>ususual</w:t>
      </w:r>
      <w:proofErr w:type="spellEnd"/>
      <w:r>
        <w:t xml:space="preserve">[sic] design applicable to the production of both high frequency and </w:t>
      </w:r>
      <w:r w:rsidR="00463EF0">
        <w:t>high-power</w:t>
      </w:r>
      <w:r>
        <w:t xml:space="preserve"> devices.”</w:t>
      </w:r>
      <w:r>
        <w:rPr>
          <w:rStyle w:val="EndnoteReference"/>
        </w:rPr>
        <w:endnoteReference w:id="13"/>
      </w:r>
      <w:r w:rsidR="000606FA">
        <w:t xml:space="preserve"> </w:t>
      </w:r>
    </w:p>
    <w:p w14:paraId="4A87E9B3" w14:textId="4D293B09" w:rsidR="000606FA" w:rsidRDefault="00463EF0" w:rsidP="00625E3F">
      <w:pPr>
        <w:spacing w:line="480" w:lineRule="auto"/>
        <w:ind w:firstLine="720"/>
      </w:pPr>
      <w:r>
        <w:t>The i</w:t>
      </w:r>
      <w:r w:rsidR="000606FA">
        <w:t>dea</w:t>
      </w:r>
      <w:r>
        <w:t xml:space="preserve"> of</w:t>
      </w:r>
      <w:r w:rsidR="000606FA">
        <w:t xml:space="preserve"> silicon diffused mesa transistors </w:t>
      </w:r>
      <w:proofErr w:type="gramStart"/>
      <w:r w:rsidR="000606FA">
        <w:t>were</w:t>
      </w:r>
      <w:proofErr w:type="gramEnd"/>
      <w:r w:rsidR="000606FA">
        <w:t xml:space="preserve"> not novel. Bells Labs’ researchers, Tannenbaum and Thomas, </w:t>
      </w:r>
      <w:r w:rsidR="00625E3F">
        <w:t>had</w:t>
      </w:r>
      <w:r w:rsidR="000606FA">
        <w:t xml:space="preserve"> already investigat</w:t>
      </w:r>
      <w:r w:rsidR="00625E3F">
        <w:t>ed</w:t>
      </w:r>
      <w:r w:rsidR="000606FA">
        <w:t xml:space="preserve"> </w:t>
      </w:r>
      <w:r w:rsidR="00F4361E">
        <w:t xml:space="preserve">batch processed, </w:t>
      </w:r>
      <w:r w:rsidR="00CB160C">
        <w:t>NPN</w:t>
      </w:r>
      <w:r w:rsidR="00625E3F">
        <w:t xml:space="preserve"> </w:t>
      </w:r>
      <w:r w:rsidR="00F4361E">
        <w:t>mesa transistors</w:t>
      </w:r>
      <w:r w:rsidR="00625E3F">
        <w:t xml:space="preserve">. AT&amp;T struck a deal with the U.S. government in 1955 and Western Electric had to release Bell Labs’ transistor and semiconductor patents to the public. By the </w:t>
      </w:r>
      <w:r w:rsidR="002A0ACE">
        <w:t>time</w:t>
      </w:r>
      <w:r w:rsidR="00625E3F">
        <w:t xml:space="preserve"> of the letter, June 1957, no semiconductor company had</w:t>
      </w:r>
      <w:r w:rsidR="003D4F83">
        <w:t xml:space="preserve"> yet</w:t>
      </w:r>
      <w:r w:rsidR="00625E3F">
        <w:t xml:space="preserve"> </w:t>
      </w:r>
      <w:r w:rsidR="002A0ACE">
        <w:t>applied these patents to production.</w:t>
      </w:r>
      <w:r w:rsidR="002A0ACE">
        <w:rPr>
          <w:rStyle w:val="EndnoteReference"/>
        </w:rPr>
        <w:endnoteReference w:id="14"/>
      </w:r>
    </w:p>
    <w:p w14:paraId="418A7483" w14:textId="2A79F51F" w:rsidR="007124F1" w:rsidRDefault="007124F1" w:rsidP="002A0ACE">
      <w:pPr>
        <w:spacing w:line="480" w:lineRule="auto"/>
        <w:ind w:firstLine="720"/>
      </w:pPr>
      <w:r>
        <w:t>Internal conflicts regarding</w:t>
      </w:r>
      <w:r w:rsidR="00CE6CAE">
        <w:t xml:space="preserve"> William</w:t>
      </w:r>
      <w:r>
        <w:t xml:space="preserve"> Shockley’s management style led to defections</w:t>
      </w:r>
      <w:r w:rsidR="000B6C60">
        <w:t xml:space="preserve"> from Shockley Semiconductor Laboratory’s employees. Rather than seeking employment individually</w:t>
      </w:r>
      <w:r>
        <w:t xml:space="preserve"> this group of seven decided to </w:t>
      </w:r>
      <w:r w:rsidR="000B6C60">
        <w:t>seek employment</w:t>
      </w:r>
      <w:r>
        <w:t xml:space="preserve"> togethe</w:t>
      </w:r>
      <w:r w:rsidR="000B6C60">
        <w:t>r</w:t>
      </w:r>
      <w:r w:rsidR="00D47E17">
        <w:t xml:space="preserve"> before they were later convinced to start up a</w:t>
      </w:r>
      <w:r w:rsidR="009F5763">
        <w:t xml:space="preserve"> completely</w:t>
      </w:r>
      <w:r w:rsidR="00D47E17">
        <w:t xml:space="preserve"> new company</w:t>
      </w:r>
      <w:r>
        <w:t xml:space="preserve">. </w:t>
      </w:r>
      <w:r w:rsidR="00246965">
        <w:t>Surveying this early group</w:t>
      </w:r>
      <w:r>
        <w:t xml:space="preserve">, their combined specialties included “physics, electronics, engineering, metallurgy, and chemistry.” </w:t>
      </w:r>
      <w:r w:rsidR="00974EF3">
        <w:t>Although highly technically skilled, n</w:t>
      </w:r>
      <w:r w:rsidR="00D81F19">
        <w:t xml:space="preserve">one of this group had </w:t>
      </w:r>
      <w:r w:rsidR="00974EF3">
        <w:t>attended business school or had much prior business experience so the founders asked Hayden Stone to supply them with outside management.</w:t>
      </w:r>
      <w:r w:rsidR="001539B9">
        <w:t xml:space="preserve"> Ewart Baldwin, formerly at Hughes Semiconductor, joined Fairchild Semiconductor as its first general manager</w:t>
      </w:r>
      <w:r>
        <w:t>.</w:t>
      </w:r>
      <w:r>
        <w:rPr>
          <w:rStyle w:val="EndnoteReference"/>
        </w:rPr>
        <w:endnoteReference w:id="15"/>
      </w:r>
      <w:r>
        <w:t xml:space="preserve"> Decades later in a 2007 </w:t>
      </w:r>
      <w:r w:rsidR="00007116">
        <w:t xml:space="preserve">anniversary </w:t>
      </w:r>
      <w:r>
        <w:t>panel, Jay Last recalled a real spirit of excitement</w:t>
      </w:r>
      <w:r w:rsidR="008E454F">
        <w:t xml:space="preserve"> in those formative stages</w:t>
      </w:r>
      <w:r>
        <w:t xml:space="preserve">, a chance to progress their semiconductor </w:t>
      </w:r>
      <w:r w:rsidR="0087725D">
        <w:t>work</w:t>
      </w:r>
      <w:r>
        <w:t xml:space="preserve"> without Shockley’s disruptions. </w:t>
      </w:r>
      <w:r w:rsidR="00FB59D1">
        <w:t xml:space="preserve">Jay </w:t>
      </w:r>
      <w:r>
        <w:t>Last was one of th</w:t>
      </w:r>
      <w:r w:rsidR="00F46675">
        <w:t>e founders</w:t>
      </w:r>
      <w:r>
        <w:t xml:space="preserve"> without a family to account for</w:t>
      </w:r>
      <w:r w:rsidR="00C66637">
        <w:t xml:space="preserve"> or any significant baggage preventing him from pursuing an untried, risky venture.</w:t>
      </w:r>
      <w:r>
        <w:t xml:space="preserve"> Julius Blank </w:t>
      </w:r>
      <w:r>
        <w:lastRenderedPageBreak/>
        <w:t>candidly stated that</w:t>
      </w:r>
      <w:r w:rsidR="00462758">
        <w:t>:</w:t>
      </w:r>
      <w:r>
        <w:t xml:space="preserve"> “I don’t think there was any fear at all, we were young then and didn’t know the difference.”</w:t>
      </w:r>
      <w:r>
        <w:rPr>
          <w:rStyle w:val="EndnoteReference"/>
        </w:rPr>
        <w:endnoteReference w:id="16"/>
      </w:r>
      <w:r>
        <w:t xml:space="preserve"> While the letter originally sought to get another firm to hire the seven men as a group, </w:t>
      </w:r>
      <w:r w:rsidR="00B32D3F">
        <w:t>upon</w:t>
      </w:r>
      <w:r>
        <w:t xml:space="preserve"> </w:t>
      </w:r>
      <w:r w:rsidR="00B32D3F">
        <w:t>meeting</w:t>
      </w:r>
      <w:r>
        <w:t xml:space="preserve"> with the bankers Arthur Rock and Alfred Coyle, </w:t>
      </w:r>
      <w:r w:rsidR="000745BE">
        <w:t>the ex-Shockley employees</w:t>
      </w:r>
      <w:r>
        <w:t xml:space="preserve"> were convinced to start up their own company. They secured a contract with Fairchild Camera and Instrument in September 1957</w:t>
      </w:r>
      <w:r w:rsidR="00462758">
        <w:t>,</w:t>
      </w:r>
      <w:r>
        <w:t xml:space="preserve"> which led to the creation of the Fairchild Semiconductor Corporation.</w:t>
      </w:r>
      <w:r>
        <w:rPr>
          <w:rStyle w:val="EndnoteReference"/>
        </w:rPr>
        <w:endnoteReference w:id="17"/>
      </w:r>
      <w:r w:rsidR="00507CAF">
        <w:t xml:space="preserve"> </w:t>
      </w:r>
      <w:r w:rsidR="00FB13A4">
        <w:t xml:space="preserve">Fairchild Camera and Instrument promised to provide loans up to $1,388,600 million for the first eighteen months but </w:t>
      </w:r>
      <w:r w:rsidR="00757D6F">
        <w:t>reserved the right to</w:t>
      </w:r>
      <w:r w:rsidR="00FB13A4">
        <w:t xml:space="preserve"> opt out of any loans thereafter. They also had the option </w:t>
      </w:r>
      <w:r w:rsidR="00D54D4E">
        <w:t>to acquire</w:t>
      </w:r>
      <w:r w:rsidR="00FB13A4">
        <w:t xml:space="preserve"> </w:t>
      </w:r>
      <w:r w:rsidR="00733965">
        <w:t xml:space="preserve">Fairchild Semiconductor </w:t>
      </w:r>
      <w:r w:rsidR="00AC30A4">
        <w:t>once</w:t>
      </w:r>
      <w:r w:rsidR="00BB48BD">
        <w:t xml:space="preserve"> </w:t>
      </w:r>
      <w:r w:rsidR="00D54D4E">
        <w:t>it</w:t>
      </w:r>
      <w:r w:rsidR="00BB48BD">
        <w:t xml:space="preserve"> reached annual net earnings over $300,000.</w:t>
      </w:r>
      <w:r w:rsidR="009E77A7">
        <w:rPr>
          <w:rStyle w:val="EndnoteReference"/>
        </w:rPr>
        <w:endnoteReference w:id="18"/>
      </w:r>
      <w:r w:rsidR="00C80533">
        <w:t xml:space="preserve"> What </w:t>
      </w:r>
      <w:r w:rsidR="00D32EDC">
        <w:t>they lacked in terms of size, momentum, or capital would have to be made up for in razor shape focus and a strong business vision.</w:t>
      </w:r>
    </w:p>
    <w:p w14:paraId="580A6F4B" w14:textId="6BFAE618" w:rsidR="007124F1" w:rsidRDefault="007124F1" w:rsidP="002A0ACE">
      <w:pPr>
        <w:spacing w:line="480" w:lineRule="auto"/>
        <w:ind w:firstLine="720"/>
      </w:pPr>
      <w:r>
        <w:t xml:space="preserve">As an upstart company, Fairchild Semiconductor had to quickly establish a niche to be competitive with already </w:t>
      </w:r>
      <w:r w:rsidR="00C80533">
        <w:t>well-established</w:t>
      </w:r>
      <w:r>
        <w:t xml:space="preserve"> companies like Texas Instruments and Hughes Semiconductor. </w:t>
      </w:r>
      <w:r w:rsidR="00B426B3">
        <w:t>The company’s</w:t>
      </w:r>
      <w:r>
        <w:t xml:space="preserve"> distinct advantages </w:t>
      </w:r>
      <w:r w:rsidR="002968B0">
        <w:t>included its</w:t>
      </w:r>
      <w:r>
        <w:t xml:space="preserve"> strong technical skills and production knowledge base attained from prior experiences at Shockley. The original group knew that </w:t>
      </w:r>
      <w:r w:rsidR="007D7016">
        <w:t>its</w:t>
      </w:r>
      <w:r>
        <w:t xml:space="preserve"> best chance at success</w:t>
      </w:r>
      <w:r w:rsidR="00A7431C">
        <w:t xml:space="preserve"> was </w:t>
      </w:r>
      <w:r w:rsidR="005B0E01">
        <w:t>the quick</w:t>
      </w:r>
      <w:r>
        <w:t xml:space="preserve"> produc</w:t>
      </w:r>
      <w:r w:rsidR="005B0E01">
        <w:t>tion of a</w:t>
      </w:r>
      <w:r>
        <w:t xml:space="preserve"> marketable product, batch processed</w:t>
      </w:r>
      <w:r w:rsidR="00004856">
        <w:t xml:space="preserve"> (mass manufactured)</w:t>
      </w:r>
      <w:r>
        <w:t>,</w:t>
      </w:r>
      <w:r w:rsidR="00486D19">
        <w:t xml:space="preserve"> silicon</w:t>
      </w:r>
      <w:r>
        <w:t xml:space="preserve"> diffusion transistors for digital computing.</w:t>
      </w:r>
      <w:r>
        <w:rPr>
          <w:rStyle w:val="EndnoteReference"/>
        </w:rPr>
        <w:endnoteReference w:id="19"/>
      </w:r>
    </w:p>
    <w:p w14:paraId="2CCBAB84" w14:textId="7AF5535D" w:rsidR="007124F1" w:rsidRDefault="007124F1" w:rsidP="00BB6DD8">
      <w:pPr>
        <w:spacing w:line="480" w:lineRule="auto"/>
        <w:ind w:firstLine="720"/>
      </w:pPr>
      <w:r>
        <w:t>With</w:t>
      </w:r>
      <w:r w:rsidR="00433239">
        <w:t xml:space="preserve"> funding</w:t>
      </w:r>
      <w:r>
        <w:t xml:space="preserve"> from parent company Fairchild Camera and Instrument, </w:t>
      </w:r>
      <w:r w:rsidR="0099053D">
        <w:t>the founders</w:t>
      </w:r>
      <w:r>
        <w:t xml:space="preserve"> purchased a building “at East Charleston Road on the border of Palo Alto and Mountain View.” The group also purchased specialized equipment for</w:t>
      </w:r>
      <w:r w:rsidR="00EE2345">
        <w:t xml:space="preserve"> semiconductor</w:t>
      </w:r>
      <w:r>
        <w:t xml:space="preserve"> fabrication processes </w:t>
      </w:r>
      <w:r w:rsidR="00784675">
        <w:t>such as</w:t>
      </w:r>
      <w:r>
        <w:t xml:space="preserve"> photolithography, crystal growing, and diffusion.</w:t>
      </w:r>
      <w:r>
        <w:rPr>
          <w:rStyle w:val="EndnoteReference"/>
        </w:rPr>
        <w:endnoteReference w:id="20"/>
      </w:r>
      <w:r>
        <w:t xml:space="preserve"> While the facility was being established, the team agreed to set Gordon Moore on the task of creating a diffused silicon mesa NPN transistor</w:t>
      </w:r>
      <w:r w:rsidR="001969CD">
        <w:t>,</w:t>
      </w:r>
      <w:r>
        <w:t xml:space="preserve"> while allotting Jean </w:t>
      </w:r>
      <w:proofErr w:type="spellStart"/>
      <w:r>
        <w:t>Hoerni</w:t>
      </w:r>
      <w:proofErr w:type="spellEnd"/>
      <w:r>
        <w:t xml:space="preserve"> the task of creating a PNP version.</w:t>
      </w:r>
      <w:r w:rsidR="004C77F5">
        <w:t xml:space="preserve"> </w:t>
      </w:r>
      <w:r>
        <w:t>The</w:t>
      </w:r>
      <w:r w:rsidR="00F8633A">
        <w:t>se</w:t>
      </w:r>
      <w:r>
        <w:t xml:space="preserve"> initial products would be targeted at the military sector. At the time, in December 1957, when IBM Owego first met with </w:t>
      </w:r>
      <w:r>
        <w:lastRenderedPageBreak/>
        <w:t xml:space="preserve">the Fairchild group, IBM was subcontracting out components </w:t>
      </w:r>
      <w:r w:rsidR="00E2603A">
        <w:t>in</w:t>
      </w:r>
      <w:r>
        <w:t xml:space="preserve"> data centers for the “SAGE air defense system</w:t>
      </w:r>
      <w:r w:rsidR="00134EA5">
        <w:t>,</w:t>
      </w:r>
      <w:r>
        <w:t xml:space="preserve">” as well as the computing systems for a successor to the B-52 long-range bomber. IBM Owego needed reliable, high power core driver transistors to function as “high </w:t>
      </w:r>
      <w:proofErr w:type="spellStart"/>
      <w:r>
        <w:t>freq</w:t>
      </w:r>
      <w:proofErr w:type="spellEnd"/>
      <w:r>
        <w:t xml:space="preserve"> power switch[es].” If Fairchild</w:t>
      </w:r>
      <w:r w:rsidR="00916FC9">
        <w:t>’s founders</w:t>
      </w:r>
      <w:r>
        <w:t xml:space="preserve"> acted quickly, they would be able to leverage their unique knowledge of </w:t>
      </w:r>
      <w:r w:rsidR="00C57098">
        <w:t>s</w:t>
      </w:r>
      <w:r>
        <w:t>olid-state diffusion to manufacture “good matched PNP’s to go along with these [NPN transistors],” products which their closest competitors like General Electric and Texas Instruments could not readily produce</w:t>
      </w:r>
      <w:r w:rsidR="00285F34">
        <w:t xml:space="preserve"> </w:t>
      </w:r>
      <w:r w:rsidR="00505AF0">
        <w:t>without diffusion methods</w:t>
      </w:r>
      <w:r w:rsidR="00285F34">
        <w:t>.</w:t>
      </w:r>
      <w:r w:rsidR="006068BD">
        <w:rPr>
          <w:rStyle w:val="EndnoteReference"/>
        </w:rPr>
        <w:endnoteReference w:id="21"/>
      </w:r>
      <w:r w:rsidR="00805AEC">
        <w:t xml:space="preserve"> </w:t>
      </w:r>
      <w:r w:rsidR="00A06C26">
        <w:t xml:space="preserve">IBM Owego </w:t>
      </w:r>
      <w:r w:rsidR="003F1587">
        <w:t xml:space="preserve">required a saturation resistance of only 2 ohms, while the best silicon transistors of that </w:t>
      </w:r>
      <w:r w:rsidR="00384A88">
        <w:t>time</w:t>
      </w:r>
      <w:r w:rsidR="003F1587">
        <w:t xml:space="preserve"> had</w:t>
      </w:r>
      <w:r w:rsidR="00384A88">
        <w:t xml:space="preserve"> saturation resistances of 100 ohms.</w:t>
      </w:r>
      <w:r w:rsidR="00384A88">
        <w:rPr>
          <w:rStyle w:val="EndnoteReference"/>
        </w:rPr>
        <w:endnoteReference w:id="22"/>
      </w:r>
      <w:r w:rsidR="00BB6DD8">
        <w:t xml:space="preserve"> The company’s</w:t>
      </w:r>
      <w:r w:rsidR="006D4EDE">
        <w:t xml:space="preserve"> founders believed that they could use diffusion methods to overcome the high saturation resistance obstacle</w:t>
      </w:r>
      <w:r w:rsidR="00BB6DD8">
        <w:t>.</w:t>
      </w:r>
      <w:r>
        <w:rPr>
          <w:rStyle w:val="EndnoteReference"/>
        </w:rPr>
        <w:endnoteReference w:id="23"/>
      </w:r>
      <w:r>
        <w:t xml:space="preserve"> </w:t>
      </w:r>
    </w:p>
    <w:p w14:paraId="6CA8A9E8" w14:textId="3D1B8B5E" w:rsidR="0092420C" w:rsidRDefault="007124F1" w:rsidP="0092420C">
      <w:pPr>
        <w:spacing w:line="480" w:lineRule="auto"/>
        <w:ind w:firstLine="720"/>
      </w:pPr>
      <w:r>
        <w:t>A follow up meeting in February 1958 solidified the Fairchild team’s intentions to pursue the IBM core transistor as their first product</w:t>
      </w:r>
      <w:r w:rsidR="00C343C6">
        <w:t>. They</w:t>
      </w:r>
      <w:r>
        <w:t xml:space="preserve"> promi</w:t>
      </w:r>
      <w:r w:rsidR="00C343C6">
        <w:t>sed</w:t>
      </w:r>
      <w:r>
        <w:t xml:space="preserve"> to deliver IBM 100 sample transistors by August. The military’s emphasis on reliability compelled </w:t>
      </w:r>
      <w:r w:rsidR="00751B69">
        <w:t>them</w:t>
      </w:r>
      <w:r>
        <w:t xml:space="preserve"> to subject their product to a “</w:t>
      </w:r>
      <w:proofErr w:type="gramStart"/>
      <w:r>
        <w:t>1000 hour</w:t>
      </w:r>
      <w:proofErr w:type="gramEnd"/>
      <w:r>
        <w:t xml:space="preserve"> life test</w:t>
      </w:r>
      <w:r w:rsidR="00E92676">
        <w:t>,</w:t>
      </w:r>
      <w:r>
        <w:t xml:space="preserve">” and </w:t>
      </w:r>
      <w:r w:rsidR="00E92676">
        <w:t xml:space="preserve">delegated Fairchild </w:t>
      </w:r>
      <w:r w:rsidR="006F6A77">
        <w:t>founder,</w:t>
      </w:r>
      <w:r w:rsidR="00E92676">
        <w:t xml:space="preserve"> </w:t>
      </w:r>
      <w:r>
        <w:t xml:space="preserve">Victor </w:t>
      </w:r>
      <w:proofErr w:type="spellStart"/>
      <w:r>
        <w:t>Grinich</w:t>
      </w:r>
      <w:proofErr w:type="spellEnd"/>
      <w:r w:rsidR="00083B68">
        <w:t>,</w:t>
      </w:r>
      <w:r>
        <w:t xml:space="preserve"> the task of developing testing equipment as well as </w:t>
      </w:r>
      <w:r w:rsidR="00857962">
        <w:t>transistor testing</w:t>
      </w:r>
      <w:r>
        <w:t>. Looking beyond the IBM order, Ewart Baldwin, Fairchild’s manager, charted a course for the company that</w:t>
      </w:r>
      <w:r w:rsidR="0081042C">
        <w:t xml:space="preserve"> focused </w:t>
      </w:r>
      <w:r>
        <w:t>on a rapid expansion of both professional staff and transistor production.</w:t>
      </w:r>
      <w:r w:rsidR="00016BF2" w:rsidRPr="00016BF2">
        <w:t xml:space="preserve"> </w:t>
      </w:r>
      <w:r w:rsidR="00016BF2">
        <w:t>According to Robert Noyce,</w:t>
      </w:r>
      <w:r>
        <w:t xml:space="preserve"> </w:t>
      </w:r>
      <w:r w:rsidR="00B55AFD">
        <w:t>t</w:t>
      </w:r>
      <w:r>
        <w:t>he technology they were developing for IBM Owego could potentially be repurposed as a “low power,” “high speed,” “logic transistor” for digital computers</w:t>
      </w:r>
      <w:r w:rsidR="00001AAF">
        <w:t xml:space="preserve"> in general</w:t>
      </w:r>
      <w:r w:rsidR="00952CC7">
        <w:t>.</w:t>
      </w:r>
      <w:r>
        <w:rPr>
          <w:rStyle w:val="EndnoteReference"/>
        </w:rPr>
        <w:endnoteReference w:id="24"/>
      </w:r>
      <w:r>
        <w:t xml:space="preserve"> IBM Owego’s purchase order was confirmed on 2 March 1958, </w:t>
      </w:r>
      <w:r w:rsidR="003B09E9">
        <w:t xml:space="preserve">marking </w:t>
      </w:r>
      <w:r>
        <w:t xml:space="preserve">Fairchild’s first sale. </w:t>
      </w:r>
      <w:r w:rsidR="00BF33A0">
        <w:t>D</w:t>
      </w:r>
      <w:r w:rsidR="0092420C">
        <w:t xml:space="preserve">evelopment of the NPN transistors required Fairchild’s founders to refine and standardize a complex fabrication methodology. </w:t>
      </w:r>
    </w:p>
    <w:p w14:paraId="5C70EDFA" w14:textId="0A81FB1A" w:rsidR="007124F1" w:rsidRDefault="0092420C" w:rsidP="00DD1B7A">
      <w:pPr>
        <w:spacing w:line="480" w:lineRule="auto"/>
        <w:ind w:firstLine="720"/>
      </w:pPr>
      <w:r>
        <w:lastRenderedPageBreak/>
        <w:t>Much</w:t>
      </w:r>
      <w:r w:rsidR="00B25497">
        <w:t xml:space="preserve"> like</w:t>
      </w:r>
      <w:r>
        <w:t xml:space="preserve"> vacuum </w:t>
      </w:r>
      <w:r w:rsidR="002E7289">
        <w:t>tube</w:t>
      </w:r>
      <w:r w:rsidR="001050BD">
        <w:t xml:space="preserve"> </w:t>
      </w:r>
      <w:r w:rsidR="007D31CC">
        <w:t>production</w:t>
      </w:r>
      <w:r>
        <w:t xml:space="preserve">, semiconductor diode and transistor manufacturing </w:t>
      </w:r>
      <w:r w:rsidR="007C5254">
        <w:t>were</w:t>
      </w:r>
      <w:r>
        <w:t xml:space="preserve"> characterized by </w:t>
      </w:r>
      <w:r w:rsidR="007C5254">
        <w:t>their</w:t>
      </w:r>
      <w:r>
        <w:t xml:space="preserve"> incredible complexity; a single device could require dozens or even hundreds of steps from initial stage to </w:t>
      </w:r>
      <w:r w:rsidR="0083795B">
        <w:t>finished</w:t>
      </w:r>
      <w:r>
        <w:t xml:space="preserve"> product.</w:t>
      </w:r>
      <w:r w:rsidR="000B07A0">
        <w:rPr>
          <w:rStyle w:val="EndnoteReference"/>
        </w:rPr>
        <w:endnoteReference w:id="25"/>
      </w:r>
      <w:r>
        <w:t xml:space="preserve"> </w:t>
      </w:r>
      <w:r w:rsidR="000B07A0">
        <w:t>The founders did most of the leg work in developing the</w:t>
      </w:r>
      <w:r w:rsidR="003462C0">
        <w:t xml:space="preserve"> early</w:t>
      </w:r>
      <w:r w:rsidR="000B07A0">
        <w:t xml:space="preserve"> </w:t>
      </w:r>
      <w:r w:rsidR="00A5126A">
        <w:t>process</w:t>
      </w:r>
      <w:r w:rsidR="0083795B">
        <w:t xml:space="preserve"> and wrote </w:t>
      </w:r>
      <w:r w:rsidR="00A5126A">
        <w:t xml:space="preserve">out carefully </w:t>
      </w:r>
      <w:r w:rsidR="008A6969">
        <w:t>phrased</w:t>
      </w:r>
      <w:r w:rsidR="00A5126A">
        <w:t xml:space="preserve"> manuals for the production teams. Sheldon Roberts, with his MIT metallurgy doctorate, </w:t>
      </w:r>
      <w:r w:rsidR="00635A05">
        <w:t xml:space="preserve">developed the process for growing silicon crystals. </w:t>
      </w:r>
      <w:r w:rsidR="00F11531">
        <w:t xml:space="preserve">Jay Last </w:t>
      </w:r>
      <w:r w:rsidR="00EA3CC6">
        <w:t xml:space="preserve">articulated the process for creating silicon wafers out of the crystals while Jean </w:t>
      </w:r>
      <w:proofErr w:type="spellStart"/>
      <w:r w:rsidR="00EA3CC6">
        <w:t>Hoerni</w:t>
      </w:r>
      <w:proofErr w:type="spellEnd"/>
      <w:r w:rsidR="00EA3CC6">
        <w:t xml:space="preserve"> and Victor </w:t>
      </w:r>
      <w:proofErr w:type="spellStart"/>
      <w:r w:rsidR="00EA3CC6">
        <w:t>Grinich</w:t>
      </w:r>
      <w:proofErr w:type="spellEnd"/>
      <w:r w:rsidR="00EA3CC6">
        <w:t xml:space="preserve"> focused on transistor design elements.</w:t>
      </w:r>
      <w:r w:rsidR="00EA3CC6">
        <w:rPr>
          <w:rStyle w:val="EndnoteReference"/>
        </w:rPr>
        <w:endnoteReference w:id="26"/>
      </w:r>
      <w:r w:rsidR="00E75686">
        <w:t xml:space="preserve"> Julius Blank and Eugene </w:t>
      </w:r>
      <w:proofErr w:type="spellStart"/>
      <w:r w:rsidR="00E75686">
        <w:t>Kleiner</w:t>
      </w:r>
      <w:proofErr w:type="spellEnd"/>
      <w:r w:rsidR="00E75686">
        <w:t xml:space="preserve"> </w:t>
      </w:r>
      <w:r w:rsidR="000849ED">
        <w:t>set up the machine shop and</w:t>
      </w:r>
      <w:r w:rsidR="007B2BB2">
        <w:t xml:space="preserve"> produce</w:t>
      </w:r>
      <w:r w:rsidR="000849ED">
        <w:t>d</w:t>
      </w:r>
      <w:r w:rsidR="007B2BB2">
        <w:t xml:space="preserve"> any needed equipment or fixtures while Gordon Moore handled the necessary “diffusion metallization, and assembly technology development.”</w:t>
      </w:r>
      <w:r w:rsidR="007B2BB2">
        <w:rPr>
          <w:rStyle w:val="EndnoteReference"/>
        </w:rPr>
        <w:endnoteReference w:id="27"/>
      </w:r>
      <w:r w:rsidR="000C1BF7">
        <w:t xml:space="preserve"> Both Last and Noyce handled photo</w:t>
      </w:r>
      <w:r w:rsidR="003F73FD">
        <w:t>lithography</w:t>
      </w:r>
      <w:r w:rsidR="000C1BF7">
        <w:t xml:space="preserve"> development, the careful removal of specific areas of the transistor</w:t>
      </w:r>
      <w:r w:rsidR="006956B4">
        <w:t>’s silicon oxide surface with light.</w:t>
      </w:r>
      <w:r w:rsidR="003F73FD">
        <w:rPr>
          <w:rStyle w:val="EndnoteReference"/>
        </w:rPr>
        <w:endnoteReference w:id="28"/>
      </w:r>
      <w:r w:rsidR="003F73FD">
        <w:t xml:space="preserve"> The time constraints imposed on them by IBM Owego and the </w:t>
      </w:r>
      <w:r w:rsidR="001C35BB">
        <w:t xml:space="preserve">company’s </w:t>
      </w:r>
      <w:r w:rsidR="0019698C">
        <w:t xml:space="preserve">limited resources </w:t>
      </w:r>
      <w:r w:rsidR="003F73FD">
        <w:t>meant that the founders had</w:t>
      </w:r>
      <w:r w:rsidR="000A1793">
        <w:t xml:space="preserve"> to</w:t>
      </w:r>
      <w:r w:rsidR="003F73FD">
        <w:t xml:space="preserve"> </w:t>
      </w:r>
      <w:r w:rsidR="00CD0E80">
        <w:t>s</w:t>
      </w:r>
      <w:r w:rsidR="000A1793">
        <w:t>eek</w:t>
      </w:r>
      <w:r w:rsidR="00CD0E80">
        <w:t xml:space="preserve"> out </w:t>
      </w:r>
      <w:r w:rsidR="003F73FD">
        <w:t xml:space="preserve">creative </w:t>
      </w:r>
      <w:r w:rsidR="0023737E">
        <w:t>solutions</w:t>
      </w:r>
      <w:r w:rsidR="003F73FD">
        <w:t xml:space="preserve">. Their early photolithographic setup used 16-mm movie camera lenses from a local San Francisco </w:t>
      </w:r>
      <w:r w:rsidR="006322B3">
        <w:t xml:space="preserve">camera </w:t>
      </w:r>
      <w:r w:rsidR="003F73FD">
        <w:t>shop. These</w:t>
      </w:r>
      <w:r w:rsidR="009176B0">
        <w:t xml:space="preserve"> early,</w:t>
      </w:r>
      <w:r w:rsidR="003F73FD">
        <w:t xml:space="preserve"> </w:t>
      </w:r>
      <w:r w:rsidR="009176B0">
        <w:t>experimental</w:t>
      </w:r>
      <w:r w:rsidR="00CE392F">
        <w:t xml:space="preserve"> </w:t>
      </w:r>
      <w:r w:rsidR="006E18A2">
        <w:t xml:space="preserve">methods meant that </w:t>
      </w:r>
      <w:r w:rsidR="00430B73">
        <w:t>initial</w:t>
      </w:r>
      <w:r w:rsidR="006E18A2">
        <w:t xml:space="preserve"> yield</w:t>
      </w:r>
      <w:r w:rsidR="00430B73">
        <w:t>s</w:t>
      </w:r>
      <w:r w:rsidR="006E18A2">
        <w:t>, “the proportion of ‘good’ devices emerging from the production line,” was highly inconsistent.</w:t>
      </w:r>
      <w:r w:rsidR="00124D90">
        <w:rPr>
          <w:rStyle w:val="EndnoteReference"/>
        </w:rPr>
        <w:endnoteReference w:id="29"/>
      </w:r>
      <w:r w:rsidR="00124D90">
        <w:t xml:space="preserve"> Their earl</w:t>
      </w:r>
      <w:r w:rsidR="003C0502">
        <w:t>y attempts at creating</w:t>
      </w:r>
      <w:r w:rsidR="00736AFB">
        <w:t xml:space="preserve"> transistor</w:t>
      </w:r>
      <w:r w:rsidR="003C0502">
        <w:t xml:space="preserve"> junctions were fraught with current leakages and performance problems before they company tightened up </w:t>
      </w:r>
      <w:r w:rsidR="00DE4214">
        <w:t xml:space="preserve">manufacturing procedures </w:t>
      </w:r>
      <w:r w:rsidR="003C0502">
        <w:t xml:space="preserve">and </w:t>
      </w:r>
      <w:r w:rsidR="00EA61FF">
        <w:t xml:space="preserve">applied necessary </w:t>
      </w:r>
      <w:r w:rsidR="00FF7AEE">
        <w:t>engineering solutions</w:t>
      </w:r>
      <w:r w:rsidR="003C0502">
        <w:t>.</w:t>
      </w:r>
      <w:r w:rsidR="003C0502">
        <w:rPr>
          <w:rStyle w:val="EndnoteReference"/>
        </w:rPr>
        <w:endnoteReference w:id="30"/>
      </w:r>
      <w:r>
        <w:t xml:space="preserve"> </w:t>
      </w:r>
      <w:r w:rsidR="006171D2">
        <w:t xml:space="preserve">After </w:t>
      </w:r>
      <w:r w:rsidR="00DD1B7A">
        <w:t>Fairchild Semiconductor’s sale</w:t>
      </w:r>
      <w:r w:rsidR="006171D2">
        <w:t xml:space="preserve"> to IBM Owego, E</w:t>
      </w:r>
      <w:r w:rsidR="007124F1">
        <w:t>wart Baldwin</w:t>
      </w:r>
      <w:r w:rsidR="006171D2">
        <w:t xml:space="preserve"> convinced the founders</w:t>
      </w:r>
      <w:r w:rsidR="007124F1">
        <w:t xml:space="preserve"> to </w:t>
      </w:r>
      <w:r w:rsidR="00DD1B7A">
        <w:t>solicit</w:t>
      </w:r>
      <w:r w:rsidR="00BB67C0">
        <w:t xml:space="preserve"> additional</w:t>
      </w:r>
      <w:r w:rsidR="00DD1B7A">
        <w:t xml:space="preserve"> </w:t>
      </w:r>
      <w:r w:rsidR="007124F1">
        <w:t>funding from Fairchild Camera and Instrument</w:t>
      </w:r>
      <w:r w:rsidR="00B50234">
        <w:t xml:space="preserve"> for aggressive production </w:t>
      </w:r>
      <w:r w:rsidR="009D413B">
        <w:t>expansion.</w:t>
      </w:r>
    </w:p>
    <w:p w14:paraId="19204715" w14:textId="47BB6504" w:rsidR="007124F1" w:rsidRDefault="007124F1" w:rsidP="00D50D64">
      <w:pPr>
        <w:spacing w:line="480" w:lineRule="auto"/>
        <w:ind w:firstLine="720"/>
      </w:pPr>
      <w:r>
        <w:t xml:space="preserve">During a May 1958 policy meeting, Baldwin convinced the founders to agree to purchase a second, nearby facility. In doing so, Baldwin predicted that the transition to “high-volume manufacturing” would increase yields “from 20-25 percent to 65-70 percent” while also lowering </w:t>
      </w:r>
      <w:r>
        <w:lastRenderedPageBreak/>
        <w:t>the price of a single mesa transistor from “$150 per transistor…to $15 or even as little as $7.50 in in the second half of 1959.”</w:t>
      </w:r>
      <w:r w:rsidR="001529E6">
        <w:t xml:space="preserve"> </w:t>
      </w:r>
      <w:r>
        <w:t>These predictions were all based on Baldwin’s prior experience at Hughes Semiconductor</w:t>
      </w:r>
      <w:r w:rsidR="00427BA6">
        <w:t>,</w:t>
      </w:r>
      <w:r w:rsidR="00E13A9D">
        <w:t xml:space="preserve"> which was able to achieve the results he projected for Fairchild Semiconductor</w:t>
      </w:r>
      <w:r>
        <w:t>.</w:t>
      </w:r>
      <w:r>
        <w:rPr>
          <w:rStyle w:val="EndnoteReference"/>
        </w:rPr>
        <w:endnoteReference w:id="31"/>
      </w:r>
      <w:r>
        <w:t xml:space="preserve"> Baldwin secured conditional support for a second facility from Fairchild Camera and Instrument</w:t>
      </w:r>
      <w:r w:rsidR="00976F73">
        <w:t>. I</w:t>
      </w:r>
      <w:r>
        <w:t>f Fairchild Semiconductor could sell “15,000-20,000 mesa transistors” and produce an “income of $500,000-$700,000” by 1958’s end</w:t>
      </w:r>
      <w:r w:rsidR="00976F73">
        <w:t>, Fairchild Semiconductor would receive a new round of capital</w:t>
      </w:r>
      <w:r>
        <w:t>.</w:t>
      </w:r>
      <w:r>
        <w:rPr>
          <w:rStyle w:val="EndnoteReference"/>
        </w:rPr>
        <w:endnoteReference w:id="32"/>
      </w:r>
      <w:r>
        <w:t xml:space="preserve"> Thankfully Fairchild Semiconductor successfully met IBM Owego’s August 1</w:t>
      </w:r>
      <w:r w:rsidRPr="00E37D26">
        <w:rPr>
          <w:vertAlign w:val="superscript"/>
        </w:rPr>
        <w:t>st</w:t>
      </w:r>
      <w:r>
        <w:t xml:space="preserve"> deadline for the core drivers, shipping out “100 NPN mesa transistors</w:t>
      </w:r>
      <w:r w:rsidR="007E2A71">
        <w:t>.</w:t>
      </w:r>
      <w:r>
        <w:t>”</w:t>
      </w:r>
      <w:r>
        <w:rPr>
          <w:rStyle w:val="EndnoteReference"/>
        </w:rPr>
        <w:endnoteReference w:id="33"/>
      </w:r>
      <w:r>
        <w:t xml:space="preserve"> Now that their first order had been fulfilled, </w:t>
      </w:r>
      <w:r w:rsidR="00E903AC">
        <w:t>the firm</w:t>
      </w:r>
      <w:r>
        <w:t xml:space="preserve"> began the process of marketing and promotion</w:t>
      </w:r>
      <w:r w:rsidR="00ED2F53">
        <w:t xml:space="preserve"> to the </w:t>
      </w:r>
      <w:r w:rsidR="007F3D9F">
        <w:t>public</w:t>
      </w:r>
      <w:r w:rsidR="00ED2F53">
        <w:t>.</w:t>
      </w:r>
    </w:p>
    <w:p w14:paraId="35A6A65A" w14:textId="33BABD8A" w:rsidR="007124F1" w:rsidRDefault="007124F1" w:rsidP="00D50D64">
      <w:pPr>
        <w:spacing w:line="480" w:lineRule="auto"/>
        <w:ind w:firstLine="720"/>
      </w:pPr>
      <w:r>
        <w:t>Their new products, coined 2N696 and 2N697, were “general-purpose transistors” meant to be used mostly i</w:t>
      </w:r>
      <w:r w:rsidR="00AB3FE3">
        <w:t>n military electronics</w:t>
      </w:r>
      <w:r>
        <w:t xml:space="preserve">. A print advertisement for the product family emphasized </w:t>
      </w:r>
      <w:r w:rsidR="008D6751">
        <w:t>their</w:t>
      </w:r>
      <w:r>
        <w:t xml:space="preserve"> fast “switching rates,” “low saturation resistance” (a factor tied to application performance), and high temperature tolerances. </w:t>
      </w:r>
      <w:r w:rsidR="005549A8">
        <w:t>The company</w:t>
      </w:r>
      <w:r>
        <w:t xml:space="preserve"> overcame the military contractors</w:t>
      </w:r>
      <w:r w:rsidR="00993C41">
        <w:t>’</w:t>
      </w:r>
      <w:r>
        <w:t xml:space="preserve"> aversion to unproven, new firms, securing “1,000 customer inquiries in less than three weeks.”</w:t>
      </w:r>
      <w:r w:rsidR="00680694">
        <w:rPr>
          <w:rStyle w:val="EndnoteReference"/>
        </w:rPr>
        <w:endnoteReference w:id="34"/>
      </w:r>
      <w:r>
        <w:t xml:space="preserve"> In late </w:t>
      </w:r>
      <w:r w:rsidR="00EC7F50">
        <w:t>August</w:t>
      </w:r>
      <w:r>
        <w:t xml:space="preserve"> 1958, Robert Noyce and </w:t>
      </w:r>
      <w:r w:rsidR="009F7B23">
        <w:t>marketing manager</w:t>
      </w:r>
      <w:r w:rsidR="004F4E45">
        <w:t xml:space="preserve">, </w:t>
      </w:r>
      <w:r>
        <w:t xml:space="preserve">Tom Bay promoted their new NPN mesa transistor at </w:t>
      </w:r>
      <w:proofErr w:type="spellStart"/>
      <w:r>
        <w:t>Wescon</w:t>
      </w:r>
      <w:proofErr w:type="spellEnd"/>
      <w:r>
        <w:t>, a large trade show. Noyce brought back positive news</w:t>
      </w:r>
      <w:r w:rsidR="00BD1AE9">
        <w:t>:</w:t>
      </w:r>
      <w:r>
        <w:t xml:space="preserve"> </w:t>
      </w:r>
      <w:r w:rsidR="00917090">
        <w:t xml:space="preserve">their direct competitors presented no equivalent </w:t>
      </w:r>
      <w:r w:rsidR="00401572">
        <w:t>match to their offering</w:t>
      </w:r>
      <w:r>
        <w:t>.</w:t>
      </w:r>
      <w:r>
        <w:rPr>
          <w:rStyle w:val="EndnoteReference"/>
        </w:rPr>
        <w:endnoteReference w:id="35"/>
      </w:r>
      <w:r>
        <w:t xml:space="preserve"> Fairchild</w:t>
      </w:r>
      <w:r w:rsidR="004D0D7E">
        <w:t xml:space="preserve"> Semiconductor</w:t>
      </w:r>
      <w:r>
        <w:t xml:space="preserve">’s products were superior to </w:t>
      </w:r>
      <w:r w:rsidR="001628ED">
        <w:t xml:space="preserve">both </w:t>
      </w:r>
      <w:r>
        <w:t>Texas Instruments’ grown-junction silicon transisto</w:t>
      </w:r>
      <w:r w:rsidR="00622924">
        <w:t>r, which used non-diffusion methods,</w:t>
      </w:r>
      <w:r>
        <w:t xml:space="preserve"> as well as germanium transistors. The</w:t>
      </w:r>
      <w:r w:rsidR="000A07D9">
        <w:t>ir products</w:t>
      </w:r>
      <w:r w:rsidR="00190EBA">
        <w:t>’</w:t>
      </w:r>
      <w:r w:rsidR="000A07D9">
        <w:t xml:space="preserve"> </w:t>
      </w:r>
      <w:r w:rsidR="00C14C72">
        <w:t xml:space="preserve">technical </w:t>
      </w:r>
      <w:r w:rsidR="000A07D9">
        <w:t>superiority and the untapped market opportunities of diffused silicon transistors</w:t>
      </w:r>
      <w:r>
        <w:t xml:space="preserve"> afforded the company </w:t>
      </w:r>
      <w:r w:rsidR="001366B0">
        <w:t>great success.</w:t>
      </w:r>
      <w:r>
        <w:t xml:space="preserve"> </w:t>
      </w:r>
      <w:r w:rsidR="001366B0">
        <w:t xml:space="preserve">By </w:t>
      </w:r>
      <w:r>
        <w:t xml:space="preserve">1958, </w:t>
      </w:r>
      <w:r w:rsidR="001366B0">
        <w:t>it</w:t>
      </w:r>
      <w:r>
        <w:t xml:space="preserve"> had made $440,000 in sales, mostly to “military laboratories and military system contractors.”</w:t>
      </w:r>
      <w:r>
        <w:rPr>
          <w:rStyle w:val="EndnoteReference"/>
        </w:rPr>
        <w:endnoteReference w:id="36"/>
      </w:r>
      <w:r>
        <w:t xml:space="preserve"> </w:t>
      </w:r>
      <w:r w:rsidR="00EB7D5C">
        <w:t xml:space="preserve">While these early successes </w:t>
      </w:r>
      <w:r w:rsidR="00A472B1">
        <w:t xml:space="preserve">provided the company with momentum, </w:t>
      </w:r>
      <w:r w:rsidR="00A472B1">
        <w:lastRenderedPageBreak/>
        <w:t xml:space="preserve">internal reliability engineers and </w:t>
      </w:r>
      <w:r w:rsidR="001D6D29">
        <w:t>eventually</w:t>
      </w:r>
      <w:r w:rsidR="00A472B1">
        <w:t xml:space="preserve"> customers were reporting that some of the 2N696 and 2N697 devices were failing catastrophically.</w:t>
      </w:r>
    </w:p>
    <w:p w14:paraId="0A83706B" w14:textId="63240D3B" w:rsidR="00BB33B3" w:rsidRDefault="007124F1" w:rsidP="002C21EA">
      <w:pPr>
        <w:spacing w:line="480" w:lineRule="auto"/>
        <w:ind w:firstLine="720"/>
      </w:pPr>
      <w:r>
        <w:t xml:space="preserve">Particulates of “dust and metal” would “short out” the base-collector junctions. While both production and engineering </w:t>
      </w:r>
      <w:r w:rsidR="002F323D">
        <w:t xml:space="preserve">employees </w:t>
      </w:r>
      <w:r>
        <w:t xml:space="preserve">tried to minimize particle interference and implement more rigorous testing procedures, failure rates remained far too </w:t>
      </w:r>
      <w:r w:rsidR="008C148E">
        <w:t>high</w:t>
      </w:r>
      <w:r>
        <w:t>.</w:t>
      </w:r>
      <w:r w:rsidR="00742882">
        <w:t xml:space="preserve"> Transistors </w:t>
      </w:r>
      <w:r w:rsidR="004555BE">
        <w:t>also inevitably</w:t>
      </w:r>
      <w:r w:rsidR="00742882">
        <w:t xml:space="preserve"> slow</w:t>
      </w:r>
      <w:r w:rsidR="00AA7A26">
        <w:t>ed</w:t>
      </w:r>
      <w:r w:rsidR="00742882">
        <w:t xml:space="preserve"> </w:t>
      </w:r>
      <w:r w:rsidR="00AA7A26">
        <w:t xml:space="preserve">their </w:t>
      </w:r>
      <w:r w:rsidR="00742882">
        <w:t>switching speeds over time. Their minority carrier lifetimes, a transistor performance metric that should be kept low,</w:t>
      </w:r>
      <w:r w:rsidR="00785CFA">
        <w:t xml:space="preserve"> </w:t>
      </w:r>
      <w:r w:rsidR="00F11F24">
        <w:t>rose</w:t>
      </w:r>
      <w:r w:rsidR="00D77C79">
        <w:t xml:space="preserve"> during</w:t>
      </w:r>
      <w:r w:rsidR="006E0636">
        <w:t xml:space="preserve"> long term</w:t>
      </w:r>
      <w:r w:rsidR="00D77C79">
        <w:t xml:space="preserve"> us</w:t>
      </w:r>
      <w:r w:rsidR="006E0636">
        <w:t>e</w:t>
      </w:r>
      <w:r w:rsidR="00742882">
        <w:t xml:space="preserve"> and adversely affected switching speeds.</w:t>
      </w:r>
      <w:r w:rsidR="00742882">
        <w:rPr>
          <w:rStyle w:val="EndnoteReference"/>
        </w:rPr>
        <w:endnoteReference w:id="37"/>
      </w:r>
    </w:p>
    <w:p w14:paraId="017E5430" w14:textId="335F39A4" w:rsidR="00742882" w:rsidRDefault="00742882" w:rsidP="002C21EA">
      <w:pPr>
        <w:spacing w:line="480" w:lineRule="auto"/>
        <w:ind w:firstLine="720"/>
      </w:pPr>
      <w:r>
        <w:t xml:space="preserve">Jean </w:t>
      </w:r>
      <w:proofErr w:type="spellStart"/>
      <w:r>
        <w:t>Hoerni</w:t>
      </w:r>
      <w:proofErr w:type="spellEnd"/>
      <w:r>
        <w:t xml:space="preserve"> developed two innovations to solve these</w:t>
      </w:r>
      <w:r w:rsidR="00291224">
        <w:t xml:space="preserve"> </w:t>
      </w:r>
      <w:r>
        <w:t xml:space="preserve">issues, gold doping and the planar process. By eventually integrating these techniques into its products, the company </w:t>
      </w:r>
      <w:r w:rsidR="00B07407">
        <w:t>overcame these technical obstacles</w:t>
      </w:r>
      <w:r w:rsidR="002D3FAD">
        <w:t xml:space="preserve"> </w:t>
      </w:r>
      <w:r>
        <w:t xml:space="preserve">and </w:t>
      </w:r>
      <w:r w:rsidR="00A44EEC">
        <w:t>m</w:t>
      </w:r>
      <w:r w:rsidR="008C56B6">
        <w:t>ade silicon the choice material</w:t>
      </w:r>
      <w:r w:rsidR="00A44EEC">
        <w:t xml:space="preserve"> </w:t>
      </w:r>
      <w:r w:rsidR="008C56B6">
        <w:t>for</w:t>
      </w:r>
      <w:r w:rsidR="00A44EEC">
        <w:t xml:space="preserve"> semiconductor </w:t>
      </w:r>
      <w:r w:rsidR="00835B07">
        <w:t>manufacturing</w:t>
      </w:r>
      <w:r w:rsidR="00A44EEC">
        <w:t>.</w:t>
      </w:r>
      <w:r w:rsidR="00A44EEC">
        <w:rPr>
          <w:rStyle w:val="EndnoteReference"/>
        </w:rPr>
        <w:endnoteReference w:id="38"/>
      </w:r>
      <w:r w:rsidR="00A44EEC">
        <w:t xml:space="preserve"> </w:t>
      </w:r>
    </w:p>
    <w:p w14:paraId="71C20798" w14:textId="00CF8912" w:rsidR="00A44EEC" w:rsidRDefault="007D6F71" w:rsidP="002C21EA">
      <w:pPr>
        <w:spacing w:line="480" w:lineRule="auto"/>
        <w:ind w:firstLine="720"/>
      </w:pPr>
      <w:r>
        <w:t>Gold doping as a concept had already been</w:t>
      </w:r>
      <w:r w:rsidR="0021781F">
        <w:t xml:space="preserve"> investigated</w:t>
      </w:r>
      <w:r w:rsidR="00DF5B99">
        <w:t xml:space="preserve"> </w:t>
      </w:r>
      <w:r>
        <w:t>at Bell Labs, which noted that gold could be used as a catalyst to reduce minority carrier lifetimes.</w:t>
      </w:r>
      <w:r w:rsidR="007124F1">
        <w:t xml:space="preserve"> </w:t>
      </w:r>
      <w:r w:rsidR="00B94F68">
        <w:t xml:space="preserve">Despite </w:t>
      </w:r>
      <w:r w:rsidR="00DF5B99">
        <w:t>these findin</w:t>
      </w:r>
      <w:r w:rsidR="00D22C1D">
        <w:t xml:space="preserve">gs, most people within the semiconductor industry viewed gold as an impurity to be completely purged from the </w:t>
      </w:r>
      <w:r w:rsidR="00AC27FD">
        <w:t>finished</w:t>
      </w:r>
      <w:r w:rsidR="00D22C1D">
        <w:t xml:space="preserve"> transistors. </w:t>
      </w:r>
      <w:proofErr w:type="spellStart"/>
      <w:r w:rsidR="00D22C1D">
        <w:t>Hoerni</w:t>
      </w:r>
      <w:proofErr w:type="spellEnd"/>
      <w:r w:rsidR="00D22C1D">
        <w:t xml:space="preserve"> </w:t>
      </w:r>
      <w:r w:rsidR="00B5201E">
        <w:t xml:space="preserve">continued these prior </w:t>
      </w:r>
      <w:r w:rsidR="007B487F">
        <w:t xml:space="preserve">inquiries </w:t>
      </w:r>
      <w:r w:rsidR="00B5201E">
        <w:t>to determine whether</w:t>
      </w:r>
      <w:r w:rsidR="0005341F">
        <w:t xml:space="preserve"> </w:t>
      </w:r>
      <w:r w:rsidR="00B5201E">
        <w:t>gold doping could</w:t>
      </w:r>
      <w:r w:rsidR="00A5668C">
        <w:t xml:space="preserve"> improve </w:t>
      </w:r>
      <w:r w:rsidR="00E179DB">
        <w:t>his company’s</w:t>
      </w:r>
      <w:r w:rsidR="00EA3EE1">
        <w:t xml:space="preserve"> transistors’ </w:t>
      </w:r>
      <w:r w:rsidR="00A5668C">
        <w:t>switching speeds</w:t>
      </w:r>
      <w:r w:rsidR="00E95969">
        <w:t xml:space="preserve">; </w:t>
      </w:r>
      <w:r w:rsidR="008A65BD">
        <w:t xml:space="preserve">his </w:t>
      </w:r>
      <w:r w:rsidR="00A448A1">
        <w:t>experiments</w:t>
      </w:r>
      <w:r w:rsidR="008A65BD">
        <w:t xml:space="preserve"> showed promising potential</w:t>
      </w:r>
      <w:r w:rsidR="00961D94">
        <w:t>.</w:t>
      </w:r>
      <w:r w:rsidR="00E61892">
        <w:t xml:space="preserve"> The </w:t>
      </w:r>
      <w:r w:rsidR="0055735D">
        <w:t>actual application</w:t>
      </w:r>
      <w:r w:rsidR="000C40C1">
        <w:t xml:space="preserve"> of gold doping</w:t>
      </w:r>
      <w:r w:rsidR="00E61892">
        <w:t xml:space="preserve"> </w:t>
      </w:r>
      <w:r w:rsidR="00A5668C">
        <w:t>consisted of plating gold behind the transistor before “diffusing gold into the transistor’s collector region.”</w:t>
      </w:r>
      <w:r w:rsidR="00A5668C">
        <w:rPr>
          <w:rStyle w:val="EndnoteReference"/>
        </w:rPr>
        <w:endnoteReference w:id="39"/>
      </w:r>
      <w:r w:rsidR="00BB760C">
        <w:t xml:space="preserve"> The rest of the company </w:t>
      </w:r>
      <w:r w:rsidR="0040007A">
        <w:t>readily</w:t>
      </w:r>
      <w:r w:rsidR="00BB760C">
        <w:t xml:space="preserve"> accepted Jean </w:t>
      </w:r>
      <w:proofErr w:type="spellStart"/>
      <w:r w:rsidR="00BB760C">
        <w:t>Hoerni’s</w:t>
      </w:r>
      <w:proofErr w:type="spellEnd"/>
      <w:r w:rsidR="00BB760C">
        <w:t xml:space="preserve"> surprising findings and integrated them into the new 2N1253 and 2N706 silicon mesa transistors.</w:t>
      </w:r>
      <w:r w:rsidR="004900A0">
        <w:t xml:space="preserve"> S</w:t>
      </w:r>
      <w:r w:rsidR="00BB760C">
        <w:t>ilicon transistors</w:t>
      </w:r>
      <w:r w:rsidR="004900A0">
        <w:t xml:space="preserve"> which used gold doping</w:t>
      </w:r>
      <w:r w:rsidR="00BB760C">
        <w:t xml:space="preserve"> were both cheaper and faster than the</w:t>
      </w:r>
      <w:r w:rsidR="00226E69">
        <w:t xml:space="preserve"> best </w:t>
      </w:r>
      <w:r w:rsidR="00BB760C">
        <w:t xml:space="preserve">contemporary germanium transistor designs. Fairchild Semiconductor would continue to use gold doping into the late 1960s before it was replaced by superior </w:t>
      </w:r>
      <w:r w:rsidR="00BB760C">
        <w:lastRenderedPageBreak/>
        <w:t>methods.</w:t>
      </w:r>
      <w:r w:rsidR="00BB760C">
        <w:rPr>
          <w:rStyle w:val="EndnoteReference"/>
        </w:rPr>
        <w:endnoteReference w:id="40"/>
      </w:r>
      <w:r w:rsidR="003B45D2">
        <w:t xml:space="preserve"> </w:t>
      </w:r>
      <w:r w:rsidR="00BB1F46">
        <w:t xml:space="preserve">The other </w:t>
      </w:r>
      <w:r w:rsidR="00F775B7">
        <w:t xml:space="preserve">concept </w:t>
      </w:r>
      <w:proofErr w:type="spellStart"/>
      <w:r w:rsidR="00F775B7">
        <w:t>Hoerni</w:t>
      </w:r>
      <w:proofErr w:type="spellEnd"/>
      <w:r w:rsidR="00F775B7">
        <w:t xml:space="preserve"> pioneered, the planar process, was</w:t>
      </w:r>
      <w:r w:rsidR="006B1F21">
        <w:t xml:space="preserve"> </w:t>
      </w:r>
      <w:r w:rsidR="00373D08">
        <w:t>momentous</w:t>
      </w:r>
      <w:r w:rsidR="00F775B7">
        <w:t xml:space="preserve"> enough to almost immediately shift the company’s R&amp;D and business </w:t>
      </w:r>
      <w:r w:rsidR="00FE6B55">
        <w:t>strategy</w:t>
      </w:r>
      <w:r w:rsidR="00F775B7">
        <w:t xml:space="preserve">. </w:t>
      </w:r>
    </w:p>
    <w:p w14:paraId="4E962937" w14:textId="49633E48" w:rsidR="002C21EA" w:rsidRDefault="003B45D2" w:rsidP="002C21EA">
      <w:pPr>
        <w:spacing w:line="480" w:lineRule="auto"/>
        <w:ind w:firstLine="720"/>
      </w:pPr>
      <w:r>
        <w:t xml:space="preserve">Jean </w:t>
      </w:r>
      <w:proofErr w:type="spellStart"/>
      <w:r w:rsidR="003F276F">
        <w:t>Hoerni’s</w:t>
      </w:r>
      <w:proofErr w:type="spellEnd"/>
      <w:r w:rsidR="007124F1">
        <w:t xml:space="preserve"> patent disclosure summarize</w:t>
      </w:r>
      <w:r w:rsidR="00656CD9">
        <w:t>d</w:t>
      </w:r>
      <w:r w:rsidR="007124F1">
        <w:t xml:space="preserve"> the planar process’s general</w:t>
      </w:r>
      <w:r w:rsidR="003F276F">
        <w:t xml:space="preserve"> methodology and advantageous characteristics.</w:t>
      </w:r>
      <w:r w:rsidR="003153CB">
        <w:t xml:space="preserve"> The company’s 2N696 and 2N697 designs utilized the mesa architecture, which stripped away the silicon oxide layer on the transistor</w:t>
      </w:r>
      <w:r w:rsidR="00EC7225">
        <w:t xml:space="preserve"> surface</w:t>
      </w:r>
      <w:r w:rsidR="003153CB">
        <w:t>.</w:t>
      </w:r>
      <w:r w:rsidR="003153CB">
        <w:rPr>
          <w:rStyle w:val="EndnoteReference"/>
        </w:rPr>
        <w:endnoteReference w:id="41"/>
      </w:r>
      <w:r w:rsidR="009B422B">
        <w:t xml:space="preserve"> The defining characteristic of the planar process was </w:t>
      </w:r>
      <w:r w:rsidR="00A977D8">
        <w:t>the preservation of</w:t>
      </w:r>
      <w:r w:rsidR="009B422B">
        <w:t xml:space="preserve"> the</w:t>
      </w:r>
      <w:r w:rsidR="003F276F">
        <w:t xml:space="preserve"> oxide layer</w:t>
      </w:r>
      <w:r w:rsidR="009B422B">
        <w:t xml:space="preserve"> as an</w:t>
      </w:r>
      <w:r w:rsidR="003F276F">
        <w:t xml:space="preserve"> </w:t>
      </w:r>
      <w:r w:rsidR="00CC231C">
        <w:t>“</w:t>
      </w:r>
      <w:r w:rsidR="003F276F">
        <w:t xml:space="preserve">integral </w:t>
      </w:r>
      <w:r w:rsidR="00CC231C">
        <w:t>part</w:t>
      </w:r>
      <w:r w:rsidR="003F276F">
        <w:t xml:space="preserve"> of the device</w:t>
      </w:r>
      <w:r w:rsidR="001915D5">
        <w:t>,</w:t>
      </w:r>
      <w:r w:rsidR="00CC231C">
        <w:t>”</w:t>
      </w:r>
      <w:r w:rsidR="001915D5">
        <w:t xml:space="preserve"> which protected</w:t>
      </w:r>
      <w:r w:rsidR="003F276F">
        <w:t xml:space="preserve"> the </w:t>
      </w:r>
      <w:r w:rsidR="00CC231C">
        <w:t>device’s “otherwise exposed junctions from contamination and possible electrical leakage due to subsequent handling, cleaning, canning of the device.”</w:t>
      </w:r>
      <w:r w:rsidR="007752EE">
        <w:rPr>
          <w:rStyle w:val="EndnoteReference"/>
        </w:rPr>
        <w:endnoteReference w:id="42"/>
      </w:r>
      <w:r w:rsidR="007A4C9D">
        <w:t xml:space="preserve"> </w:t>
      </w:r>
      <w:r w:rsidR="002C21EA">
        <w:t xml:space="preserve">By January 1959, </w:t>
      </w:r>
      <w:proofErr w:type="spellStart"/>
      <w:r w:rsidR="002C21EA">
        <w:t>Hoerni</w:t>
      </w:r>
      <w:proofErr w:type="spellEnd"/>
      <w:r w:rsidR="002C21EA">
        <w:t xml:space="preserve"> was intent on creating a workable planar transistor </w:t>
      </w:r>
      <w:r w:rsidR="005B2CF1">
        <w:t>with</w:t>
      </w:r>
      <w:r w:rsidR="002C21EA">
        <w:t xml:space="preserve"> these ideas</w:t>
      </w:r>
      <w:r w:rsidR="00C2347D">
        <w:t>.</w:t>
      </w:r>
      <w:r w:rsidR="00A1409A">
        <w:t xml:space="preserve"> </w:t>
      </w:r>
      <w:r w:rsidR="00C2347D">
        <w:t>B</w:t>
      </w:r>
      <w:r w:rsidR="00A1409A">
        <w:t>y</w:t>
      </w:r>
      <w:r w:rsidR="002C21EA">
        <w:t xml:space="preserve"> March 1959, he</w:t>
      </w:r>
      <w:r w:rsidR="0096208D">
        <w:t xml:space="preserve"> had</w:t>
      </w:r>
      <w:r w:rsidR="002C21EA">
        <w:t xml:space="preserve"> succeeded in creating a functional NPN planar transistor. This NPN planar transistor proved to be much more reliable than Fairchild Semiconductor’s mesa transistors </w:t>
      </w:r>
      <w:proofErr w:type="gramStart"/>
      <w:r w:rsidR="0013484E">
        <w:t>and also</w:t>
      </w:r>
      <w:proofErr w:type="gramEnd"/>
      <w:r w:rsidR="0013484E">
        <w:t xml:space="preserve"> possessed </w:t>
      </w:r>
      <w:r w:rsidR="002C21EA">
        <w:t>superior electrical characteristics.</w:t>
      </w:r>
      <w:r w:rsidR="00CC2B84">
        <w:rPr>
          <w:rStyle w:val="EndnoteReference"/>
        </w:rPr>
        <w:endnoteReference w:id="43"/>
      </w:r>
      <w:r w:rsidR="003F276F">
        <w:t xml:space="preserve"> </w:t>
      </w:r>
      <w:r w:rsidR="002C21EA">
        <w:t xml:space="preserve">Around the same time, </w:t>
      </w:r>
      <w:r w:rsidR="00C405B5">
        <w:t xml:space="preserve">in </w:t>
      </w:r>
      <w:r w:rsidR="002C21EA">
        <w:t>January 1959,</w:t>
      </w:r>
      <w:r w:rsidR="00334346">
        <w:t xml:space="preserve"> </w:t>
      </w:r>
      <w:r w:rsidR="00C405B5">
        <w:t>Robert</w:t>
      </w:r>
      <w:r w:rsidR="002C21EA">
        <w:t xml:space="preserve"> Noyce also </w:t>
      </w:r>
      <w:r w:rsidR="0073138B">
        <w:t xml:space="preserve">began to conceive of another </w:t>
      </w:r>
      <w:r w:rsidR="00DD4377">
        <w:t>integral</w:t>
      </w:r>
      <w:r w:rsidR="0073138B">
        <w:t xml:space="preserve"> concept, the </w:t>
      </w:r>
      <w:r w:rsidR="00232DD2">
        <w:t>silicon planar i</w:t>
      </w:r>
      <w:r w:rsidR="0073138B">
        <w:t xml:space="preserve">ntegrated </w:t>
      </w:r>
      <w:r w:rsidR="00232DD2">
        <w:t>c</w:t>
      </w:r>
      <w:r w:rsidR="0073138B">
        <w:t xml:space="preserve">ircuit. </w:t>
      </w:r>
    </w:p>
    <w:p w14:paraId="1295B097" w14:textId="61671958" w:rsidR="00973777" w:rsidRDefault="00973777" w:rsidP="002C21EA">
      <w:pPr>
        <w:spacing w:line="480" w:lineRule="auto"/>
        <w:ind w:firstLine="720"/>
      </w:pPr>
      <w:r>
        <w:t>The general idea of the integrated circuit came as an answer to one of Noyce’s conceptual questions, “</w:t>
      </w:r>
      <w:r w:rsidR="00D86241">
        <w:t>Wouldn’t it be nice to be able to make the whole thing in one piece instead of having to fabricate it out of a lot of different pieces?”</w:t>
      </w:r>
      <w:r w:rsidR="00804091">
        <w:rPr>
          <w:rStyle w:val="EndnoteReference"/>
        </w:rPr>
        <w:endnoteReference w:id="44"/>
      </w:r>
      <w:r w:rsidR="00367CF1">
        <w:t xml:space="preserve"> Integrated circuits combine the “active components and circuit traces</w:t>
      </w:r>
      <w:r w:rsidR="0090037C">
        <w:t>,</w:t>
      </w:r>
      <w:r w:rsidR="00367CF1">
        <w:t>”</w:t>
      </w:r>
      <w:r w:rsidR="0090037C">
        <w:t xml:space="preserve"> standard elements of</w:t>
      </w:r>
      <w:r w:rsidR="00367CF1">
        <w:t xml:space="preserve"> discrete circuits</w:t>
      </w:r>
      <w:r w:rsidR="0090037C">
        <w:t>,</w:t>
      </w:r>
      <w:r w:rsidR="00367CF1">
        <w:t xml:space="preserve"> and place them onto a single “small square or rectangular piece of silicon crystal</w:t>
      </w:r>
      <w:r w:rsidR="0088690A">
        <w:t>.</w:t>
      </w:r>
      <w:r w:rsidR="00367CF1">
        <w:t>”</w:t>
      </w:r>
      <w:r w:rsidR="0088690A">
        <w:t xml:space="preserve"> Noyce was envisioning</w:t>
      </w:r>
      <w:r w:rsidR="00616548">
        <w:t xml:space="preserve"> </w:t>
      </w:r>
      <w:r w:rsidR="0088690A">
        <w:t>a</w:t>
      </w:r>
      <w:r w:rsidR="00616548">
        <w:t xml:space="preserve"> complete circuit on one chip.</w:t>
      </w:r>
      <w:r w:rsidR="00367CF1">
        <w:rPr>
          <w:rStyle w:val="EndnoteReference"/>
        </w:rPr>
        <w:endnoteReference w:id="45"/>
      </w:r>
      <w:r w:rsidR="00616548">
        <w:t xml:space="preserve"> </w:t>
      </w:r>
      <w:proofErr w:type="spellStart"/>
      <w:r w:rsidR="0098126F">
        <w:t>D</w:t>
      </w:r>
      <w:r w:rsidR="00244F1C">
        <w:t>deas</w:t>
      </w:r>
      <w:proofErr w:type="spellEnd"/>
      <w:r w:rsidR="00244F1C">
        <w:t xml:space="preserve"> relating to “the possibility of realizing electronic functions </w:t>
      </w:r>
      <w:r w:rsidR="00BC3C1A">
        <w:t>in a ‘solid block’ of semiconductor material”</w:t>
      </w:r>
      <w:r w:rsidR="00650B40">
        <w:t xml:space="preserve"> were </w:t>
      </w:r>
      <w:r w:rsidR="00E34304">
        <w:t xml:space="preserve">already </w:t>
      </w:r>
      <w:r w:rsidR="00650B40">
        <w:t>floating around the industry</w:t>
      </w:r>
      <w:r w:rsidR="00BC3C1A">
        <w:t>.</w:t>
      </w:r>
      <w:r w:rsidR="005A25A4">
        <w:t xml:space="preserve"> Other</w:t>
      </w:r>
      <w:r w:rsidR="00AD4DB7">
        <w:t xml:space="preserve"> research leads </w:t>
      </w:r>
      <w:r w:rsidR="005A25A4">
        <w:t xml:space="preserve">such as Jack Kilby of Texas Instruments and </w:t>
      </w:r>
      <w:r w:rsidR="001954CC">
        <w:t xml:space="preserve">Edward </w:t>
      </w:r>
      <w:proofErr w:type="spellStart"/>
      <w:r w:rsidR="001954CC">
        <w:t>Keonjian</w:t>
      </w:r>
      <w:proofErr w:type="spellEnd"/>
      <w:r w:rsidR="00603D34">
        <w:t>,</w:t>
      </w:r>
      <w:r w:rsidR="001954CC">
        <w:t xml:space="preserve"> chief engineer for the American Bosch </w:t>
      </w:r>
      <w:proofErr w:type="spellStart"/>
      <w:r w:rsidR="001954CC">
        <w:t>Arma</w:t>
      </w:r>
      <w:proofErr w:type="spellEnd"/>
      <w:r w:rsidR="001954CC">
        <w:t xml:space="preserve"> Corporation</w:t>
      </w:r>
      <w:r w:rsidR="00786848">
        <w:t>,</w:t>
      </w:r>
      <w:r w:rsidR="00154CBB">
        <w:t xml:space="preserve"> were also rigorously pursuing practical integrated </w:t>
      </w:r>
      <w:r w:rsidR="00154CBB">
        <w:lastRenderedPageBreak/>
        <w:t>circuits.</w:t>
      </w:r>
      <w:r w:rsidR="00C16B39">
        <w:t xml:space="preserve"> U.S. military</w:t>
      </w:r>
      <w:r w:rsidR="0098126F">
        <w:t xml:space="preserve"> was also</w:t>
      </w:r>
      <w:r w:rsidR="00C16B39">
        <w:t xml:space="preserve"> </w:t>
      </w:r>
      <w:r w:rsidR="0098126F">
        <w:t>simultaneously</w:t>
      </w:r>
      <w:r w:rsidR="00C16B39">
        <w:t xml:space="preserve"> stimulat</w:t>
      </w:r>
      <w:r w:rsidR="0098126F">
        <w:t>ing</w:t>
      </w:r>
      <w:r w:rsidR="00C16B39">
        <w:t xml:space="preserve"> electronic circuit miniaturization</w:t>
      </w:r>
      <w:r w:rsidR="00FD383F">
        <w:t xml:space="preserve"> methods</w:t>
      </w:r>
      <w:r w:rsidR="00192466">
        <w:t xml:space="preserve">. They believed </w:t>
      </w:r>
      <w:r w:rsidR="00BA767F">
        <w:t>circuit miniaturization</w:t>
      </w:r>
      <w:r w:rsidR="00192466">
        <w:t xml:space="preserve"> could</w:t>
      </w:r>
      <w:r w:rsidR="00316B18">
        <w:t xml:space="preserve"> </w:t>
      </w:r>
      <w:r w:rsidR="00B01E0A">
        <w:t xml:space="preserve">decrease </w:t>
      </w:r>
      <w:r w:rsidR="006B1531">
        <w:t>weight</w:t>
      </w:r>
      <w:r w:rsidR="005347EB">
        <w:t xml:space="preserve"> in their military equipment </w:t>
      </w:r>
      <w:r w:rsidR="00E5245A">
        <w:t>and</w:t>
      </w:r>
      <w:r w:rsidR="005347EB">
        <w:t xml:space="preserve"> </w:t>
      </w:r>
      <w:r w:rsidR="006B1531">
        <w:t>increas</w:t>
      </w:r>
      <w:r w:rsidR="00D1765F">
        <w:t>e</w:t>
      </w:r>
      <w:r w:rsidR="006B1531">
        <w:t xml:space="preserve"> </w:t>
      </w:r>
      <w:r w:rsidR="00074901">
        <w:t>reliability</w:t>
      </w:r>
      <w:r w:rsidR="006B1531">
        <w:t>.</w:t>
      </w:r>
      <w:r w:rsidR="00F67DF4">
        <w:rPr>
          <w:rStyle w:val="EndnoteReference"/>
        </w:rPr>
        <w:endnoteReference w:id="46"/>
      </w:r>
      <w:r w:rsidR="00650B40">
        <w:t xml:space="preserve"> </w:t>
      </w:r>
      <w:r w:rsidR="00340463">
        <w:t>Several developments already present at Fairchild</w:t>
      </w:r>
      <w:r w:rsidR="00C92F23">
        <w:t xml:space="preserve"> Semiconductor</w:t>
      </w:r>
      <w:r w:rsidR="00340463">
        <w:t xml:space="preserve"> enabled </w:t>
      </w:r>
      <w:r w:rsidR="0004340C">
        <w:t>it</w:t>
      </w:r>
      <w:r w:rsidR="00EF3AA3">
        <w:t xml:space="preserve"> to pursue their integrated circuit</w:t>
      </w:r>
      <w:r w:rsidR="00340463">
        <w:t xml:space="preserve"> concept. </w:t>
      </w:r>
      <w:r w:rsidR="00B86A2E">
        <w:t>First was “batch processing – making a lot of transistors at once</w:t>
      </w:r>
      <w:r w:rsidR="00B62592">
        <w:t>,</w:t>
      </w:r>
      <w:r w:rsidR="00B86A2E">
        <w:t>”</w:t>
      </w:r>
      <w:r w:rsidR="00B62592">
        <w:t xml:space="preserve"> or as Jay Last put it, a kind of mass manufacturing process of silicon wafers ala Ford Motors.</w:t>
      </w:r>
      <w:r w:rsidR="00B62592">
        <w:rPr>
          <w:rStyle w:val="EndnoteReference"/>
        </w:rPr>
        <w:endnoteReference w:id="47"/>
      </w:r>
      <w:r w:rsidR="00B86A2E">
        <w:t xml:space="preserve"> </w:t>
      </w:r>
      <w:r w:rsidR="00B62592">
        <w:t>T</w:t>
      </w:r>
      <w:r w:rsidR="00B86A2E">
        <w:t xml:space="preserve">he second was </w:t>
      </w:r>
      <w:r w:rsidR="00BE29A9">
        <w:t xml:space="preserve">Jean </w:t>
      </w:r>
      <w:proofErr w:type="spellStart"/>
      <w:r w:rsidR="00BE29A9">
        <w:t>Hoerni’s</w:t>
      </w:r>
      <w:proofErr w:type="spellEnd"/>
      <w:r w:rsidR="00BE29A9">
        <w:t xml:space="preserve"> planar process, which provided </w:t>
      </w:r>
      <w:r w:rsidR="00821116">
        <w:t>transistor architectures</w:t>
      </w:r>
      <w:r w:rsidR="00BE29A9">
        <w:t xml:space="preserve"> more stability </w:t>
      </w:r>
      <w:r w:rsidR="00821116">
        <w:t>and reliability.</w:t>
      </w:r>
      <w:r w:rsidR="00E43752">
        <w:rPr>
          <w:rStyle w:val="EndnoteReference"/>
        </w:rPr>
        <w:endnoteReference w:id="48"/>
      </w:r>
      <w:r w:rsidR="004A6539">
        <w:t xml:space="preserve"> Noyce’s initial</w:t>
      </w:r>
      <w:r w:rsidR="00B55C52">
        <w:t xml:space="preserve"> integrated circuit</w:t>
      </w:r>
      <w:r w:rsidR="004A6539">
        <w:t xml:space="preserve"> model </w:t>
      </w:r>
      <w:r w:rsidR="00B662EA">
        <w:t xml:space="preserve">placed </w:t>
      </w:r>
      <w:r w:rsidR="00B55C52">
        <w:t>the circuit components within the protect</w:t>
      </w:r>
      <w:r w:rsidR="008A6C94">
        <w:t>ion</w:t>
      </w:r>
      <w:r w:rsidR="00B55C52">
        <w:t xml:space="preserve"> of </w:t>
      </w:r>
      <w:proofErr w:type="spellStart"/>
      <w:r w:rsidR="00B55C52">
        <w:t>Hoerni’s</w:t>
      </w:r>
      <w:proofErr w:type="spellEnd"/>
      <w:r w:rsidR="00B55C52">
        <w:t xml:space="preserve"> silicon oxide layer</w:t>
      </w:r>
      <w:r w:rsidR="0031210D">
        <w:t xml:space="preserve"> </w:t>
      </w:r>
      <w:r w:rsidR="001D39BF">
        <w:t>and</w:t>
      </w:r>
      <w:r w:rsidR="009765B5">
        <w:t xml:space="preserve"> connect</w:t>
      </w:r>
      <w:r w:rsidR="001D39BF">
        <w:t>ed</w:t>
      </w:r>
      <w:r w:rsidR="009765B5">
        <w:t xml:space="preserve"> the individual components </w:t>
      </w:r>
      <w:r w:rsidR="00A35D81">
        <w:t xml:space="preserve">with metal lines(similar to wires) </w:t>
      </w:r>
      <w:r w:rsidR="00AD6249">
        <w:t xml:space="preserve">on </w:t>
      </w:r>
      <w:r w:rsidR="001D39BF">
        <w:t>the oxide layer surface</w:t>
      </w:r>
      <w:r w:rsidR="00AD6249">
        <w:t>.</w:t>
      </w:r>
      <w:r w:rsidR="00D50180">
        <w:rPr>
          <w:rStyle w:val="EndnoteReference"/>
        </w:rPr>
        <w:endnoteReference w:id="49"/>
      </w:r>
      <w:r w:rsidR="002A0A43">
        <w:t xml:space="preserve"> Convinced of the future potential </w:t>
      </w:r>
      <w:r w:rsidR="009D3D8F">
        <w:t>of</w:t>
      </w:r>
      <w:r w:rsidR="002A0A43">
        <w:t xml:space="preserve"> </w:t>
      </w:r>
      <w:r w:rsidR="0001650C">
        <w:t xml:space="preserve">both planar process production as well as </w:t>
      </w:r>
      <w:r w:rsidR="00FA4250">
        <w:t xml:space="preserve">silicon integrated circuits, </w:t>
      </w:r>
      <w:r w:rsidR="00566054">
        <w:t>Fairchild</w:t>
      </w:r>
      <w:r w:rsidR="00C4715A">
        <w:t xml:space="preserve"> Semiconductor</w:t>
      </w:r>
      <w:r w:rsidR="00566054">
        <w:t>’s management</w:t>
      </w:r>
      <w:r w:rsidR="0099122D">
        <w:t xml:space="preserve"> charted</w:t>
      </w:r>
      <w:r w:rsidR="000B7306">
        <w:t xml:space="preserve"> a new course.</w:t>
      </w:r>
    </w:p>
    <w:p w14:paraId="7913280B" w14:textId="36145A8A" w:rsidR="000B7306" w:rsidRDefault="001B65F7" w:rsidP="002C21EA">
      <w:pPr>
        <w:spacing w:line="480" w:lineRule="auto"/>
        <w:ind w:firstLine="720"/>
      </w:pPr>
      <w:r>
        <w:t xml:space="preserve">By March 1959, Jean </w:t>
      </w:r>
      <w:proofErr w:type="spellStart"/>
      <w:r>
        <w:t>Hoerni</w:t>
      </w:r>
      <w:proofErr w:type="spellEnd"/>
      <w:r>
        <w:t xml:space="preserve"> demonstrated his “fully planar NPN transistor” to his peers, </w:t>
      </w:r>
      <w:r w:rsidR="0004162B">
        <w:t xml:space="preserve">which </w:t>
      </w:r>
      <w:r w:rsidR="00651D90">
        <w:t>immediately</w:t>
      </w:r>
      <w:r w:rsidR="00C2080C">
        <w:t xml:space="preserve"> </w:t>
      </w:r>
      <w:r w:rsidR="00550E76">
        <w:t>ma</w:t>
      </w:r>
      <w:r w:rsidR="0004162B">
        <w:t>de</w:t>
      </w:r>
      <w:r w:rsidR="00550E76">
        <w:t xml:space="preserve"> their</w:t>
      </w:r>
      <w:r w:rsidR="00AA0C59">
        <w:t xml:space="preserve"> diffused mesa silicon transistor</w:t>
      </w:r>
      <w:r w:rsidR="00CE5B70">
        <w:t xml:space="preserve"> products</w:t>
      </w:r>
      <w:r w:rsidR="00AA0C59">
        <w:t xml:space="preserve"> obsolete. </w:t>
      </w:r>
      <w:r w:rsidR="004E0D38">
        <w:t xml:space="preserve">During a subsequent R&amp;D Planning Meeting the group collectively decided to translate </w:t>
      </w:r>
      <w:r w:rsidR="00036AF7">
        <w:t>the planar process’s theoretical potential into a full fledge manufacturing process</w:t>
      </w:r>
      <w:r w:rsidR="00BB53C7">
        <w:t xml:space="preserve">. </w:t>
      </w:r>
      <w:r w:rsidR="00D20BC8">
        <w:t xml:space="preserve">They aimed to eventually planarize </w:t>
      </w:r>
      <w:r w:rsidR="00253913">
        <w:t>all</w:t>
      </w:r>
      <w:r w:rsidR="00D20BC8">
        <w:t xml:space="preserve"> their current</w:t>
      </w:r>
      <w:r w:rsidR="006F1CDF">
        <w:t xml:space="preserve"> mesa transistor</w:t>
      </w:r>
      <w:r w:rsidR="00D20BC8">
        <w:t xml:space="preserve"> products</w:t>
      </w:r>
      <w:r w:rsidR="00036AF7">
        <w:t xml:space="preserve">. </w:t>
      </w:r>
      <w:r w:rsidR="00A15C12">
        <w:t xml:space="preserve">This group </w:t>
      </w:r>
      <w:r w:rsidR="007B51BB">
        <w:t>a</w:t>
      </w:r>
      <w:r w:rsidR="00B5790C">
        <w:t xml:space="preserve">lso discussed </w:t>
      </w:r>
      <w:r w:rsidR="00283EB5">
        <w:t>a micro circuitry program which aimed to produce planar integrated circuits</w:t>
      </w:r>
      <w:r w:rsidR="00E63C88">
        <w:t>.</w:t>
      </w:r>
      <w:r w:rsidR="006F3229">
        <w:t xml:space="preserve"> </w:t>
      </w:r>
      <w:r w:rsidR="00E63C88">
        <w:t xml:space="preserve">This program </w:t>
      </w:r>
      <w:r w:rsidR="006F3229">
        <w:t xml:space="preserve">was placed under the direction of Jay Last. </w:t>
      </w:r>
      <w:r w:rsidR="002B4EFA">
        <w:t xml:space="preserve">The founders </w:t>
      </w:r>
      <w:r w:rsidR="006274D4">
        <w:t>understood</w:t>
      </w:r>
      <w:r w:rsidR="002B4EFA">
        <w:t xml:space="preserve"> companies like Texas Instrument</w:t>
      </w:r>
      <w:r w:rsidR="00374661">
        <w:t>s</w:t>
      </w:r>
      <w:r w:rsidR="002B4EFA">
        <w:t xml:space="preserve"> were already read</w:t>
      </w:r>
      <w:r w:rsidR="00374661">
        <w:t>y</w:t>
      </w:r>
      <w:r w:rsidR="001407F9">
        <w:t xml:space="preserve">ing </w:t>
      </w:r>
      <w:r w:rsidR="00374661">
        <w:t xml:space="preserve">microcircuit demonstrations and Fairchild Semiconductor </w:t>
      </w:r>
      <w:r w:rsidR="007E6067">
        <w:t xml:space="preserve">would have to act fast to </w:t>
      </w:r>
      <w:r w:rsidR="00BB5D8C">
        <w:t>avoid getting left behind</w:t>
      </w:r>
      <w:r w:rsidR="007E6067">
        <w:t>.</w:t>
      </w:r>
      <w:r w:rsidR="007E6067">
        <w:rPr>
          <w:rStyle w:val="EndnoteReference"/>
        </w:rPr>
        <w:endnoteReference w:id="50"/>
      </w:r>
      <w:r w:rsidR="006274D4">
        <w:t xml:space="preserve"> September 1959 was the date of another </w:t>
      </w:r>
      <w:proofErr w:type="spellStart"/>
      <w:r w:rsidR="006274D4">
        <w:t>Wesco</w:t>
      </w:r>
      <w:r w:rsidR="007F588A">
        <w:t>n</w:t>
      </w:r>
      <w:proofErr w:type="spellEnd"/>
      <w:r w:rsidR="007F588A">
        <w:t xml:space="preserve"> Conference and</w:t>
      </w:r>
      <w:r w:rsidR="00943579">
        <w:t xml:space="preserve"> Fairchild Semiconductor</w:t>
      </w:r>
      <w:r w:rsidR="007F588A">
        <w:t xml:space="preserve"> unveiled new</w:t>
      </w:r>
      <w:r w:rsidR="00943579">
        <w:t xml:space="preserve"> product</w:t>
      </w:r>
      <w:r w:rsidR="007F588A">
        <w:t xml:space="preserve"> models and</w:t>
      </w:r>
      <w:r w:rsidR="002913B4">
        <w:t xml:space="preserve"> planned d</w:t>
      </w:r>
      <w:r w:rsidR="009D6D4D">
        <w:t>irections</w:t>
      </w:r>
      <w:r w:rsidR="007F588A">
        <w:t>.</w:t>
      </w:r>
    </w:p>
    <w:p w14:paraId="5A8406D7" w14:textId="3275DC4B" w:rsidR="007F588A" w:rsidRDefault="005B6EE6" w:rsidP="00E15627">
      <w:pPr>
        <w:spacing w:line="480" w:lineRule="auto"/>
        <w:ind w:firstLine="720"/>
      </w:pPr>
      <w:r>
        <w:t xml:space="preserve">The 2N706, a “NPN mesa transistor,” was a large improvement over </w:t>
      </w:r>
      <w:r w:rsidR="002C5710">
        <w:t xml:space="preserve">the previous 2N696. </w:t>
      </w:r>
      <w:r w:rsidR="00E15627">
        <w:t xml:space="preserve">The company’s engineers had dramatically shrunk the 2N706’s dimensions relative to the 2N696 </w:t>
      </w:r>
      <w:r w:rsidR="00E15627">
        <w:lastRenderedPageBreak/>
        <w:t xml:space="preserve">and had improved its switching speeds with Jean </w:t>
      </w:r>
      <w:proofErr w:type="spellStart"/>
      <w:r w:rsidR="00E15627">
        <w:t>Hoerni’s</w:t>
      </w:r>
      <w:proofErr w:type="spellEnd"/>
      <w:r w:rsidR="00E15627">
        <w:t xml:space="preserve"> gold doping techniques. </w:t>
      </w:r>
      <w:r w:rsidR="00A97F06">
        <w:t xml:space="preserve">The company </w:t>
      </w:r>
      <w:r w:rsidR="00C22794">
        <w:t>also exhibited experimental hybrid circuits</w:t>
      </w:r>
      <w:r w:rsidR="007E253D">
        <w:t xml:space="preserve">, </w:t>
      </w:r>
      <w:r w:rsidR="006F52AB">
        <w:t xml:space="preserve">circuits which used </w:t>
      </w:r>
      <w:r w:rsidR="0006591A">
        <w:t>a mixture of discrete active circuit components and passive circuit components</w:t>
      </w:r>
      <w:r w:rsidR="007E253D">
        <w:t xml:space="preserve">, and tunnel diodes. Jay Last’s “20mc flip flop circuit containing four active elements and mounted in a TO-9 case” was a </w:t>
      </w:r>
      <w:r w:rsidR="00E46849">
        <w:t>message</w:t>
      </w:r>
      <w:r w:rsidR="007E253D">
        <w:t xml:space="preserve"> to the greater industry that Fairchild Semiconductor was also </w:t>
      </w:r>
      <w:r w:rsidR="006E7CE8">
        <w:t>a</w:t>
      </w:r>
      <w:r w:rsidR="00FE34D2">
        <w:t xml:space="preserve"> player in the</w:t>
      </w:r>
      <w:r w:rsidR="007E253D">
        <w:t xml:space="preserve"> microcircui</w:t>
      </w:r>
      <w:r w:rsidR="006E7CE8">
        <w:t>t</w:t>
      </w:r>
      <w:r w:rsidR="00FE34D2">
        <w:t xml:space="preserve"> market</w:t>
      </w:r>
      <w:r w:rsidR="006E7CE8">
        <w:t>.</w:t>
      </w:r>
      <w:r w:rsidR="00AF231B">
        <w:rPr>
          <w:rStyle w:val="EndnoteReference"/>
        </w:rPr>
        <w:endnoteReference w:id="51"/>
      </w:r>
      <w:r w:rsidR="007E253D">
        <w:t xml:space="preserve"> </w:t>
      </w:r>
      <w:r w:rsidR="00816EFF">
        <w:t>With the</w:t>
      </w:r>
      <w:r w:rsidR="003E7452">
        <w:t xml:space="preserve"> sudden</w:t>
      </w:r>
      <w:r w:rsidR="00816EFF">
        <w:t xml:space="preserve"> departure of Ewart Baldwin in March 1959, Noyce took over as general manager </w:t>
      </w:r>
      <w:r w:rsidR="008E27C9">
        <w:t>and Gordon Moore</w:t>
      </w:r>
      <w:r w:rsidR="00E43562">
        <w:t xml:space="preserve"> took</w:t>
      </w:r>
      <w:r w:rsidR="00656F67">
        <w:t xml:space="preserve"> </w:t>
      </w:r>
      <w:r w:rsidR="00E43562">
        <w:t>the</w:t>
      </w:r>
      <w:r w:rsidR="008E27C9">
        <w:t xml:space="preserve"> </w:t>
      </w:r>
      <w:r w:rsidR="00E81EAD">
        <w:t>R&amp;D</w:t>
      </w:r>
      <w:r w:rsidR="00656F67">
        <w:t xml:space="preserve"> </w:t>
      </w:r>
      <w:r w:rsidR="00E43562">
        <w:t>lead position</w:t>
      </w:r>
      <w:r w:rsidR="00E81EAD">
        <w:t xml:space="preserve">. </w:t>
      </w:r>
    </w:p>
    <w:p w14:paraId="7630FD03" w14:textId="5D6A0797" w:rsidR="00162C64" w:rsidRDefault="00162C64" w:rsidP="002C21EA">
      <w:pPr>
        <w:spacing w:line="480" w:lineRule="auto"/>
        <w:ind w:firstLine="720"/>
      </w:pPr>
      <w:r>
        <w:t xml:space="preserve">Gordon Moore wrote a memorandum for the R&amp;D program, </w:t>
      </w:r>
      <w:r w:rsidR="00490B35">
        <w:t>reassessing</w:t>
      </w:r>
      <w:r>
        <w:t xml:space="preserve"> research priorities and </w:t>
      </w:r>
      <w:r w:rsidR="00877373">
        <w:t xml:space="preserve">product focuses. </w:t>
      </w:r>
      <w:r w:rsidR="001A5ED0">
        <w:t xml:space="preserve">In addition to </w:t>
      </w:r>
      <w:r w:rsidR="00C51B8B">
        <w:t>active</w:t>
      </w:r>
      <w:r w:rsidR="001A5ED0">
        <w:t xml:space="preserve"> transistor development projects, </w:t>
      </w:r>
      <w:r w:rsidR="00D97F9F">
        <w:t xml:space="preserve">Fairchild Semiconductor </w:t>
      </w:r>
      <w:r w:rsidR="00AC3F7F">
        <w:t xml:space="preserve">pursued </w:t>
      </w:r>
      <w:r w:rsidR="00D97F9F">
        <w:t xml:space="preserve">“Microwave Devices and Special Diodes” and </w:t>
      </w:r>
      <w:r w:rsidR="001C029C">
        <w:t xml:space="preserve">considered expanding into </w:t>
      </w:r>
      <w:r w:rsidR="00D97F9F">
        <w:t>new computer memory developments.</w:t>
      </w:r>
      <w:r w:rsidR="006B2663">
        <w:rPr>
          <w:rStyle w:val="EndnoteReference"/>
        </w:rPr>
        <w:endnoteReference w:id="52"/>
      </w:r>
      <w:r w:rsidR="00D97F9F">
        <w:t xml:space="preserve"> </w:t>
      </w:r>
      <w:r w:rsidR="001C029C">
        <w:t>To</w:t>
      </w:r>
      <w:r w:rsidR="001B7978">
        <w:t xml:space="preserve"> stay competitive and </w:t>
      </w:r>
      <w:r w:rsidR="001C029C">
        <w:t>address “problems effect[</w:t>
      </w:r>
      <w:proofErr w:type="spellStart"/>
      <w:r w:rsidR="001C029C">
        <w:t>ing</w:t>
      </w:r>
      <w:proofErr w:type="spellEnd"/>
      <w:r w:rsidR="001C029C">
        <w:t xml:space="preserve">] </w:t>
      </w:r>
      <w:r w:rsidR="00774F54">
        <w:t xml:space="preserve">yield, </w:t>
      </w:r>
      <w:r w:rsidR="009778FF">
        <w:t>electrical performance and control reliability of our transistors and diodes,” Moore sanctioned a broad research effort into careful study of the properties of silicon oxide surfaces, silicon crystal growths,</w:t>
      </w:r>
      <w:r w:rsidR="006332E5">
        <w:t xml:space="preserve"> metallurgy, and diffusion</w:t>
      </w:r>
      <w:r w:rsidR="00AF49DF">
        <w:t xml:space="preserve">, areas </w:t>
      </w:r>
      <w:r w:rsidR="007D437E">
        <w:t>crucial to</w:t>
      </w:r>
      <w:r w:rsidR="00AF49DF">
        <w:t xml:space="preserve"> semiconductor fabrication</w:t>
      </w:r>
      <w:r w:rsidR="006332E5">
        <w:t>.</w:t>
      </w:r>
      <w:r w:rsidR="00987D41">
        <w:t xml:space="preserve"> In another pivot away from prior </w:t>
      </w:r>
      <w:r w:rsidR="00C329DB">
        <w:t>strategy</w:t>
      </w:r>
      <w:r w:rsidR="00987D41">
        <w:t xml:space="preserve">, Moore also advocated </w:t>
      </w:r>
      <w:r w:rsidR="00413779">
        <w:t>a</w:t>
      </w:r>
      <w:r w:rsidR="00987D41">
        <w:t xml:space="preserve"> commercial product</w:t>
      </w:r>
      <w:r w:rsidR="00413779">
        <w:t xml:space="preserve"> program </w:t>
      </w:r>
      <w:r w:rsidR="003A2E2D">
        <w:t>to diversify away from</w:t>
      </w:r>
      <w:r w:rsidR="00987D41">
        <w:t xml:space="preserve"> </w:t>
      </w:r>
      <w:r w:rsidR="003A2E2D">
        <w:t>products solely targeting military buyers</w:t>
      </w:r>
      <w:r w:rsidR="00987D41">
        <w:t>. This meant that Fairchild Semiconductor</w:t>
      </w:r>
      <w:r w:rsidR="006B20BA">
        <w:t xml:space="preserve"> had </w:t>
      </w:r>
      <w:r w:rsidR="00987D41">
        <w:t xml:space="preserve">to bring prices down </w:t>
      </w:r>
      <w:r w:rsidR="000F6B99">
        <w:t xml:space="preserve">for </w:t>
      </w:r>
      <w:r w:rsidR="00192B07">
        <w:t xml:space="preserve">more </w:t>
      </w:r>
      <w:r w:rsidR="001D2A20">
        <w:t>cost-conscious</w:t>
      </w:r>
      <w:r w:rsidR="000F6B99">
        <w:t xml:space="preserve"> consumers</w:t>
      </w:r>
      <w:r w:rsidR="00690BCA">
        <w:t xml:space="preserve"> by</w:t>
      </w:r>
      <w:r w:rsidR="00987D41">
        <w:t xml:space="preserve"> cutting production costs</w:t>
      </w:r>
      <w:r w:rsidR="00B21E89">
        <w:t xml:space="preserve"> and improving yields</w:t>
      </w:r>
      <w:r w:rsidR="00987D41">
        <w:t xml:space="preserve">. Fairchild Semiconductor </w:t>
      </w:r>
      <w:r w:rsidR="001D2A20">
        <w:t xml:space="preserve">also </w:t>
      </w:r>
      <w:r w:rsidR="00987D41">
        <w:t>focus</w:t>
      </w:r>
      <w:r w:rsidR="001D2A20">
        <w:t>ed</w:t>
      </w:r>
      <w:r w:rsidR="00987D41">
        <w:t xml:space="preserve"> on developing a line of </w:t>
      </w:r>
      <w:proofErr w:type="spellStart"/>
      <w:r w:rsidR="00987D41">
        <w:t>microcircuitry</w:t>
      </w:r>
      <w:proofErr w:type="spellEnd"/>
      <w:r w:rsidR="00987D41">
        <w:t xml:space="preserve"> products, components such as “flip-flops, gates, adders, shift-registers,</w:t>
      </w:r>
      <w:r w:rsidR="00797ADA">
        <w:t xml:space="preserve"> and</w:t>
      </w:r>
      <w:r w:rsidR="00987D41">
        <w:t xml:space="preserve"> digital relay lines” that would “perform complete circuit functions.”</w:t>
      </w:r>
      <w:r w:rsidR="006332E5">
        <w:rPr>
          <w:rStyle w:val="EndnoteReference"/>
        </w:rPr>
        <w:endnoteReference w:id="53"/>
      </w:r>
      <w:r w:rsidR="00302A04">
        <w:t xml:space="preserve"> Fairchild Semiconductor in late 1959 was in a prime position in the semiconductor market, with bolstered revenues and expanding production. </w:t>
      </w:r>
      <w:r w:rsidR="009F4F00">
        <w:t xml:space="preserve">Their original investor, Fairchild Camera and Instrument, </w:t>
      </w:r>
      <w:r w:rsidR="009F4F00">
        <w:lastRenderedPageBreak/>
        <w:t xml:space="preserve">decided to use their contracted </w:t>
      </w:r>
      <w:r w:rsidR="00D06540">
        <w:t>clause to purchase Fairchild Semiconductor</w:t>
      </w:r>
      <w:r w:rsidR="00166977">
        <w:t xml:space="preserve"> for the price of $3 million in st</w:t>
      </w:r>
      <w:r w:rsidR="00A52CD0">
        <w:t>ock.</w:t>
      </w:r>
    </w:p>
    <w:p w14:paraId="4B53C509" w14:textId="33C89228" w:rsidR="004357F4" w:rsidRDefault="00A52CD0" w:rsidP="00013EC1">
      <w:pPr>
        <w:spacing w:line="480" w:lineRule="auto"/>
        <w:ind w:firstLine="720"/>
      </w:pPr>
      <w:r>
        <w:t>By November 1959</w:t>
      </w:r>
      <w:r w:rsidR="00F160F5">
        <w:t xml:space="preserve">, the company was entering a new phase of development </w:t>
      </w:r>
      <w:r w:rsidR="00994544">
        <w:t>with</w:t>
      </w:r>
      <w:r w:rsidR="00F160F5">
        <w:t xml:space="preserve"> </w:t>
      </w:r>
      <w:r w:rsidR="007D0ED8">
        <w:t>Fairchild Camera and Instrument</w:t>
      </w:r>
      <w:r w:rsidR="00994544">
        <w:t>’s financial backing</w:t>
      </w:r>
      <w:r w:rsidR="007D0ED8">
        <w:t xml:space="preserve">. </w:t>
      </w:r>
      <w:r w:rsidR="0026160A">
        <w:t>The Mountain View plant received $75,000 to double their current space</w:t>
      </w:r>
      <w:r w:rsidR="000A5D47">
        <w:t xml:space="preserve"> and Fairchild Semiconductor management was already planning to buy more acres for R&amp;D facilities. </w:t>
      </w:r>
      <w:r w:rsidR="001B1DC0">
        <w:t>The company also</w:t>
      </w:r>
      <w:r w:rsidR="00694DC9">
        <w:t xml:space="preserve"> allocated</w:t>
      </w:r>
      <w:r w:rsidR="001B1DC0">
        <w:t xml:space="preserve"> $1 million</w:t>
      </w:r>
      <w:r w:rsidR="00694DC9">
        <w:t xml:space="preserve"> to construct a </w:t>
      </w:r>
      <w:r w:rsidR="0057662D">
        <w:t>10-acre</w:t>
      </w:r>
      <w:r w:rsidR="007E4F28">
        <w:t xml:space="preserve"> </w:t>
      </w:r>
      <w:r w:rsidR="00694DC9">
        <w:t xml:space="preserve">diode plant in </w:t>
      </w:r>
      <w:r w:rsidR="001B1DC0">
        <w:t>San Rafael</w:t>
      </w:r>
      <w:r w:rsidR="0057662D">
        <w:t>.</w:t>
      </w:r>
      <w:r w:rsidR="008F3C93">
        <w:t xml:space="preserve"> </w:t>
      </w:r>
      <w:r w:rsidR="008E6BF9">
        <w:t>Robert E. Freund, originally from Hughes Semiconductor’s silicon diode division, was brought in as assistant division manager.</w:t>
      </w:r>
      <w:r w:rsidR="00407097">
        <w:t xml:space="preserve"> Irving Michaelson, who had prior experience with vacuum tube manufacturing at CBS, was also </w:t>
      </w:r>
      <w:r w:rsidR="00693701">
        <w:t>hired</w:t>
      </w:r>
      <w:r w:rsidR="00FF0CCC">
        <w:t>.</w:t>
      </w:r>
      <w:r w:rsidR="00026754">
        <w:t xml:space="preserve"> Fairchild </w:t>
      </w:r>
      <w:r w:rsidR="00BC03C2">
        <w:t>Semiconductor’s</w:t>
      </w:r>
      <w:r w:rsidR="00556911">
        <w:t xml:space="preserve"> planned</w:t>
      </w:r>
      <w:r w:rsidR="00BC03C2">
        <w:t xml:space="preserve"> diode </w:t>
      </w:r>
      <w:r w:rsidR="002B5919">
        <w:t xml:space="preserve">facilities </w:t>
      </w:r>
      <w:r w:rsidR="00BC03C2">
        <w:t xml:space="preserve">demonstrated </w:t>
      </w:r>
      <w:r w:rsidR="00026754">
        <w:t xml:space="preserve">its </w:t>
      </w:r>
      <w:r w:rsidR="00F46087">
        <w:t>renewed focus on</w:t>
      </w:r>
      <w:r w:rsidR="00BC03C2">
        <w:t xml:space="preserve"> mass production through low costs and high volumes.</w:t>
      </w:r>
      <w:r w:rsidR="00FB2347">
        <w:t xml:space="preserve"> </w:t>
      </w:r>
      <w:r w:rsidR="00556911">
        <w:t>The company</w:t>
      </w:r>
      <w:r w:rsidR="00FB2347">
        <w:t xml:space="preserve"> w</w:t>
      </w:r>
      <w:r w:rsidR="00556911">
        <w:t>as</w:t>
      </w:r>
      <w:r w:rsidR="00FB2347">
        <w:t xml:space="preserve"> looking to fulfill Moore’s stated goal of commercial market penetration</w:t>
      </w:r>
      <w:r w:rsidR="001F22FF">
        <w:t xml:space="preserve"> and brought in experts from both the silicon diode industry and vacuum tube </w:t>
      </w:r>
      <w:r w:rsidR="00B84D9E">
        <w:t>industry</w:t>
      </w:r>
      <w:r w:rsidR="008B2626">
        <w:t xml:space="preserve"> to run their diode division</w:t>
      </w:r>
      <w:r w:rsidR="001F22FF">
        <w:t>.</w:t>
      </w:r>
      <w:r w:rsidR="00143F4E">
        <w:rPr>
          <w:rStyle w:val="EndnoteReference"/>
        </w:rPr>
        <w:endnoteReference w:id="54"/>
      </w:r>
      <w:r w:rsidR="001F22FF">
        <w:t xml:space="preserve"> </w:t>
      </w:r>
      <w:r w:rsidR="00143F4E">
        <w:t xml:space="preserve">Fairchild Semiconductor’s reputation and </w:t>
      </w:r>
      <w:r w:rsidR="00AA4BC3">
        <w:t>strong performance</w:t>
      </w:r>
      <w:r w:rsidR="00975543">
        <w:t xml:space="preserve"> up through 1959</w:t>
      </w:r>
      <w:r w:rsidR="00465C13">
        <w:t xml:space="preserve"> also</w:t>
      </w:r>
      <w:r w:rsidR="00AA4BC3">
        <w:t xml:space="preserve"> </w:t>
      </w:r>
      <w:r w:rsidR="0095223D">
        <w:t>benefitted their parent company, Fairchild Camera and Instrument</w:t>
      </w:r>
      <w:r w:rsidR="002D5BD9">
        <w:t>.</w:t>
      </w:r>
      <w:r w:rsidR="00160D0D">
        <w:t xml:space="preserve"> </w:t>
      </w:r>
      <w:r w:rsidR="002D5BD9">
        <w:t>Fai</w:t>
      </w:r>
      <w:r w:rsidR="00813844">
        <w:t>r</w:t>
      </w:r>
      <w:r w:rsidR="002D5BD9">
        <w:t>child Camera</w:t>
      </w:r>
      <w:r w:rsidR="00160D0D">
        <w:t xml:space="preserve"> experienced a strong period of overall expansion and growth </w:t>
      </w:r>
      <w:r w:rsidR="00813844">
        <w:t>as it acquired new electronics companies and assets</w:t>
      </w:r>
      <w:r w:rsidR="00160D0D">
        <w:t>.</w:t>
      </w:r>
      <w:r w:rsidR="00013EC1">
        <w:t xml:space="preserve"> </w:t>
      </w:r>
      <w:r w:rsidR="00813844">
        <w:t xml:space="preserve">Its </w:t>
      </w:r>
      <w:r w:rsidR="004357F4">
        <w:t xml:space="preserve">stock price </w:t>
      </w:r>
      <w:r w:rsidR="001E0404">
        <w:t xml:space="preserve">traded in the 20s in 1958 but almost </w:t>
      </w:r>
      <w:r w:rsidR="004568E7">
        <w:t>constant</w:t>
      </w:r>
      <w:r w:rsidR="001E0404">
        <w:t xml:space="preserve"> growth by November 1959 left Fairchild</w:t>
      </w:r>
      <w:r w:rsidR="00971C54">
        <w:t xml:space="preserve"> Camera </w:t>
      </w:r>
      <w:r w:rsidR="001E0404">
        <w:t>stocks trading in the low 200s</w:t>
      </w:r>
      <w:r w:rsidR="00E9389F">
        <w:t>. Wall Street investors saw high technology firms like Hewlett-Packard</w:t>
      </w:r>
      <w:r w:rsidR="009B5EFF">
        <w:t>,</w:t>
      </w:r>
      <w:r w:rsidR="00E9389F">
        <w:t xml:space="preserve"> Varian</w:t>
      </w:r>
      <w:r w:rsidR="009B5EFF">
        <w:t>, and Fairchild Camera</w:t>
      </w:r>
      <w:r w:rsidR="00E9389F">
        <w:t xml:space="preserve"> as rising industries </w:t>
      </w:r>
      <w:r w:rsidR="00FB17E0">
        <w:t xml:space="preserve">throughout the </w:t>
      </w:r>
      <w:r w:rsidR="00E9389F">
        <w:t>19</w:t>
      </w:r>
      <w:r w:rsidR="00B1465C">
        <w:t>50s</w:t>
      </w:r>
      <w:r w:rsidR="00F1229B">
        <w:t xml:space="preserve"> and 1960s</w:t>
      </w:r>
      <w:r w:rsidR="00B1465C">
        <w:t>.</w:t>
      </w:r>
      <w:r w:rsidR="00B1465C">
        <w:rPr>
          <w:rStyle w:val="EndnoteReference"/>
        </w:rPr>
        <w:endnoteReference w:id="55"/>
      </w:r>
    </w:p>
    <w:p w14:paraId="0B1C3230" w14:textId="1D545269" w:rsidR="00013EC1" w:rsidRDefault="00013EC1" w:rsidP="00013EC1">
      <w:pPr>
        <w:spacing w:line="480" w:lineRule="auto"/>
        <w:ind w:firstLine="720"/>
      </w:pPr>
      <w:r>
        <w:t xml:space="preserve">The original owners were now considered </w:t>
      </w:r>
      <w:r w:rsidR="00765969">
        <w:t>employees,</w:t>
      </w:r>
      <w:r>
        <w:t xml:space="preserve"> and each</w:t>
      </w:r>
      <w:r w:rsidR="003C5962">
        <w:t xml:space="preserve"> </w:t>
      </w:r>
      <w:r w:rsidR="00765969">
        <w:t>founder</w:t>
      </w:r>
      <w:r w:rsidR="003C5962">
        <w:t xml:space="preserve"> </w:t>
      </w:r>
      <w:r>
        <w:t>received</w:t>
      </w:r>
      <w:r w:rsidR="003C5962">
        <w:t xml:space="preserve"> </w:t>
      </w:r>
      <w:r>
        <w:t xml:space="preserve">$250,000 worth of Fairchild Camera stock from </w:t>
      </w:r>
      <w:r w:rsidR="00DE6C3B">
        <w:t xml:space="preserve">the </w:t>
      </w:r>
      <w:r>
        <w:t>acquisition.</w:t>
      </w:r>
      <w:r>
        <w:rPr>
          <w:rStyle w:val="EndnoteReference"/>
        </w:rPr>
        <w:endnoteReference w:id="56"/>
      </w:r>
      <w:r w:rsidR="00CD4DF9">
        <w:t xml:space="preserve"> </w:t>
      </w:r>
      <w:r w:rsidR="008936E0">
        <w:t>The owners’</w:t>
      </w:r>
      <w:r w:rsidR="00CD4DF9">
        <w:t xml:space="preserve"> newfound financial independence and</w:t>
      </w:r>
      <w:r w:rsidR="00360D26">
        <w:t xml:space="preserve"> loss of stake in Fairchild Semiconductor’s further success </w:t>
      </w:r>
      <w:r w:rsidR="00CD4DF9">
        <w:t xml:space="preserve">led to the creation of numerous spinoff companies headed by former Fairchild Semiconductor owners </w:t>
      </w:r>
      <w:r w:rsidR="00580039">
        <w:t xml:space="preserve">in </w:t>
      </w:r>
      <w:r w:rsidR="00580039">
        <w:lastRenderedPageBreak/>
        <w:t>the early 1960s</w:t>
      </w:r>
      <w:r w:rsidR="003A6F21">
        <w:t>.</w:t>
      </w:r>
      <w:r w:rsidR="00CD4DF9">
        <w:rPr>
          <w:rStyle w:val="EndnoteReference"/>
        </w:rPr>
        <w:endnoteReference w:id="57"/>
      </w:r>
      <w:r w:rsidR="00B221DE">
        <w:t xml:space="preserve"> By </w:t>
      </w:r>
      <w:r w:rsidR="003A6B66">
        <w:t>late 1959</w:t>
      </w:r>
      <w:r w:rsidR="00B221DE">
        <w:t>, Noyce was confident that the best direction forward for the company was</w:t>
      </w:r>
      <w:r w:rsidR="003A6B66">
        <w:t xml:space="preserve"> </w:t>
      </w:r>
      <w:proofErr w:type="spellStart"/>
      <w:r w:rsidR="003A6B66">
        <w:t>microcircuitry</w:t>
      </w:r>
      <w:proofErr w:type="spellEnd"/>
      <w:r w:rsidR="003A6B66">
        <w:t xml:space="preserve">. </w:t>
      </w:r>
    </w:p>
    <w:p w14:paraId="5B11F2CB" w14:textId="1E0C3E42" w:rsidR="003F2E72" w:rsidRDefault="00E20630" w:rsidP="00E230DA">
      <w:pPr>
        <w:spacing w:line="480" w:lineRule="auto"/>
        <w:ind w:firstLine="720"/>
      </w:pPr>
      <w:r>
        <w:t xml:space="preserve">Noyce </w:t>
      </w:r>
      <w:r w:rsidR="00EB2B74">
        <w:t>a</w:t>
      </w:r>
      <w:r>
        <w:t xml:space="preserve">sked Jay Last to form a Micrologic group tasked with designing </w:t>
      </w:r>
      <w:r w:rsidR="00DA7215">
        <w:t>“a family of hybrid circuits and a family of planar integrated circuits for digital computers in aerospace (primarily military) systems.</w:t>
      </w:r>
      <w:r w:rsidR="00926035">
        <w:t>”</w:t>
      </w:r>
      <w:r w:rsidR="000E2576">
        <w:rPr>
          <w:rStyle w:val="EndnoteReference"/>
        </w:rPr>
        <w:endnoteReference w:id="58"/>
      </w:r>
      <w:r w:rsidR="00DA7215">
        <w:t xml:space="preserve"> Lionel </w:t>
      </w:r>
      <w:proofErr w:type="spellStart"/>
      <w:r w:rsidR="00DA7215">
        <w:t>Kattner</w:t>
      </w:r>
      <w:proofErr w:type="spellEnd"/>
      <w:r w:rsidR="009B0F17">
        <w:t>, one of the members of the Micrologic team</w:t>
      </w:r>
      <w:r w:rsidR="009D4C9D">
        <w:t xml:space="preserve">, </w:t>
      </w:r>
      <w:r w:rsidR="00DA7215">
        <w:t>contributed</w:t>
      </w:r>
      <w:r w:rsidR="000B22B3">
        <w:t xml:space="preserve"> the metal interconnections</w:t>
      </w:r>
      <w:r w:rsidR="00DA7215">
        <w:t xml:space="preserve"> to Fairchild Semiconductor’s first flip-flop circuit</w:t>
      </w:r>
      <w:r w:rsidR="009B0F17">
        <w:t>.</w:t>
      </w:r>
      <w:r w:rsidR="00CC1BF5">
        <w:t xml:space="preserve"> The group set out to fabricate a working direct-coupled transistor logic (DTCL) flip-flop circuit, with two pairs of transistors and a single resistor.</w:t>
      </w:r>
      <w:r w:rsidR="00FA7A00">
        <w:t xml:space="preserve"> Flip-flop circuits, with their two states of operation, could store a single bit of information, a 0 or 1.</w:t>
      </w:r>
      <w:r w:rsidR="008B4711">
        <w:t xml:space="preserve"> An early obstacle of the design stage was</w:t>
      </w:r>
      <w:r w:rsidR="00B962D0">
        <w:t xml:space="preserve"> the</w:t>
      </w:r>
      <w:r w:rsidR="008B4711">
        <w:t xml:space="preserve"> </w:t>
      </w:r>
      <w:r w:rsidR="00260198">
        <w:t>insulat</w:t>
      </w:r>
      <w:r w:rsidR="00B962D0">
        <w:t>ion</w:t>
      </w:r>
      <w:r w:rsidR="00A70961">
        <w:t xml:space="preserve"> </w:t>
      </w:r>
      <w:r w:rsidR="00E73B5C">
        <w:t>of the</w:t>
      </w:r>
      <w:r w:rsidR="00A70961">
        <w:t xml:space="preserve"> components</w:t>
      </w:r>
      <w:r w:rsidR="00B962D0">
        <w:t xml:space="preserve"> from </w:t>
      </w:r>
      <w:r w:rsidR="00E73B5C">
        <w:t>each other</w:t>
      </w:r>
      <w:r w:rsidR="004D262D">
        <w:t>.</w:t>
      </w:r>
      <w:r w:rsidR="004626FC">
        <w:t xml:space="preserve"> </w:t>
      </w:r>
      <w:r w:rsidR="00224F9D">
        <w:t>Last</w:t>
      </w:r>
      <w:r w:rsidR="004626FC">
        <w:t xml:space="preserve"> </w:t>
      </w:r>
      <w:r w:rsidR="00A965B3">
        <w:t xml:space="preserve">first </w:t>
      </w:r>
      <w:r w:rsidR="009D3F10">
        <w:t>suggested</w:t>
      </w:r>
      <w:r w:rsidR="004626FC">
        <w:t xml:space="preserve"> a </w:t>
      </w:r>
      <w:r w:rsidR="008D279A">
        <w:t>physical isolation method</w:t>
      </w:r>
      <w:r w:rsidR="00FC5250">
        <w:t>, filling a deep trench with an epoxy material.</w:t>
      </w:r>
      <w:r w:rsidR="00CF242E">
        <w:rPr>
          <w:rStyle w:val="EndnoteReference"/>
        </w:rPr>
        <w:endnoteReference w:id="59"/>
      </w:r>
      <w:r w:rsidR="007E1A46">
        <w:t xml:space="preserve"> Using a long process (mostly chemical) of employing “epoxy, wave, photoresists, solvents (including acetone and trichloroethylene) and etchants (including hydrofluoric acid, nitric acid, and various mixtures of these acids)” as well as ammonium fluoride and boron and “phosphorus-based gases,” Lionel </w:t>
      </w:r>
      <w:proofErr w:type="spellStart"/>
      <w:r w:rsidR="007E1A46">
        <w:t>Kattner</w:t>
      </w:r>
      <w:proofErr w:type="spellEnd"/>
      <w:r w:rsidR="007E1A46">
        <w:t xml:space="preserve"> successfully fabricated the “first functional planar integrated circuit” in late May 1960. The yield of this process was quite poor; </w:t>
      </w:r>
      <w:proofErr w:type="spellStart"/>
      <w:r w:rsidR="007E1A46">
        <w:t>Kattner</w:t>
      </w:r>
      <w:proofErr w:type="spellEnd"/>
      <w:r w:rsidR="007E1A46">
        <w:t xml:space="preserve"> began “with 27 wafers, each containing 70 potential circuits” and there was only one successful flip-flop</w:t>
      </w:r>
      <w:r w:rsidR="00BC3EE7">
        <w:t>.</w:t>
      </w:r>
      <w:r w:rsidR="007E1A46">
        <w:t xml:space="preserve"> </w:t>
      </w:r>
      <w:r w:rsidR="00BC3EE7">
        <w:t>Nonetheless</w:t>
      </w:r>
      <w:r w:rsidR="00C63F1F">
        <w:t>,</w:t>
      </w:r>
      <w:r w:rsidR="007E1A46">
        <w:t xml:space="preserve"> this</w:t>
      </w:r>
      <w:r w:rsidR="006B3499">
        <w:t xml:space="preserve"> single integrated circuit</w:t>
      </w:r>
      <w:r w:rsidR="007E1A46">
        <w:t xml:space="preserve"> provided the necessary proof of concept.</w:t>
      </w:r>
      <w:r w:rsidR="007E1A46">
        <w:rPr>
          <w:rStyle w:val="EndnoteReference"/>
        </w:rPr>
        <w:endnoteReference w:id="60"/>
      </w:r>
    </w:p>
    <w:p w14:paraId="70159E32" w14:textId="362E9587" w:rsidR="005C3820" w:rsidRDefault="002A01DE" w:rsidP="00CE7095">
      <w:pPr>
        <w:spacing w:line="480" w:lineRule="auto"/>
        <w:ind w:firstLine="720"/>
      </w:pPr>
      <w:r>
        <w:t xml:space="preserve">Developments of these early </w:t>
      </w:r>
      <w:r w:rsidR="00FF4FC7">
        <w:t>flip-flop circuit</w:t>
      </w:r>
      <w:r>
        <w:t xml:space="preserve"> design</w:t>
      </w:r>
      <w:r w:rsidR="009D7529">
        <w:t>s</w:t>
      </w:r>
      <w:r>
        <w:t xml:space="preserve"> revealed problems pertaining </w:t>
      </w:r>
      <w:r w:rsidR="00D33146">
        <w:t>to their</w:t>
      </w:r>
      <w:r>
        <w:t xml:space="preserve"> reliability and </w:t>
      </w:r>
      <w:r w:rsidR="003B1181">
        <w:t>physical</w:t>
      </w:r>
      <w:r>
        <w:t xml:space="preserve"> isolation methods. </w:t>
      </w:r>
      <w:r w:rsidR="005B194B">
        <w:t xml:space="preserve">The Micrologic group </w:t>
      </w:r>
      <w:r w:rsidR="00DE5A55">
        <w:t>by</w:t>
      </w:r>
      <w:r w:rsidR="005B194B">
        <w:t xml:space="preserve"> mid-1960</w:t>
      </w:r>
      <w:r w:rsidR="009B1BBF">
        <w:t xml:space="preserve"> had</w:t>
      </w:r>
      <w:r w:rsidR="005B194B">
        <w:t xml:space="preserve"> beg</w:t>
      </w:r>
      <w:r w:rsidR="009B1BBF">
        <w:t>u</w:t>
      </w:r>
      <w:r w:rsidR="005B194B">
        <w:t xml:space="preserve">n to </w:t>
      </w:r>
      <w:r w:rsidR="00DE5A55">
        <w:t>en</w:t>
      </w:r>
      <w:r w:rsidR="005B194B">
        <w:t>counter issues with the epoxy</w:t>
      </w:r>
      <w:r w:rsidR="00081C95">
        <w:t>,</w:t>
      </w:r>
      <w:r w:rsidR="005B194B">
        <w:t xml:space="preserve"> which would expand and contract </w:t>
      </w:r>
      <w:r w:rsidR="000A1C9A">
        <w:t xml:space="preserve">during extreme temperature </w:t>
      </w:r>
      <w:r w:rsidR="00711F2C">
        <w:t>tests</w:t>
      </w:r>
      <w:r w:rsidR="005B194B">
        <w:t xml:space="preserve"> </w:t>
      </w:r>
      <w:r w:rsidR="00AA0BA7">
        <w:t>to m</w:t>
      </w:r>
      <w:r w:rsidR="00652927">
        <w:t>andated by military specifications</w:t>
      </w:r>
      <w:r w:rsidR="00AA0BA7">
        <w:t>.</w:t>
      </w:r>
      <w:r w:rsidR="003A5816">
        <w:t xml:space="preserve"> </w:t>
      </w:r>
      <w:r w:rsidR="00B7137C">
        <w:t>These resulted</w:t>
      </w:r>
      <w:r w:rsidR="003A5816">
        <w:t xml:space="preserve"> in </w:t>
      </w:r>
      <w:r w:rsidR="003F2E72">
        <w:t>broken interconnections and cracked silicon oxide layers.</w:t>
      </w:r>
      <w:r w:rsidR="003C7BF8">
        <w:t xml:space="preserve"> </w:t>
      </w:r>
      <w:proofErr w:type="spellStart"/>
      <w:r w:rsidR="003C7BF8">
        <w:t>Isy</w:t>
      </w:r>
      <w:proofErr w:type="spellEnd"/>
      <w:r w:rsidR="003C7BF8">
        <w:t xml:space="preserve"> Haas</w:t>
      </w:r>
      <w:r w:rsidR="00ED44B2">
        <w:t>, another Micrologic team member,</w:t>
      </w:r>
      <w:r w:rsidR="003C7BF8">
        <w:t xml:space="preserve"> worked with Lionel </w:t>
      </w:r>
      <w:proofErr w:type="spellStart"/>
      <w:r w:rsidR="003C7BF8">
        <w:lastRenderedPageBreak/>
        <w:t>Kattner</w:t>
      </w:r>
      <w:proofErr w:type="spellEnd"/>
      <w:r w:rsidR="003C7BF8">
        <w:t xml:space="preserve"> to explore a method of “electrical isolation” which would use diffusion methods</w:t>
      </w:r>
      <w:r w:rsidR="00DF49E3">
        <w:t xml:space="preserve">. The two of them began to develop a method which </w:t>
      </w:r>
      <w:r w:rsidR="002B782C">
        <w:t>used alternating long diffusions of methyl borate</w:t>
      </w:r>
      <w:r w:rsidR="00663FBD">
        <w:t>.</w:t>
      </w:r>
      <w:r w:rsidR="0049452E">
        <w:t xml:space="preserve"> </w:t>
      </w:r>
      <w:r w:rsidR="00663FBD">
        <w:t xml:space="preserve">This step </w:t>
      </w:r>
      <w:r w:rsidR="00E93564">
        <w:t>combined</w:t>
      </w:r>
      <w:r w:rsidR="00663FBD">
        <w:t xml:space="preserve"> </w:t>
      </w:r>
      <w:r w:rsidR="00E93564">
        <w:t>with</w:t>
      </w:r>
      <w:r w:rsidR="002B782C">
        <w:t xml:space="preserve"> photomasking techniques </w:t>
      </w:r>
      <w:r w:rsidR="00663FBD">
        <w:t>created</w:t>
      </w:r>
      <w:r w:rsidR="002B782C">
        <w:t xml:space="preserve"> a “P-type well that would isolate NPN transistors from </w:t>
      </w:r>
      <w:proofErr w:type="spellStart"/>
      <w:r w:rsidR="002B782C">
        <w:t>eachother</w:t>
      </w:r>
      <w:proofErr w:type="spellEnd"/>
      <w:r w:rsidR="002B782C">
        <w:t>.”</w:t>
      </w:r>
      <w:r w:rsidR="00BB64E0">
        <w:t xml:space="preserve"> This new design looked very much like Jay Last’s “physically isolate</w:t>
      </w:r>
      <w:r w:rsidR="00F932D2">
        <w:t xml:space="preserve">d integrated circuit” but the regions filled with </w:t>
      </w:r>
      <w:r w:rsidR="002231F4">
        <w:t>epoxy</w:t>
      </w:r>
      <w:r w:rsidR="00F932D2">
        <w:t xml:space="preserve"> were replaced with diffused silicon.</w:t>
      </w:r>
      <w:r w:rsidR="00293FB9">
        <w:rPr>
          <w:rStyle w:val="EndnoteReference"/>
        </w:rPr>
        <w:endnoteReference w:id="61"/>
      </w:r>
      <w:r w:rsidR="00E31F63">
        <w:t xml:space="preserve"> </w:t>
      </w:r>
      <w:r w:rsidR="00D73471">
        <w:t xml:space="preserve">By September 1960, </w:t>
      </w:r>
      <w:proofErr w:type="spellStart"/>
      <w:r w:rsidR="007C638A">
        <w:t>Isy</w:t>
      </w:r>
      <w:proofErr w:type="spellEnd"/>
      <w:r w:rsidR="007C638A">
        <w:t xml:space="preserve"> Haas</w:t>
      </w:r>
      <w:r w:rsidR="002D69B9">
        <w:t xml:space="preserve"> </w:t>
      </w:r>
      <w:r w:rsidR="007C638A">
        <w:t xml:space="preserve">and Lionel </w:t>
      </w:r>
      <w:proofErr w:type="spellStart"/>
      <w:r w:rsidR="007C638A">
        <w:t>Kattner</w:t>
      </w:r>
      <w:proofErr w:type="spellEnd"/>
      <w:r w:rsidR="00962052">
        <w:t xml:space="preserve"> successfully</w:t>
      </w:r>
      <w:r w:rsidR="007C638A">
        <w:t xml:space="preserve"> fabricated fully functional electrically isolated flip-flops. Jay Last </w:t>
      </w:r>
      <w:r w:rsidR="00682EBE">
        <w:t>noticed</w:t>
      </w:r>
      <w:r w:rsidR="007C638A">
        <w:t xml:space="preserve"> these promising developments </w:t>
      </w:r>
      <w:r w:rsidR="00682EBE">
        <w:t>and funneled more resources to</w:t>
      </w:r>
      <w:r w:rsidR="007C638A">
        <w:t xml:space="preserve"> the</w:t>
      </w:r>
      <w:r w:rsidR="001F5021">
        <w:t>ir</w:t>
      </w:r>
      <w:r w:rsidR="007C638A">
        <w:t xml:space="preserve"> electrical isolatio</w:t>
      </w:r>
      <w:r w:rsidR="00682EBE">
        <w:t>n</w:t>
      </w:r>
      <w:r w:rsidR="007C638A">
        <w:t xml:space="preserve"> </w:t>
      </w:r>
      <w:r w:rsidR="001F5021">
        <w:t>initiativ</w:t>
      </w:r>
      <w:r w:rsidR="00682EBE">
        <w:t>e</w:t>
      </w:r>
      <w:r w:rsidR="007C638A">
        <w:t>.</w:t>
      </w:r>
      <w:r w:rsidR="00962052">
        <w:rPr>
          <w:rStyle w:val="EndnoteReference"/>
        </w:rPr>
        <w:endnoteReference w:id="62"/>
      </w:r>
      <w:r w:rsidR="007C638A">
        <w:t xml:space="preserve"> </w:t>
      </w:r>
      <w:r w:rsidR="00F26BAA">
        <w:t>While</w:t>
      </w:r>
      <w:r w:rsidR="00534F6D">
        <w:t xml:space="preserve"> both</w:t>
      </w:r>
      <w:r w:rsidR="00F26BAA">
        <w:t xml:space="preserve"> technical design and fabrication of the integrated circuits w</w:t>
      </w:r>
      <w:r w:rsidR="00716B73">
        <w:t>ere developing fruitfully,</w:t>
      </w:r>
      <w:r w:rsidR="005C3820">
        <w:t xml:space="preserve"> there were elements within the company that began to cast doubt upon Fairchild Semiconductor’s new </w:t>
      </w:r>
      <w:r w:rsidR="0084333C">
        <w:t xml:space="preserve">focus on ICs and </w:t>
      </w:r>
      <w:proofErr w:type="spellStart"/>
      <w:r w:rsidR="0084333C">
        <w:t>microcircuitry</w:t>
      </w:r>
      <w:proofErr w:type="spellEnd"/>
      <w:r w:rsidR="005C3820">
        <w:t xml:space="preserve">. </w:t>
      </w:r>
    </w:p>
    <w:p w14:paraId="0FC04AF1" w14:textId="17BA1B09" w:rsidR="000F397A" w:rsidRDefault="00EC5C85" w:rsidP="00CE7095">
      <w:pPr>
        <w:spacing w:line="480" w:lineRule="auto"/>
        <w:ind w:firstLine="720"/>
      </w:pPr>
      <w:r>
        <w:t>Jay Last was scheduled to give a talk to</w:t>
      </w:r>
      <w:r w:rsidR="002541D5">
        <w:t xml:space="preserve"> appease</w:t>
      </w:r>
      <w:r>
        <w:t xml:space="preserve"> </w:t>
      </w:r>
      <w:r w:rsidR="002541D5">
        <w:t xml:space="preserve">internal dissenting voices within the </w:t>
      </w:r>
      <w:r w:rsidR="001A0885">
        <w:t>company and</w:t>
      </w:r>
      <w:r w:rsidR="00040138">
        <w:t xml:space="preserve"> defend </w:t>
      </w:r>
      <w:r w:rsidR="00D80E2F">
        <w:t xml:space="preserve">its </w:t>
      </w:r>
      <w:r w:rsidR="001105A8">
        <w:t>new</w:t>
      </w:r>
      <w:r w:rsidR="00AC5654">
        <w:t xml:space="preserve"> </w:t>
      </w:r>
      <w:r w:rsidR="004F630B">
        <w:t xml:space="preserve">strategic </w:t>
      </w:r>
      <w:r w:rsidR="00AC5654">
        <w:t>shift</w:t>
      </w:r>
      <w:r w:rsidR="00D72A6A">
        <w:t>s</w:t>
      </w:r>
      <w:r>
        <w:t>.</w:t>
      </w:r>
      <w:r w:rsidR="00AF6832">
        <w:t xml:space="preserve"> </w:t>
      </w:r>
      <w:r w:rsidR="00DE14B4">
        <w:t xml:space="preserve">During a September management </w:t>
      </w:r>
      <w:r w:rsidR="009B6448">
        <w:t>meeting</w:t>
      </w:r>
      <w:r w:rsidR="00D42CEB">
        <w:t>,</w:t>
      </w:r>
      <w:r w:rsidR="009B6448">
        <w:t xml:space="preserve"> </w:t>
      </w:r>
      <w:r w:rsidR="00877217">
        <w:t xml:space="preserve">head of sales and marketing, </w:t>
      </w:r>
      <w:r w:rsidR="009B6448">
        <w:t>Thomas Bay voiced his displeasure</w:t>
      </w:r>
      <w:r w:rsidR="009554D7">
        <w:t>. He</w:t>
      </w:r>
      <w:r w:rsidR="002541D5">
        <w:t xml:space="preserve"> </w:t>
      </w:r>
      <w:r w:rsidR="00D07C35">
        <w:t>fired</w:t>
      </w:r>
      <w:r w:rsidR="002541D5">
        <w:t xml:space="preserve"> “that the Micrologic program should be shut down.” </w:t>
      </w:r>
      <w:r w:rsidR="001A0885">
        <w:t>Last’s talk surveyed their competitors, citing “RCA, Sylvania, and Varo.”</w:t>
      </w:r>
      <w:r w:rsidR="003F0A3B">
        <w:t xml:space="preserve"> RCA, with “$15.4 million in R&amp;D contracts” from the military, </w:t>
      </w:r>
      <w:r w:rsidR="00005542">
        <w:t>was working on micromodules</w:t>
      </w:r>
      <w:r w:rsidR="004572D0">
        <w:t>:</w:t>
      </w:r>
      <w:r w:rsidR="00005542">
        <w:t xml:space="preserve"> “stacks of small ceramic plates, with electronic components affixed to the plates. These stacks were then encapsulated in plastic.” </w:t>
      </w:r>
      <w:r w:rsidR="00F960C5">
        <w:t xml:space="preserve">Sylvania was working to produce a compact “pancake” conception of the traditional transistor package </w:t>
      </w:r>
      <w:r w:rsidR="006B05F6">
        <w:t>to fulfill a Signal Corps contract</w:t>
      </w:r>
      <w:r w:rsidR="00816D2A">
        <w:t>.</w:t>
      </w:r>
      <w:r w:rsidR="006B05F6">
        <w:t xml:space="preserve"> </w:t>
      </w:r>
      <w:r w:rsidR="002C0CAE">
        <w:t>Varo Inc.</w:t>
      </w:r>
      <w:r w:rsidR="00204BB2">
        <w:t xml:space="preserve"> was contracted by “the Office of </w:t>
      </w:r>
      <w:r w:rsidR="00F6143C">
        <w:t>Naval Research to make thin-film circuits…circuits in which transistors and passive components were formed from layers of film, deposited on a substrate.”</w:t>
      </w:r>
      <w:r w:rsidR="004D1004">
        <w:rPr>
          <w:rStyle w:val="EndnoteReference"/>
        </w:rPr>
        <w:endnoteReference w:id="63"/>
      </w:r>
      <w:r w:rsidR="009C3F0F">
        <w:t xml:space="preserve"> </w:t>
      </w:r>
      <w:r w:rsidR="00502427">
        <w:t>Last</w:t>
      </w:r>
      <w:r w:rsidR="009C3F0F">
        <w:t xml:space="preserve"> also cited the potential cost savings and reliability gains from integrated circuits</w:t>
      </w:r>
      <w:r w:rsidR="00502427">
        <w:t>.</w:t>
      </w:r>
      <w:r w:rsidR="00DB07E3">
        <w:t xml:space="preserve"> He</w:t>
      </w:r>
      <w:r w:rsidR="009C3F0F">
        <w:t xml:space="preserve"> stat</w:t>
      </w:r>
      <w:r w:rsidR="00DB07E3">
        <w:t>ed</w:t>
      </w:r>
      <w:r w:rsidR="009C3F0F">
        <w:t xml:space="preserve"> that integrated circuits would eventually be more reliable than hybrid circuits </w:t>
      </w:r>
      <w:r w:rsidR="00A56319">
        <w:t>and</w:t>
      </w:r>
      <w:r w:rsidR="009C3F0F">
        <w:t xml:space="preserve"> requir</w:t>
      </w:r>
      <w:r w:rsidR="00A56319">
        <w:t>e</w:t>
      </w:r>
      <w:r w:rsidR="009C3F0F">
        <w:t xml:space="preserve"> less </w:t>
      </w:r>
      <w:r w:rsidR="002413FD">
        <w:lastRenderedPageBreak/>
        <w:t>semiconductor</w:t>
      </w:r>
      <w:r w:rsidR="009C3F0F">
        <w:t xml:space="preserve"> material</w:t>
      </w:r>
      <w:r w:rsidR="002413FD">
        <w:t>.</w:t>
      </w:r>
      <w:r w:rsidR="002413FD">
        <w:rPr>
          <w:rStyle w:val="EndnoteReference"/>
        </w:rPr>
        <w:endnoteReference w:id="64"/>
      </w:r>
      <w:r w:rsidR="000F397A">
        <w:t xml:space="preserve"> After </w:t>
      </w:r>
      <w:r w:rsidR="001D490C">
        <w:t>the firm</w:t>
      </w:r>
      <w:r w:rsidR="000F397A">
        <w:t xml:space="preserve"> successfully began</w:t>
      </w:r>
      <w:r w:rsidR="007E19B6">
        <w:t xml:space="preserve"> scaling</w:t>
      </w:r>
      <w:r w:rsidR="000F397A">
        <w:t xml:space="preserve"> </w:t>
      </w:r>
      <w:r w:rsidR="007E19B6">
        <w:t>production of</w:t>
      </w:r>
      <w:r w:rsidR="000F397A">
        <w:t xml:space="preserve"> </w:t>
      </w:r>
      <w:r w:rsidR="007E19B6">
        <w:t>its</w:t>
      </w:r>
      <w:r w:rsidR="000F397A">
        <w:t xml:space="preserve"> integrated circuits, demand for </w:t>
      </w:r>
      <w:r w:rsidR="00856FD7">
        <w:t>these</w:t>
      </w:r>
      <w:r w:rsidR="000F397A">
        <w:t xml:space="preserve"> products picked up slowly.</w:t>
      </w:r>
    </w:p>
    <w:p w14:paraId="67EEA978" w14:textId="4E91829F" w:rsidR="00EC5C85" w:rsidRDefault="00C23B42" w:rsidP="00CE7095">
      <w:pPr>
        <w:spacing w:line="480" w:lineRule="auto"/>
        <w:ind w:firstLine="720"/>
      </w:pPr>
      <w:r>
        <w:t>By 1961, the company had acquired</w:t>
      </w:r>
      <w:r w:rsidR="00B71DBF">
        <w:t xml:space="preserve"> only</w:t>
      </w:r>
      <w:r>
        <w:t xml:space="preserve"> two major orders from both AC Spark Plug Division of General Motors and MIT’s Instrumentation Laboratory</w:t>
      </w:r>
      <w:r w:rsidR="008C44A7">
        <w:t>, which went on to construct an Apollo guidance computer using Fairchild Semiconductor Micrologic products.</w:t>
      </w:r>
      <w:r w:rsidR="00030644">
        <w:t xml:space="preserve"> Integrated </w:t>
      </w:r>
      <w:r w:rsidR="00BC76B0">
        <w:t>c</w:t>
      </w:r>
      <w:r w:rsidR="00030644">
        <w:t>ircuit sales in 1961 and 1962 were only $500,000 and $1.1 million respectively.</w:t>
      </w:r>
      <w:r w:rsidR="00030644">
        <w:rPr>
          <w:rStyle w:val="EndnoteReference"/>
        </w:rPr>
        <w:endnoteReference w:id="65"/>
      </w:r>
      <w:r w:rsidR="00CE7B18">
        <w:t xml:space="preserve"> Sales picked up dramatically after 1963 when the military forced contractors to use </w:t>
      </w:r>
      <w:proofErr w:type="spellStart"/>
      <w:r w:rsidR="00CE7B18">
        <w:t>microcircuitry</w:t>
      </w:r>
      <w:proofErr w:type="spellEnd"/>
      <w:r w:rsidR="00CE7B18">
        <w:t xml:space="preserve"> in its new weapon systems.</w:t>
      </w:r>
      <w:r w:rsidR="000F397A">
        <w:t xml:space="preserve"> </w:t>
      </w:r>
      <w:r w:rsidR="00CE7B18">
        <w:t xml:space="preserve">Integrated circuits faced tough competition from hybrid circuits up through 1965, and </w:t>
      </w:r>
      <w:r w:rsidR="007222C7">
        <w:t>leading</w:t>
      </w:r>
      <w:r w:rsidR="00CE7B18">
        <w:t xml:space="preserve"> semiconductor experts rigorously debated </w:t>
      </w:r>
      <w:r w:rsidR="002320DF">
        <w:t>th</w:t>
      </w:r>
      <w:r w:rsidR="004C0B4B">
        <w:t>is rivalry at</w:t>
      </w:r>
      <w:r w:rsidR="00CE7B18">
        <w:t xml:space="preserve"> </w:t>
      </w:r>
      <w:r w:rsidR="00BB563D">
        <w:t xml:space="preserve">conventions like the International </w:t>
      </w:r>
      <w:proofErr w:type="gramStart"/>
      <w:r w:rsidR="00BB563D">
        <w:t>Solid State</w:t>
      </w:r>
      <w:proofErr w:type="gramEnd"/>
      <w:r w:rsidR="00BB563D">
        <w:t xml:space="preserve"> Circuits Conference. </w:t>
      </w:r>
      <w:r w:rsidR="00AB61FB">
        <w:t xml:space="preserve">After 1965, semiconductor companies improved integrated circuit </w:t>
      </w:r>
      <w:r w:rsidR="00CB549F">
        <w:t xml:space="preserve">production </w:t>
      </w:r>
      <w:r w:rsidR="00587CF8">
        <w:t>and ICs became</w:t>
      </w:r>
      <w:r w:rsidR="00CB549F">
        <w:t xml:space="preserve"> both cheaper and faster than both hybrid circuits and circuits with discrete components.</w:t>
      </w:r>
      <w:r w:rsidR="00AD1382">
        <w:t xml:space="preserve"> I</w:t>
      </w:r>
      <w:r w:rsidR="00CB549F">
        <w:t>ndustry wide integrated circuit sales</w:t>
      </w:r>
      <w:r w:rsidR="00AD1382">
        <w:t xml:space="preserve"> for the year</w:t>
      </w:r>
      <w:r w:rsidR="00CB549F">
        <w:t xml:space="preserve"> catapulted</w:t>
      </w:r>
      <w:r w:rsidR="001D003F">
        <w:t xml:space="preserve"> to $120 million and continued </w:t>
      </w:r>
      <w:r w:rsidR="00C911BB">
        <w:t>at an</w:t>
      </w:r>
      <w:r w:rsidR="001D003F">
        <w:t xml:space="preserve"> astonishing </w:t>
      </w:r>
      <w:r w:rsidR="00C911BB">
        <w:t>rate</w:t>
      </w:r>
      <w:r w:rsidR="001D003F">
        <w:t xml:space="preserve"> in subsequent </w:t>
      </w:r>
      <w:r w:rsidR="009E284D">
        <w:t>years</w:t>
      </w:r>
      <w:r w:rsidR="001D003F">
        <w:t>.</w:t>
      </w:r>
      <w:r w:rsidR="00CB549F">
        <w:t xml:space="preserve">  </w:t>
      </w:r>
    </w:p>
    <w:p w14:paraId="5B2EAF74" w14:textId="577CC2BC" w:rsidR="007124F1" w:rsidRDefault="007124F1" w:rsidP="009C1E2F">
      <w:pPr>
        <w:spacing w:line="480" w:lineRule="auto"/>
        <w:ind w:firstLine="720"/>
      </w:pPr>
      <w:r>
        <w:t>Many of the innovations that Fairchild</w:t>
      </w:r>
      <w:r w:rsidR="00374661">
        <w:t xml:space="preserve"> Semiconductor</w:t>
      </w:r>
      <w:r>
        <w:t xml:space="preserve">’s employees pioneered in their early </w:t>
      </w:r>
      <w:r w:rsidR="00E3467F">
        <w:t>years</w:t>
      </w:r>
      <w:r>
        <w:t xml:space="preserve"> continue to be used in the modern semiconductor industry. Several of its original founders would go on to </w:t>
      </w:r>
      <w:r w:rsidR="00E3467F">
        <w:t>create</w:t>
      </w:r>
      <w:r>
        <w:t xml:space="preserve"> monolithic, mainstay companies like Intel which further continued developments in miniaturization and consumer electronics.</w:t>
      </w:r>
      <w:r>
        <w:rPr>
          <w:rStyle w:val="EndnoteReference"/>
        </w:rPr>
        <w:endnoteReference w:id="66"/>
      </w:r>
      <w:r>
        <w:t xml:space="preserve"> </w:t>
      </w:r>
      <w:r w:rsidR="00F464D9">
        <w:t>The pace of semiconductor and integrated circuit development at the time</w:t>
      </w:r>
      <w:r w:rsidR="00A14383">
        <w:t xml:space="preserve"> was moving quickly</w:t>
      </w:r>
      <w:r w:rsidR="005C0399">
        <w:t>.</w:t>
      </w:r>
      <w:r w:rsidR="00F464D9">
        <w:t xml:space="preserve"> </w:t>
      </w:r>
      <w:r w:rsidR="00227718">
        <w:t>Fairchild Semiconductor</w:t>
      </w:r>
      <w:r w:rsidR="005C0399">
        <w:t xml:space="preserve"> </w:t>
      </w:r>
      <w:r w:rsidR="00F464D9">
        <w:t xml:space="preserve">simply could not exploit every </w:t>
      </w:r>
      <w:r w:rsidR="005B60DF">
        <w:t>possible technological opportunity</w:t>
      </w:r>
      <w:r w:rsidR="00795941">
        <w:t xml:space="preserve">. </w:t>
      </w:r>
      <w:r w:rsidR="00DC3693">
        <w:t>Thus,</w:t>
      </w:r>
      <w:r w:rsidR="00795941">
        <w:t xml:space="preserve"> </w:t>
      </w:r>
      <w:r w:rsidR="00DE7918">
        <w:t xml:space="preserve">it </w:t>
      </w:r>
      <w:r w:rsidR="009424B3">
        <w:t>was common</w:t>
      </w:r>
      <w:r w:rsidR="00DE7918">
        <w:t xml:space="preserve"> for</w:t>
      </w:r>
      <w:r w:rsidR="009424B3">
        <w:t xml:space="preserve"> </w:t>
      </w:r>
      <w:r w:rsidR="00DE7918">
        <w:t>Fairchild Semiconducto</w:t>
      </w:r>
      <w:r w:rsidR="00071BB6">
        <w:t>r’s employees</w:t>
      </w:r>
      <w:r w:rsidR="00DE7918">
        <w:t xml:space="preserve"> to split off </w:t>
      </w:r>
      <w:r w:rsidR="00354E08">
        <w:t xml:space="preserve">and form companies </w:t>
      </w:r>
      <w:r w:rsidR="009424B3">
        <w:t>such as</w:t>
      </w:r>
      <w:r w:rsidR="00354E08">
        <w:t xml:space="preserve"> </w:t>
      </w:r>
      <w:proofErr w:type="spellStart"/>
      <w:r w:rsidR="00354E08">
        <w:t>Amelco</w:t>
      </w:r>
      <w:proofErr w:type="spellEnd"/>
      <w:r w:rsidR="00354E08">
        <w:t xml:space="preserve"> Semiconductor and </w:t>
      </w:r>
      <w:proofErr w:type="spellStart"/>
      <w:r w:rsidR="00354E08">
        <w:t>Signetics</w:t>
      </w:r>
      <w:proofErr w:type="spellEnd"/>
      <w:r w:rsidR="00D82122">
        <w:t xml:space="preserve">, </w:t>
      </w:r>
      <w:r w:rsidR="00354E08">
        <w:t>both est</w:t>
      </w:r>
      <w:r w:rsidR="00DE1478">
        <w:t>ablished</w:t>
      </w:r>
      <w:r w:rsidR="00354E08">
        <w:t xml:space="preserve"> 1961.</w:t>
      </w:r>
      <w:r w:rsidR="00354E08">
        <w:rPr>
          <w:rStyle w:val="EndnoteReference"/>
        </w:rPr>
        <w:endnoteReference w:id="67"/>
      </w:r>
      <w:r w:rsidR="00F464D9">
        <w:t xml:space="preserve"> </w:t>
      </w:r>
      <w:r>
        <w:t xml:space="preserve">Gordon Moore, speaking about Fairchild’s legacy, emphasized the development of the </w:t>
      </w:r>
      <w:r w:rsidR="00A92EE9">
        <w:t>mainstay</w:t>
      </w:r>
      <w:r>
        <w:t xml:space="preserve"> processes of fabrication such as lithography</w:t>
      </w:r>
      <w:r w:rsidR="00A92EE9">
        <w:t xml:space="preserve">. </w:t>
      </w:r>
      <w:r w:rsidR="009310F4">
        <w:t>Prior to the company’s arrival,</w:t>
      </w:r>
      <w:r w:rsidR="00A92EE9">
        <w:t xml:space="preserve"> lithography</w:t>
      </w:r>
      <w:r>
        <w:t xml:space="preserve"> had “only been done in the laboratory” </w:t>
      </w:r>
      <w:r>
        <w:lastRenderedPageBreak/>
        <w:t>while Fairchild</w:t>
      </w:r>
      <w:r w:rsidR="00994BB1">
        <w:t>’s founders</w:t>
      </w:r>
      <w:r>
        <w:t xml:space="preserve"> </w:t>
      </w:r>
      <w:r w:rsidR="00DC09E5">
        <w:t xml:space="preserve">actually </w:t>
      </w:r>
      <w:r>
        <w:t>took these techniques into production.</w:t>
      </w:r>
      <w:r>
        <w:rPr>
          <w:rStyle w:val="EndnoteReference"/>
        </w:rPr>
        <w:endnoteReference w:id="68"/>
      </w:r>
      <w:r w:rsidR="002B3BB3">
        <w:t xml:space="preserve"> Noyce described how companies such as </w:t>
      </w:r>
      <w:proofErr w:type="spellStart"/>
      <w:r w:rsidR="002B3BB3">
        <w:t>Philco</w:t>
      </w:r>
      <w:proofErr w:type="spellEnd"/>
      <w:r w:rsidR="002B3BB3">
        <w:t xml:space="preserve"> were </w:t>
      </w:r>
      <w:r w:rsidR="002433D2">
        <w:t>conceptualizing</w:t>
      </w:r>
      <w:r w:rsidR="002B3BB3">
        <w:t xml:space="preserve"> </w:t>
      </w:r>
      <w:proofErr w:type="spellStart"/>
      <w:r w:rsidR="002B3BB3">
        <w:t>photolithograph</w:t>
      </w:r>
      <w:r w:rsidR="002433D2">
        <w:t>ical</w:t>
      </w:r>
      <w:proofErr w:type="spellEnd"/>
      <w:r w:rsidR="002433D2">
        <w:t xml:space="preserve"> techniques</w:t>
      </w:r>
      <w:r w:rsidR="001C43A5">
        <w:t>, “reproduce[</w:t>
      </w:r>
      <w:proofErr w:type="spellStart"/>
      <w:r w:rsidR="001C43A5">
        <w:t>ing</w:t>
      </w:r>
      <w:proofErr w:type="spellEnd"/>
      <w:r w:rsidR="001C43A5">
        <w:t>] very fine geometric patterns just by taking a picture</w:t>
      </w:r>
      <w:r w:rsidR="006804DF">
        <w:t>.</w:t>
      </w:r>
      <w:r w:rsidR="001C43A5">
        <w:t>”</w:t>
      </w:r>
      <w:r w:rsidR="006804DF">
        <w:t xml:space="preserve"> Fairchild Semiconductor</w:t>
      </w:r>
      <w:r w:rsidR="00DC7B42">
        <w:t xml:space="preserve"> </w:t>
      </w:r>
      <w:r w:rsidR="00972C40">
        <w:t>repurposed</w:t>
      </w:r>
      <w:r w:rsidR="00DC7B42">
        <w:t xml:space="preserve"> these ideas </w:t>
      </w:r>
      <w:r w:rsidR="00972C40">
        <w:t>to</w:t>
      </w:r>
      <w:r w:rsidR="00DC7B42">
        <w:t xml:space="preserve"> mak</w:t>
      </w:r>
      <w:r w:rsidR="00963FC8">
        <w:t>e</w:t>
      </w:r>
      <w:r w:rsidR="00DC7B42">
        <w:t xml:space="preserve"> double-diffused </w:t>
      </w:r>
      <w:r w:rsidR="002F1D74">
        <w:t xml:space="preserve">silicon </w:t>
      </w:r>
      <w:r w:rsidR="00DC7B42">
        <w:t>transistors.</w:t>
      </w:r>
      <w:r w:rsidR="00DC7B42">
        <w:rPr>
          <w:rStyle w:val="EndnoteReference"/>
        </w:rPr>
        <w:endnoteReference w:id="69"/>
      </w:r>
      <w:r>
        <w:t xml:space="preserve"> Jean </w:t>
      </w:r>
      <w:proofErr w:type="spellStart"/>
      <w:r>
        <w:t>Hoerni’s</w:t>
      </w:r>
      <w:proofErr w:type="spellEnd"/>
      <w:r>
        <w:t xml:space="preserve"> planar process and</w:t>
      </w:r>
      <w:r w:rsidR="008D6C0D">
        <w:t xml:space="preserve"> its</w:t>
      </w:r>
      <w:r>
        <w:t xml:space="preserve"> subsequent licensing to other companies allowed the technique to proliferate until it established itself as a mainstay of “modern billion-transistor microprocessors and memories” companies today.</w:t>
      </w:r>
      <w:r>
        <w:rPr>
          <w:rStyle w:val="EndnoteReference"/>
        </w:rPr>
        <w:endnoteReference w:id="70"/>
      </w:r>
    </w:p>
    <w:p w14:paraId="40C6658B" w14:textId="78548553" w:rsidR="007124F1" w:rsidRDefault="007124F1" w:rsidP="009C1E2F">
      <w:pPr>
        <w:spacing w:line="480" w:lineRule="auto"/>
        <w:ind w:firstLine="720"/>
      </w:pPr>
      <w:r>
        <w:t>Gordon Moore</w:t>
      </w:r>
      <w:r w:rsidR="00CC3113">
        <w:t>, while still at Fairchild Semiconductor,</w:t>
      </w:r>
      <w:r>
        <w:t xml:space="preserve"> lent the modern semiconductor industry “Moore’s Law.” In 1965, using Fairchild</w:t>
      </w:r>
      <w:r w:rsidR="00CA00A3">
        <w:t xml:space="preserve"> Semiconductor</w:t>
      </w:r>
      <w:r>
        <w:t>’s data,</w:t>
      </w:r>
      <w:r w:rsidR="004F0402">
        <w:t xml:space="preserve"> Moore</w:t>
      </w:r>
      <w:r>
        <w:t xml:space="preserve"> </w:t>
      </w:r>
      <w:r w:rsidR="005F7CD6">
        <w:t>noted</w:t>
      </w:r>
      <w:r w:rsidR="006B42DB">
        <w:t xml:space="preserve"> the growth trend of</w:t>
      </w:r>
      <w:r>
        <w:t xml:space="preserve"> the “number of components per IC for minimum cost per component developed by Fairchild between 1959 and 1964.” After </w:t>
      </w:r>
      <w:r w:rsidR="00B807CF">
        <w:t>extrapolating</w:t>
      </w:r>
      <w:r>
        <w:t xml:space="preserve"> the growth trend to 1975, he predicted “that the practical number of components per chip would reach 64,000, doubling every 12 months.</w:t>
      </w:r>
      <w:r w:rsidR="00172D80">
        <w:t>”</w:t>
      </w:r>
      <w:r>
        <w:t xml:space="preserve"> His follow up </w:t>
      </w:r>
      <w:r w:rsidR="003F6889">
        <w:t>in</w:t>
      </w:r>
      <w:r>
        <w:t xml:space="preserve"> 1975 proved his early prediction. Moore later </w:t>
      </w:r>
      <w:r w:rsidR="00B807CF">
        <w:t>adjusted</w:t>
      </w:r>
      <w:r>
        <w:t xml:space="preserve"> his </w:t>
      </w:r>
      <w:r w:rsidR="00C13CF8">
        <w:t xml:space="preserve">earlier </w:t>
      </w:r>
      <w:r>
        <w:t>hypothesis to</w:t>
      </w:r>
      <w:r w:rsidR="00C13CF8">
        <w:t xml:space="preserve"> state that integrated circuit</w:t>
      </w:r>
      <w:r w:rsidR="00D25BB4">
        <w:t>s’ transistor density</w:t>
      </w:r>
      <w:r w:rsidR="00C13CF8">
        <w:t xml:space="preserve"> would</w:t>
      </w:r>
      <w:r>
        <w:t xml:space="preserve"> “</w:t>
      </w:r>
      <w:proofErr w:type="spellStart"/>
      <w:r>
        <w:t>doubl</w:t>
      </w:r>
      <w:proofErr w:type="spellEnd"/>
      <w:r w:rsidR="00C13CF8">
        <w:t>[e]</w:t>
      </w:r>
      <w:r>
        <w:t xml:space="preserve"> every two years, rather than every year.” Moore’s Law compelled semiconductor companies to chase more complex, miniaturized architectures that would fulfill Moore’s</w:t>
      </w:r>
      <w:r w:rsidR="00B807CF">
        <w:t xml:space="preserve"> Law</w:t>
      </w:r>
      <w:r w:rsidR="001974B8">
        <w:t>.</w:t>
      </w:r>
      <w:r>
        <w:t xml:space="preserve"> </w:t>
      </w:r>
      <w:r w:rsidR="001974B8">
        <w:t>T</w:t>
      </w:r>
      <w:r w:rsidR="007B1CCF">
        <w:t>h</w:t>
      </w:r>
      <w:r w:rsidR="00B807CF">
        <w:t>is</w:t>
      </w:r>
      <w:r w:rsidR="0021702A">
        <w:t xml:space="preserve"> driving concept</w:t>
      </w:r>
      <w:r w:rsidR="00B807CF">
        <w:t xml:space="preserve"> </w:t>
      </w:r>
      <w:r w:rsidR="007B1CCF">
        <w:t>has</w:t>
      </w:r>
      <w:r>
        <w:t xml:space="preserve"> persisted as a driving force of the modern industry.</w:t>
      </w:r>
      <w:r>
        <w:rPr>
          <w:rStyle w:val="EndnoteReference"/>
        </w:rPr>
        <w:endnoteReference w:id="71"/>
      </w:r>
      <w:r w:rsidR="004D4A6D">
        <w:t xml:space="preserve"> </w:t>
      </w:r>
      <w:r w:rsidR="001974B8">
        <w:t>Electronics today use</w:t>
      </w:r>
      <w:r w:rsidR="004D4A6D">
        <w:t xml:space="preserve"> integrated circuits </w:t>
      </w:r>
      <w:r w:rsidR="001974B8">
        <w:t>with easily</w:t>
      </w:r>
      <w:r w:rsidR="004D4A6D">
        <w:t xml:space="preserve"> “tens of millions of components.</w:t>
      </w:r>
      <w:r w:rsidR="004D4A6D">
        <w:rPr>
          <w:rStyle w:val="EndnoteReference"/>
        </w:rPr>
        <w:endnoteReference w:id="72"/>
      </w:r>
      <w:r w:rsidR="00070E1B">
        <w:t xml:space="preserve"> Denser, more complex integrated circuits drive both performance improvements and cost reductions</w:t>
      </w:r>
      <w:r w:rsidR="0007091B">
        <w:t>.</w:t>
      </w:r>
      <w:r w:rsidR="00A544CB">
        <w:t xml:space="preserve"> This growth in high density chips </w:t>
      </w:r>
      <w:r w:rsidR="001974B8">
        <w:t>fostered</w:t>
      </w:r>
      <w:r w:rsidR="00426AC6">
        <w:t xml:space="preserve"> rapid miniaturization in digital electronics.</w:t>
      </w:r>
    </w:p>
    <w:p w14:paraId="128BB2C7" w14:textId="779B527D" w:rsidR="00426AC6" w:rsidRDefault="00426AC6" w:rsidP="009C1E2F">
      <w:pPr>
        <w:spacing w:line="480" w:lineRule="auto"/>
        <w:ind w:firstLine="720"/>
      </w:pPr>
      <w:r>
        <w:t>The first electronic calculating machines competed with old analog calculators</w:t>
      </w:r>
      <w:r w:rsidR="009D58A0">
        <w:t xml:space="preserve"> </w:t>
      </w:r>
      <w:r w:rsidR="00A86B80">
        <w:t>in terms of cost</w:t>
      </w:r>
      <w:r>
        <w:t xml:space="preserve"> “until the late 1960s.</w:t>
      </w:r>
      <w:r w:rsidR="004007FC">
        <w:rPr>
          <w:rStyle w:val="EndnoteReference"/>
        </w:rPr>
        <w:endnoteReference w:id="73"/>
      </w:r>
      <w:r>
        <w:t xml:space="preserve"> Advancements after the 1970s in chip density brought down </w:t>
      </w:r>
      <w:r w:rsidR="001974B8">
        <w:t>electronic calculator costs</w:t>
      </w:r>
      <w:r w:rsidR="004007FC">
        <w:t xml:space="preserve">. A </w:t>
      </w:r>
      <w:r w:rsidR="00EB53A7">
        <w:t>hand-held</w:t>
      </w:r>
      <w:r w:rsidR="00146D9B">
        <w:t xml:space="preserve"> calculator </w:t>
      </w:r>
      <w:r w:rsidR="00B74EB6">
        <w:t xml:space="preserve">costed </w:t>
      </w:r>
      <w:r w:rsidR="00146D9B">
        <w:t xml:space="preserve">around $100 in 1971 but by 1975 </w:t>
      </w:r>
      <w:r w:rsidR="00B74EB6">
        <w:t>it</w:t>
      </w:r>
      <w:r w:rsidR="00146D9B">
        <w:t xml:space="preserve"> </w:t>
      </w:r>
      <w:r w:rsidR="00B74EB6">
        <w:lastRenderedPageBreak/>
        <w:t xml:space="preserve">costed </w:t>
      </w:r>
      <w:r w:rsidR="00146D9B">
        <w:t>less than $5</w:t>
      </w:r>
      <w:r w:rsidR="00DF3220">
        <w:t>.</w:t>
      </w:r>
      <w:r w:rsidR="00EB53A7">
        <w:t xml:space="preserve"> The digital watch industry and video game industry also </w:t>
      </w:r>
      <w:r w:rsidR="00C3717E">
        <w:t>benefitted from</w:t>
      </w:r>
      <w:r w:rsidR="00EB53A7">
        <w:t xml:space="preserve"> the </w:t>
      </w:r>
      <w:r w:rsidR="00E04363">
        <w:t xml:space="preserve">from the fruits </w:t>
      </w:r>
      <w:r w:rsidR="00EB53A7">
        <w:t>of miniaturization.</w:t>
      </w:r>
      <w:r w:rsidR="00CC24BD">
        <w:rPr>
          <w:rStyle w:val="EndnoteReference"/>
        </w:rPr>
        <w:endnoteReference w:id="74"/>
      </w:r>
      <w:r w:rsidR="00EB53A7">
        <w:t xml:space="preserve"> </w:t>
      </w:r>
      <w:r w:rsidR="009A1361">
        <w:t xml:space="preserve">Developments at Intel in the late 1960s, founded by both Robert Noyce and Gordon Moore, </w:t>
      </w:r>
      <w:r w:rsidR="00B72F98">
        <w:t>created</w:t>
      </w:r>
      <w:r w:rsidR="009A1361">
        <w:t xml:space="preserve"> </w:t>
      </w:r>
      <w:r w:rsidR="00A47B96">
        <w:t xml:space="preserve">the enabling factors for personal computers, Microprocessors. </w:t>
      </w:r>
    </w:p>
    <w:p w14:paraId="37B533F5" w14:textId="6A680F0A" w:rsidR="00523374" w:rsidRDefault="00357828" w:rsidP="009C1E2F">
      <w:pPr>
        <w:spacing w:line="480" w:lineRule="auto"/>
        <w:ind w:firstLine="720"/>
      </w:pPr>
      <w:r>
        <w:t>Intel’s Microprocessor</w:t>
      </w:r>
      <w:r w:rsidR="00523374">
        <w:t xml:space="preserve">, known as the 4004, was </w:t>
      </w:r>
      <w:r w:rsidR="006B5139">
        <w:t xml:space="preserve">a programmable “general-purpose chip” that could be adapted for specific functions. It was advertised as “A </w:t>
      </w:r>
      <w:proofErr w:type="spellStart"/>
      <w:r w:rsidR="006B5139">
        <w:t>microprogrammable</w:t>
      </w:r>
      <w:proofErr w:type="spellEnd"/>
      <w:r w:rsidR="006B5139">
        <w:t xml:space="preserve"> computer on a chip."</w:t>
      </w:r>
      <w:r w:rsidR="001D27DE">
        <w:t xml:space="preserve"> It was soon </w:t>
      </w:r>
      <w:r w:rsidR="00E17E2A">
        <w:t>succeeded by</w:t>
      </w:r>
      <w:r w:rsidR="001D27DE">
        <w:t xml:space="preserve"> the 8008 and 8080</w:t>
      </w:r>
      <w:r w:rsidR="00927C39">
        <w:t>, which sported</w:t>
      </w:r>
      <w:r w:rsidR="001D27DE">
        <w:t xml:space="preserve"> increased speed and </w:t>
      </w:r>
      <w:r w:rsidR="000A07DA">
        <w:t xml:space="preserve">superior </w:t>
      </w:r>
      <w:r w:rsidR="001D27DE">
        <w:t>bit processing.</w:t>
      </w:r>
      <w:r w:rsidR="006B5139">
        <w:rPr>
          <w:rStyle w:val="EndnoteReference"/>
        </w:rPr>
        <w:endnoteReference w:id="75"/>
      </w:r>
      <w:r w:rsidR="001D27DE">
        <w:t xml:space="preserve"> One of the earliest successful personal computer</w:t>
      </w:r>
      <w:r w:rsidR="000A07DA">
        <w:t>s</w:t>
      </w:r>
      <w:r w:rsidR="001D27DE">
        <w:t>, the Altair</w:t>
      </w:r>
      <w:r w:rsidR="006B5139">
        <w:t xml:space="preserve"> </w:t>
      </w:r>
      <w:r w:rsidR="0021109B">
        <w:t xml:space="preserve">8800, contained an Intel 8080 processor and jumpstarted the PC revolution. Bill Gates </w:t>
      </w:r>
      <w:r w:rsidR="008072BF">
        <w:t xml:space="preserve">described the impact of the Altair 8800 on the </w:t>
      </w:r>
      <w:r w:rsidR="003E1B39">
        <w:t>public</w:t>
      </w:r>
      <w:r w:rsidR="00B279FC">
        <w:t xml:space="preserve"> at large</w:t>
      </w:r>
      <w:r w:rsidR="008072BF">
        <w:t xml:space="preserve"> and </w:t>
      </w:r>
      <w:r w:rsidR="00A17585">
        <w:t>Microsoft</w:t>
      </w:r>
      <w:r w:rsidR="008072BF">
        <w:t xml:space="preserve"> in a 2004 periodical.</w:t>
      </w:r>
    </w:p>
    <w:p w14:paraId="0943E4AE" w14:textId="3B2F0484" w:rsidR="003E1B39" w:rsidRPr="003E1B39" w:rsidRDefault="003E1B39" w:rsidP="003E1B39">
      <w:pPr>
        <w:pStyle w:val="body-paragraph"/>
        <w:spacing w:before="0" w:beforeAutospacing="0" w:after="0" w:afterAutospacing="0" w:line="480" w:lineRule="auto"/>
        <w:ind w:left="720" w:right="720"/>
        <w:jc w:val="both"/>
        <w:textAlignment w:val="baseline"/>
        <w:rPr>
          <w:color w:val="333333"/>
        </w:rPr>
      </w:pPr>
      <w:r w:rsidRPr="003E1B39">
        <w:rPr>
          <w:color w:val="333333"/>
        </w:rPr>
        <w:t>If you wanted a personal computer back in 1975, you had to build it yourself. For under $500 ($1,700 in today's money) you could mail-order a bag of parts that, after a few days' frustrating construction, became the </w:t>
      </w:r>
      <w:r w:rsidRPr="003E1B39">
        <w:rPr>
          <w:rStyle w:val="Strong"/>
          <w:color w:val="333333"/>
          <w:bdr w:val="none" w:sz="0" w:space="0" w:color="auto" w:frame="1"/>
        </w:rPr>
        <w:t>Altair</w:t>
      </w:r>
      <w:r w:rsidRPr="003E1B39">
        <w:rPr>
          <w:color w:val="333333"/>
        </w:rPr>
        <w:t> </w:t>
      </w:r>
      <w:r w:rsidRPr="003E1B39">
        <w:rPr>
          <w:rStyle w:val="Strong"/>
          <w:color w:val="333333"/>
          <w:bdr w:val="none" w:sz="0" w:space="0" w:color="auto" w:frame="1"/>
        </w:rPr>
        <w:t>8800</w:t>
      </w:r>
      <w:r w:rsidRPr="003E1B39">
        <w:rPr>
          <w:color w:val="333333"/>
        </w:rPr>
        <w:t>. Named after a star in a Star Trek episode, the </w:t>
      </w:r>
      <w:r w:rsidRPr="003E1B39">
        <w:rPr>
          <w:rStyle w:val="Strong"/>
          <w:color w:val="333333"/>
          <w:bdr w:val="none" w:sz="0" w:space="0" w:color="auto" w:frame="1"/>
        </w:rPr>
        <w:t>Altair</w:t>
      </w:r>
      <w:r w:rsidRPr="003E1B39">
        <w:rPr>
          <w:color w:val="333333"/>
        </w:rPr>
        <w:t> was a large blue box with no keyboard or screen. To program it, you flipped switches on the front and then read off the results on two rows of tiny red lights.</w:t>
      </w:r>
    </w:p>
    <w:p w14:paraId="0CA89A2A" w14:textId="59779EA7" w:rsidR="003E1B39" w:rsidRPr="003E1B39" w:rsidRDefault="003E1B39" w:rsidP="003E1B39">
      <w:pPr>
        <w:pStyle w:val="body-paragraph"/>
        <w:spacing w:before="0" w:beforeAutospacing="0" w:after="0" w:afterAutospacing="0" w:line="480" w:lineRule="auto"/>
        <w:ind w:left="720" w:right="720"/>
        <w:jc w:val="both"/>
        <w:textAlignment w:val="baseline"/>
        <w:rPr>
          <w:color w:val="333333"/>
        </w:rPr>
      </w:pPr>
      <w:r w:rsidRPr="003E1B39">
        <w:rPr>
          <w:color w:val="333333"/>
        </w:rPr>
        <w:t>That doesn't sound like a very big deal today, and it wasn't that useful even back in 1975. But for me, the </w:t>
      </w:r>
      <w:r w:rsidRPr="003E1B39">
        <w:rPr>
          <w:rStyle w:val="Strong"/>
          <w:color w:val="333333"/>
          <w:bdr w:val="none" w:sz="0" w:space="0" w:color="auto" w:frame="1"/>
        </w:rPr>
        <w:t>Altair</w:t>
      </w:r>
      <w:r w:rsidRPr="003E1B39">
        <w:rPr>
          <w:color w:val="333333"/>
        </w:rPr>
        <w:t xml:space="preserve"> was a revolution waiting to happen. Before then, computers often took up an entire room, and only trained technicians </w:t>
      </w:r>
      <w:proofErr w:type="gramStart"/>
      <w:r w:rsidRPr="003E1B39">
        <w:rPr>
          <w:color w:val="333333"/>
        </w:rPr>
        <w:t>were allowed to</w:t>
      </w:r>
      <w:proofErr w:type="gramEnd"/>
      <w:r w:rsidRPr="003E1B39">
        <w:rPr>
          <w:color w:val="333333"/>
        </w:rPr>
        <w:t xml:space="preserve"> use them. The idea of a small computer you could have all to yourself was enough to convince me to drop out of Harvard and start a company with my friend Paul Allen. We called it Micro-Soft.</w:t>
      </w:r>
      <w:r>
        <w:rPr>
          <w:color w:val="333333"/>
        </w:rPr>
        <w:t>”</w:t>
      </w:r>
      <w:r w:rsidR="00552BB1">
        <w:rPr>
          <w:rStyle w:val="EndnoteReference"/>
          <w:color w:val="333333"/>
        </w:rPr>
        <w:endnoteReference w:id="76"/>
      </w:r>
    </w:p>
    <w:p w14:paraId="2B7225AE" w14:textId="7CDA0EB9" w:rsidR="003E1B39" w:rsidRDefault="003E1B39" w:rsidP="003E1B39">
      <w:pPr>
        <w:spacing w:line="480" w:lineRule="auto"/>
      </w:pPr>
      <w:r>
        <w:lastRenderedPageBreak/>
        <w:t xml:space="preserve">Bill Gates’ aspiration was to </w:t>
      </w:r>
      <w:r w:rsidR="00A17585">
        <w:t>proliferate personal computing to the masses</w:t>
      </w:r>
      <w:r w:rsidR="00231E1E">
        <w:t>, “a computer on every desk and in every home</w:t>
      </w:r>
      <w:r w:rsidR="00A17585">
        <w:t>.</w:t>
      </w:r>
      <w:r w:rsidR="006164FE">
        <w:t>”</w:t>
      </w:r>
      <w:r w:rsidR="006164FE">
        <w:rPr>
          <w:rStyle w:val="EndnoteReference"/>
        </w:rPr>
        <w:endnoteReference w:id="77"/>
      </w:r>
      <w:r w:rsidR="00A17585">
        <w:t xml:space="preserve"> Companies like Microsoft </w:t>
      </w:r>
      <w:r w:rsidR="00231E1E">
        <w:t xml:space="preserve">made their fortunes writing software for early PCs like the Altair while further innovations in ICs and Microprocessors made sure that PCs like the Altair and its successors were compact and </w:t>
      </w:r>
      <w:r w:rsidR="00B279FC">
        <w:t xml:space="preserve">affordable enough </w:t>
      </w:r>
      <w:r w:rsidR="00231E1E">
        <w:t xml:space="preserve">for </w:t>
      </w:r>
      <w:r w:rsidR="003E1FCE">
        <w:t>domestic use</w:t>
      </w:r>
      <w:r w:rsidR="00231E1E">
        <w:t>.</w:t>
      </w:r>
    </w:p>
    <w:p w14:paraId="6E297028" w14:textId="547BE95B" w:rsidR="00962559" w:rsidRDefault="000C3ABF" w:rsidP="00A6698A">
      <w:pPr>
        <w:spacing w:line="480" w:lineRule="auto"/>
        <w:ind w:firstLine="720"/>
      </w:pPr>
      <w:r>
        <w:t>Today we readily accept</w:t>
      </w:r>
      <w:r w:rsidR="007124F1">
        <w:t xml:space="preserve"> that offshore companies like Foxconn and Samsung produce our phone components and memory </w:t>
      </w:r>
      <w:proofErr w:type="gramStart"/>
      <w:r w:rsidR="007124F1">
        <w:t>chips</w:t>
      </w:r>
      <w:proofErr w:type="gramEnd"/>
      <w:r w:rsidR="00D679BA">
        <w:t xml:space="preserve"> but</w:t>
      </w:r>
      <w:r w:rsidR="00BD0F0C">
        <w:t xml:space="preserve"> Fairchild Semiconductor was one of the first companies to adopt the practice</w:t>
      </w:r>
      <w:r w:rsidR="00DF1955">
        <w:t xml:space="preserve"> of offshoring </w:t>
      </w:r>
      <w:r w:rsidR="00837AEC">
        <w:t>labor</w:t>
      </w:r>
      <w:r w:rsidR="00BD0F0C">
        <w:t>.</w:t>
      </w:r>
      <w:r w:rsidR="007124F1">
        <w:rPr>
          <w:rStyle w:val="EndnoteReference"/>
        </w:rPr>
        <w:endnoteReference w:id="78"/>
      </w:r>
      <w:r w:rsidR="0008442A">
        <w:t xml:space="preserve"> After establishing their initial Mountain View plant in 1958 and </w:t>
      </w:r>
      <w:r w:rsidR="007B1994">
        <w:t>its</w:t>
      </w:r>
      <w:r w:rsidR="0008442A">
        <w:t xml:space="preserve"> San Rafael plant in 1960, the company construc</w:t>
      </w:r>
      <w:r w:rsidR="000C5565">
        <w:t xml:space="preserve">ted an assembly plant in Hong Kong. </w:t>
      </w:r>
      <w:r w:rsidR="00607C18">
        <w:t>In</w:t>
      </w:r>
      <w:r w:rsidR="000C5565">
        <w:t xml:space="preserve"> 1966</w:t>
      </w:r>
      <w:r w:rsidR="00607C18">
        <w:t>,</w:t>
      </w:r>
      <w:r w:rsidR="000C5565">
        <w:t xml:space="preserve"> they had 5,000 employees in Hong Kong and </w:t>
      </w:r>
      <w:r w:rsidR="00771655">
        <w:t xml:space="preserve">only </w:t>
      </w:r>
      <w:r w:rsidR="000C5565">
        <w:t>3,000 in California. Like modern general electronics and semiconductor companies today, Fairchild was looking to exploit “the highly skilled, low-cost labor pool in Asia.”</w:t>
      </w:r>
      <w:r w:rsidR="0034749C">
        <w:rPr>
          <w:rStyle w:val="EndnoteReference"/>
        </w:rPr>
        <w:endnoteReference w:id="79"/>
      </w:r>
      <w:r w:rsidR="000C5565">
        <w:t xml:space="preserve"> </w:t>
      </w:r>
      <w:r w:rsidR="00A6698A">
        <w:t xml:space="preserve">Fairchild Semiconductor’s business strategy and overall organization </w:t>
      </w:r>
      <w:r w:rsidR="008C2A32">
        <w:t>was</w:t>
      </w:r>
      <w:r w:rsidR="00F14B9D">
        <w:t xml:space="preserve"> appropriated by other prominent semiconductor companies.</w:t>
      </w:r>
    </w:p>
    <w:p w14:paraId="6EC2CB73" w14:textId="60351336" w:rsidR="0059129B" w:rsidRDefault="0059129B" w:rsidP="00A6698A">
      <w:pPr>
        <w:spacing w:line="480" w:lineRule="auto"/>
        <w:ind w:firstLine="720"/>
      </w:pPr>
      <w:r>
        <w:t>Fairchild Semiconductor acted simultaneously as a shaper and beneficiary of the Silicon Valley ethos. The company’s sharp focus on research and development</w:t>
      </w:r>
      <w:r w:rsidR="00D76875">
        <w:t xml:space="preserve">, </w:t>
      </w:r>
      <w:r w:rsidR="00A73580">
        <w:t>embrace</w:t>
      </w:r>
      <w:r w:rsidR="00D76875">
        <w:t xml:space="preserve"> of experimentation, and flexible management style </w:t>
      </w:r>
      <w:r w:rsidR="00136A54">
        <w:t>have</w:t>
      </w:r>
      <w:r w:rsidR="00D76875">
        <w:t xml:space="preserve"> be</w:t>
      </w:r>
      <w:r w:rsidR="00136A54">
        <w:t>en</w:t>
      </w:r>
      <w:r w:rsidR="00D76875">
        <w:t xml:space="preserve"> replicated by “successor companies such as AMD, Intel, National Semiconductor</w:t>
      </w:r>
      <w:r w:rsidR="00A73580">
        <w:t>,</w:t>
      </w:r>
      <w:r w:rsidR="00D76875">
        <w:t xml:space="preserve">” </w:t>
      </w:r>
      <w:r w:rsidR="00A73580">
        <w:t>and even Apple and Google</w:t>
      </w:r>
      <w:r w:rsidR="00D76875">
        <w:t>.</w:t>
      </w:r>
      <w:r w:rsidR="00D76875">
        <w:rPr>
          <w:rStyle w:val="EndnoteReference"/>
        </w:rPr>
        <w:endnoteReference w:id="80"/>
      </w:r>
      <w:r w:rsidR="007824A3">
        <w:t xml:space="preserve"> Most of the Silicon Valley’s top managers</w:t>
      </w:r>
      <w:r w:rsidR="00453FD1">
        <w:t xml:space="preserve"> and engineers</w:t>
      </w:r>
      <w:r w:rsidR="007824A3">
        <w:t xml:space="preserve"> in the 1960s</w:t>
      </w:r>
      <w:r w:rsidR="00453FD1">
        <w:t xml:space="preserve"> had</w:t>
      </w:r>
      <w:r w:rsidR="007824A3">
        <w:t xml:space="preserve"> cut their teeth at Fairchild Semiconductor. </w:t>
      </w:r>
      <w:r w:rsidR="00453FD1">
        <w:t>S</w:t>
      </w:r>
      <w:r w:rsidR="004B7455">
        <w:t>tartups like Intel and National Semiconductor were</w:t>
      </w:r>
      <w:r w:rsidR="009C2D2D">
        <w:t xml:space="preserve"> </w:t>
      </w:r>
      <w:r w:rsidR="004B7455">
        <w:t>either spun off</w:t>
      </w:r>
      <w:r w:rsidR="00AD59A0">
        <w:t xml:space="preserve"> directly</w:t>
      </w:r>
      <w:r w:rsidR="004B7455">
        <w:t xml:space="preserve"> from Fairchild Semiconductor or were </w:t>
      </w:r>
      <w:r w:rsidR="009C2D2D">
        <w:t xml:space="preserve">spinoffs of those </w:t>
      </w:r>
      <w:r w:rsidR="00032F60">
        <w:t>spinoffs</w:t>
      </w:r>
      <w:r w:rsidR="009C2D2D">
        <w:t>.</w:t>
      </w:r>
      <w:r w:rsidR="009C2D2D">
        <w:rPr>
          <w:rStyle w:val="EndnoteReference"/>
        </w:rPr>
        <w:endnoteReference w:id="81"/>
      </w:r>
      <w:r w:rsidR="0018493F">
        <w:t xml:space="preserve"> </w:t>
      </w:r>
    </w:p>
    <w:p w14:paraId="0D061E56" w14:textId="07B6FB30" w:rsidR="0018493F" w:rsidRDefault="0018493F" w:rsidP="0018493F">
      <w:pPr>
        <w:spacing w:line="480" w:lineRule="auto"/>
        <w:jc w:val="center"/>
      </w:pPr>
      <w:r>
        <w:rPr>
          <w:noProof/>
        </w:rPr>
        <w:lastRenderedPageBreak/>
        <w:drawing>
          <wp:inline distT="0" distB="0" distL="0" distR="0" wp14:anchorId="57DBEB12" wp14:editId="1EE30EAE">
            <wp:extent cx="4824213" cy="3996503"/>
            <wp:effectExtent l="0" t="0" r="0" b="4445"/>
            <wp:docPr id="1" name="Picture 1" descr="Fairchildren fairchild start-up spin-off analysis strate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irchildren fairchild start-up spin-off analysis strategy"/>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27597" cy="3999307"/>
                    </a:xfrm>
                    <a:prstGeom prst="rect">
                      <a:avLst/>
                    </a:prstGeom>
                    <a:noFill/>
                    <a:ln>
                      <a:noFill/>
                    </a:ln>
                  </pic:spPr>
                </pic:pic>
              </a:graphicData>
            </a:graphic>
          </wp:inline>
        </w:drawing>
      </w:r>
    </w:p>
    <w:p w14:paraId="06A5A918" w14:textId="21B84EE5" w:rsidR="004B73E1" w:rsidRDefault="004B73E1" w:rsidP="00A6698A">
      <w:pPr>
        <w:spacing w:line="480" w:lineRule="auto"/>
        <w:ind w:firstLine="720"/>
      </w:pPr>
      <w:r>
        <w:t>In surveying Fairchild Semiconductor’s</w:t>
      </w:r>
      <w:r w:rsidR="00592C80">
        <w:t xml:space="preserve"> early</w:t>
      </w:r>
      <w:r>
        <w:t xml:space="preserve"> </w:t>
      </w:r>
      <w:r w:rsidR="00E53FA8">
        <w:t>history,</w:t>
      </w:r>
      <w:r>
        <w:t xml:space="preserve"> I aimed to </w:t>
      </w:r>
      <w:r w:rsidR="00592C80">
        <w:t xml:space="preserve">frame </w:t>
      </w:r>
      <w:r w:rsidR="007177EA">
        <w:t>historical events</w:t>
      </w:r>
      <w:r w:rsidR="00592C80">
        <w:t xml:space="preserve"> in the context of</w:t>
      </w:r>
      <w:r>
        <w:t xml:space="preserve"> three areas. The</w:t>
      </w:r>
      <w:r w:rsidR="007177EA">
        <w:t xml:space="preserve"> first context</w:t>
      </w:r>
      <w:r w:rsidR="00B409DA">
        <w:t xml:space="preserve"> was</w:t>
      </w:r>
      <w:r>
        <w:t xml:space="preserve"> Silicon Valley</w:t>
      </w:r>
      <w:r w:rsidR="00B409DA">
        <w:t>’s g</w:t>
      </w:r>
      <w:r w:rsidR="00251A80">
        <w:t>rowing high technology scene</w:t>
      </w:r>
      <w:r w:rsidR="00B409DA">
        <w:t>.</w:t>
      </w:r>
      <w:r>
        <w:t xml:space="preserve"> </w:t>
      </w:r>
      <w:r w:rsidR="00B409DA">
        <w:t xml:space="preserve">Silicon Valley </w:t>
      </w:r>
      <w:r w:rsidR="00E53FA8">
        <w:t xml:space="preserve">was simultaneously a </w:t>
      </w:r>
      <w:r w:rsidR="00EE16C3">
        <w:t>vessel for</w:t>
      </w:r>
      <w:r w:rsidR="00E53FA8">
        <w:t xml:space="preserve"> and beneficiary of the firm’s ascendancy. It benefitted from Silicon</w:t>
      </w:r>
      <w:r w:rsidR="005C3345">
        <w:t xml:space="preserve"> Valley</w:t>
      </w:r>
      <w:r w:rsidR="00E53FA8">
        <w:t xml:space="preserve">’s burgeoning light industry and </w:t>
      </w:r>
      <w:r w:rsidR="000257D3">
        <w:t xml:space="preserve">business and technical </w:t>
      </w:r>
      <w:r w:rsidR="00E53FA8">
        <w:t>developments in both radio and vacuum tube</w:t>
      </w:r>
      <w:r w:rsidR="000257D3">
        <w:t xml:space="preserve"> manufacturing.</w:t>
      </w:r>
      <w:r w:rsidR="00920E0D">
        <w:t xml:space="preserve"> </w:t>
      </w:r>
      <w:r w:rsidR="00A6729F">
        <w:t xml:space="preserve">Fairchild Semiconductor’s </w:t>
      </w:r>
      <w:r w:rsidR="00A05F4C">
        <w:t xml:space="preserve">founders, engineers, and managers </w:t>
      </w:r>
      <w:r w:rsidR="00AD71B0">
        <w:t xml:space="preserve">in turn </w:t>
      </w:r>
      <w:r w:rsidR="00A05F4C">
        <w:t xml:space="preserve">took their </w:t>
      </w:r>
      <w:r w:rsidR="00005544">
        <w:t>experiences</w:t>
      </w:r>
      <w:r w:rsidR="00A05F4C">
        <w:t xml:space="preserve"> </w:t>
      </w:r>
      <w:r w:rsidR="00005544">
        <w:t>and</w:t>
      </w:r>
      <w:r w:rsidR="00A05F4C">
        <w:t xml:space="preserve"> create</w:t>
      </w:r>
      <w:r w:rsidR="00005544">
        <w:t>d</w:t>
      </w:r>
      <w:r w:rsidR="00A05F4C">
        <w:t xml:space="preserve"> new companies and initiatives.</w:t>
      </w:r>
      <w:r w:rsidR="00A6729F">
        <w:t xml:space="preserve"> </w:t>
      </w:r>
      <w:r w:rsidR="00456A0C">
        <w:t xml:space="preserve">Analyzing Fairchild Semiconductor with </w:t>
      </w:r>
      <w:r w:rsidR="00C00D16">
        <w:t>an emphasis on business strategy</w:t>
      </w:r>
      <w:r w:rsidR="00920E0D">
        <w:t xml:space="preserve">, the company established a highly effective method to outdo their larger rivals, secure sales, and </w:t>
      </w:r>
      <w:r w:rsidR="0028140D">
        <w:t xml:space="preserve">capture markets. </w:t>
      </w:r>
      <w:r w:rsidR="00C7755D">
        <w:t>By</w:t>
      </w:r>
      <w:r w:rsidR="0028140D">
        <w:t xml:space="preserve"> initially focusing on delivering a family of diffused </w:t>
      </w:r>
      <w:r w:rsidR="00586015">
        <w:t xml:space="preserve">silicon </w:t>
      </w:r>
      <w:r w:rsidR="0028140D">
        <w:t xml:space="preserve">transistors, </w:t>
      </w:r>
      <w:r w:rsidR="00586015">
        <w:t xml:space="preserve">the firm </w:t>
      </w:r>
      <w:r w:rsidR="0028140D">
        <w:t xml:space="preserve">was able to </w:t>
      </w:r>
      <w:r w:rsidR="001D480E">
        <w:t>acquire enough</w:t>
      </w:r>
      <w:r w:rsidR="0028140D">
        <w:t xml:space="preserve"> revenue and capital to pivot into other</w:t>
      </w:r>
      <w:r w:rsidR="00DD1FD7">
        <w:t xml:space="preserve"> </w:t>
      </w:r>
      <w:r w:rsidR="00BB776F">
        <w:t>semiconductor avenues</w:t>
      </w:r>
      <w:r w:rsidR="00C74E08">
        <w:t xml:space="preserve">. </w:t>
      </w:r>
      <w:r w:rsidR="005A3E7E">
        <w:t>In</w:t>
      </w:r>
      <w:r w:rsidR="00543867">
        <w:t xml:space="preserve"> </w:t>
      </w:r>
      <w:r w:rsidR="00C74E08">
        <w:t>1961</w:t>
      </w:r>
      <w:r w:rsidR="005A3E7E">
        <w:t>,</w:t>
      </w:r>
      <w:r w:rsidR="00C74E08">
        <w:t xml:space="preserve"> the company had fully committed to</w:t>
      </w:r>
      <w:r w:rsidR="0028140D">
        <w:t xml:space="preserve"> </w:t>
      </w:r>
      <w:r w:rsidR="006A31EE">
        <w:t>integrated</w:t>
      </w:r>
      <w:r w:rsidR="0028140D">
        <w:t xml:space="preserve"> circuits</w:t>
      </w:r>
      <w:r w:rsidR="003C7A19">
        <w:t>, planar diodes, and planar transistors</w:t>
      </w:r>
      <w:r w:rsidR="0028140D">
        <w:t>.</w:t>
      </w:r>
      <w:r w:rsidR="006D5AB2">
        <w:t xml:space="preserve"> </w:t>
      </w:r>
      <w:r w:rsidR="00537662">
        <w:t>Finally</w:t>
      </w:r>
      <w:r w:rsidR="006D5AB2">
        <w:t>, viewing the company</w:t>
      </w:r>
      <w:r w:rsidR="00D3385A">
        <w:t xml:space="preserve"> from a</w:t>
      </w:r>
      <w:r w:rsidR="006D5AB2">
        <w:t xml:space="preserve"> </w:t>
      </w:r>
      <w:r w:rsidR="00D3385A">
        <w:t>technical perspective</w:t>
      </w:r>
      <w:r w:rsidR="003F25AA">
        <w:t xml:space="preserve"> </w:t>
      </w:r>
      <w:r w:rsidR="005F3BB8">
        <w:t>shows</w:t>
      </w:r>
      <w:r w:rsidR="003F25AA">
        <w:t xml:space="preserve"> how</w:t>
      </w:r>
      <w:r w:rsidR="00057AE6">
        <w:t xml:space="preserve"> key </w:t>
      </w:r>
      <w:r w:rsidR="00057AE6">
        <w:lastRenderedPageBreak/>
        <w:t xml:space="preserve">innovations </w:t>
      </w:r>
      <w:r w:rsidR="003F25AA">
        <w:t>like the</w:t>
      </w:r>
      <w:r w:rsidR="00057AE6">
        <w:t xml:space="preserve"> planar process and </w:t>
      </w:r>
      <w:r w:rsidR="003F25AA">
        <w:t>silicon i</w:t>
      </w:r>
      <w:r w:rsidR="00057AE6">
        <w:t xml:space="preserve">ntegrated </w:t>
      </w:r>
      <w:r w:rsidR="003F25AA">
        <w:t>c</w:t>
      </w:r>
      <w:r w:rsidR="00057AE6">
        <w:t xml:space="preserve">ircuits </w:t>
      </w:r>
      <w:r w:rsidR="003F25AA">
        <w:t>created</w:t>
      </w:r>
      <w:r w:rsidR="00D528CB">
        <w:t xml:space="preserve"> the paradigms of</w:t>
      </w:r>
      <w:r w:rsidR="00C158E0">
        <w:t xml:space="preserve"> </w:t>
      </w:r>
      <w:r w:rsidR="00DA04D9">
        <w:t>semiconductor</w:t>
      </w:r>
      <w:r w:rsidR="00D0168B">
        <w:t xml:space="preserve"> manufacturing at modern firms </w:t>
      </w:r>
      <w:r w:rsidR="00D528CB">
        <w:t>such as Samsung and Intel.</w:t>
      </w:r>
      <w:r w:rsidR="00581A3D">
        <w:t xml:space="preserve"> </w:t>
      </w:r>
      <w:r w:rsidR="00D20F9C">
        <w:t xml:space="preserve">Fairchild Semiconductor’s combined contributions to each of these areas </w:t>
      </w:r>
      <w:r w:rsidR="001A3315">
        <w:t xml:space="preserve">secure its </w:t>
      </w:r>
      <w:r w:rsidR="00581778">
        <w:t>position</w:t>
      </w:r>
      <w:r w:rsidR="0058667B">
        <w:t xml:space="preserve"> as a critically important </w:t>
      </w:r>
      <w:r w:rsidR="00C14FB2">
        <w:t>agent of Silicon Valley and semiconductor developments.</w:t>
      </w:r>
    </w:p>
    <w:sectPr w:rsidR="004B73E1">
      <w:headerReference w:type="default" r:id="rId8"/>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3C32B" w14:textId="77777777" w:rsidR="00422902" w:rsidRDefault="00422902" w:rsidP="00A45469">
      <w:pPr>
        <w:spacing w:line="240" w:lineRule="auto"/>
      </w:pPr>
      <w:r>
        <w:separator/>
      </w:r>
    </w:p>
  </w:endnote>
  <w:endnote w:type="continuationSeparator" w:id="0">
    <w:p w14:paraId="03E9BFD9" w14:textId="77777777" w:rsidR="00422902" w:rsidRDefault="00422902" w:rsidP="00A45469">
      <w:pPr>
        <w:spacing w:line="240" w:lineRule="auto"/>
      </w:pPr>
      <w:r>
        <w:continuationSeparator/>
      </w:r>
    </w:p>
  </w:endnote>
  <w:endnote w:id="1">
    <w:p w14:paraId="2DA1AE96" w14:textId="47996BDD" w:rsidR="002320DF" w:rsidRPr="0017556A" w:rsidRDefault="002320DF">
      <w:pPr>
        <w:pStyle w:val="EndnoteText"/>
      </w:pPr>
      <w:r w:rsidRPr="0017556A">
        <w:rPr>
          <w:rStyle w:val="EndnoteReference"/>
        </w:rPr>
        <w:endnoteRef/>
      </w:r>
      <w:r w:rsidRPr="0017556A">
        <w:t xml:space="preserve"> </w:t>
      </w:r>
      <w:proofErr w:type="spellStart"/>
      <w:r w:rsidRPr="0017556A">
        <w:t>Lécuyer</w:t>
      </w:r>
      <w:proofErr w:type="spellEnd"/>
      <w:r w:rsidRPr="0017556A">
        <w:t xml:space="preserve">, Christophe, </w:t>
      </w:r>
      <w:r w:rsidRPr="0017556A">
        <w:rPr>
          <w:i/>
        </w:rPr>
        <w:t xml:space="preserve">Making Silicon </w:t>
      </w:r>
      <w:proofErr w:type="gramStart"/>
      <w:r w:rsidRPr="0017556A">
        <w:rPr>
          <w:i/>
        </w:rPr>
        <w:t>Valley :</w:t>
      </w:r>
      <w:proofErr w:type="gramEnd"/>
      <w:r w:rsidRPr="0017556A">
        <w:rPr>
          <w:i/>
        </w:rPr>
        <w:t xml:space="preserve"> Innovation and the Growth of High Tech, 1930-1970</w:t>
      </w:r>
      <w:r w:rsidRPr="0017556A">
        <w:t>, (Inside Technology. Cambridge, Mass.: MIT Press, 2006), 15-16.</w:t>
      </w:r>
    </w:p>
  </w:endnote>
  <w:endnote w:id="2">
    <w:p w14:paraId="758EDF95" w14:textId="6B657D55" w:rsidR="002320DF" w:rsidRPr="0017556A" w:rsidRDefault="002320DF" w:rsidP="00E879EB">
      <w:pPr>
        <w:spacing w:line="240" w:lineRule="auto"/>
        <w:rPr>
          <w:sz w:val="20"/>
          <w:szCs w:val="20"/>
        </w:rPr>
      </w:pPr>
      <w:r w:rsidRPr="0017556A">
        <w:rPr>
          <w:rStyle w:val="EndnoteReference"/>
          <w:sz w:val="20"/>
          <w:szCs w:val="20"/>
        </w:rPr>
        <w:endnoteRef/>
      </w:r>
      <w:r w:rsidRPr="0017556A">
        <w:rPr>
          <w:sz w:val="20"/>
          <w:szCs w:val="20"/>
        </w:rPr>
        <w:t xml:space="preserve"> </w:t>
      </w:r>
      <w:proofErr w:type="spellStart"/>
      <w:r w:rsidR="0050603C" w:rsidRPr="0017556A">
        <w:rPr>
          <w:sz w:val="20"/>
          <w:szCs w:val="20"/>
        </w:rPr>
        <w:t>Lécuyer</w:t>
      </w:r>
      <w:proofErr w:type="spellEnd"/>
      <w:r w:rsidR="0050603C" w:rsidRPr="0017556A">
        <w:rPr>
          <w:sz w:val="20"/>
          <w:szCs w:val="20"/>
        </w:rPr>
        <w:t xml:space="preserve">, Christophe, </w:t>
      </w:r>
      <w:r w:rsidR="0050603C" w:rsidRPr="0017556A">
        <w:rPr>
          <w:i/>
          <w:sz w:val="20"/>
          <w:szCs w:val="20"/>
        </w:rPr>
        <w:t>Making Silicon Valley</w:t>
      </w:r>
      <w:r w:rsidR="0050603C" w:rsidRPr="0017556A">
        <w:rPr>
          <w:sz w:val="20"/>
          <w:szCs w:val="20"/>
        </w:rPr>
        <w:t xml:space="preserve">, </w:t>
      </w:r>
      <w:r w:rsidRPr="0017556A">
        <w:rPr>
          <w:sz w:val="20"/>
          <w:szCs w:val="20"/>
        </w:rPr>
        <w:t>16.</w:t>
      </w:r>
    </w:p>
  </w:endnote>
  <w:endnote w:id="3">
    <w:p w14:paraId="55DFE223" w14:textId="25ECE0D9" w:rsidR="002320DF" w:rsidRPr="0017556A" w:rsidRDefault="002320DF">
      <w:pPr>
        <w:pStyle w:val="EndnoteText"/>
      </w:pPr>
      <w:r w:rsidRPr="0017556A">
        <w:rPr>
          <w:rStyle w:val="EndnoteReference"/>
        </w:rPr>
        <w:endnoteRef/>
      </w:r>
      <w:r w:rsidRPr="0017556A">
        <w:t xml:space="preserve"> </w:t>
      </w:r>
      <w:proofErr w:type="spellStart"/>
      <w:r w:rsidRPr="0017556A">
        <w:t>Lécuyer</w:t>
      </w:r>
      <w:proofErr w:type="spellEnd"/>
      <w:r w:rsidRPr="0017556A">
        <w:t xml:space="preserve">, Christophe, </w:t>
      </w:r>
      <w:r w:rsidRPr="0017556A">
        <w:rPr>
          <w:i/>
        </w:rPr>
        <w:t>Making Silicon Valley</w:t>
      </w:r>
      <w:r w:rsidRPr="0017556A">
        <w:t>, 17.</w:t>
      </w:r>
    </w:p>
  </w:endnote>
  <w:endnote w:id="4">
    <w:p w14:paraId="2BDB64C4" w14:textId="1F185C00" w:rsidR="002320DF" w:rsidRPr="0017556A" w:rsidRDefault="002320DF">
      <w:pPr>
        <w:pStyle w:val="EndnoteText"/>
      </w:pPr>
      <w:r w:rsidRPr="0017556A">
        <w:rPr>
          <w:rStyle w:val="EndnoteReference"/>
        </w:rPr>
        <w:endnoteRef/>
      </w:r>
      <w:r w:rsidRPr="0017556A">
        <w:t xml:space="preserve"> </w:t>
      </w:r>
      <w:proofErr w:type="spellStart"/>
      <w:r w:rsidRPr="0017556A">
        <w:t>Lécuyer</w:t>
      </w:r>
      <w:proofErr w:type="spellEnd"/>
      <w:r w:rsidRPr="0017556A">
        <w:t xml:space="preserve">, Christophe, </w:t>
      </w:r>
      <w:r w:rsidRPr="0017556A">
        <w:rPr>
          <w:i/>
        </w:rPr>
        <w:t>Making Silicon Valley</w:t>
      </w:r>
      <w:r w:rsidRPr="0017556A">
        <w:t>, 127.</w:t>
      </w:r>
    </w:p>
  </w:endnote>
  <w:endnote w:id="5">
    <w:p w14:paraId="35353042" w14:textId="75C895A7" w:rsidR="002320DF" w:rsidRPr="0017556A" w:rsidRDefault="002320DF">
      <w:pPr>
        <w:pStyle w:val="EndnoteText"/>
      </w:pPr>
      <w:r w:rsidRPr="0017556A">
        <w:rPr>
          <w:rStyle w:val="EndnoteReference"/>
        </w:rPr>
        <w:endnoteRef/>
      </w:r>
      <w:r w:rsidRPr="0017556A">
        <w:t xml:space="preserve"> </w:t>
      </w:r>
      <w:proofErr w:type="spellStart"/>
      <w:r w:rsidRPr="0017556A">
        <w:t>Lécuyer</w:t>
      </w:r>
      <w:proofErr w:type="spellEnd"/>
      <w:r w:rsidRPr="0017556A">
        <w:t xml:space="preserve">, Christophe, </w:t>
      </w:r>
      <w:r w:rsidRPr="0017556A">
        <w:rPr>
          <w:i/>
        </w:rPr>
        <w:t>Making Silicon Valley</w:t>
      </w:r>
      <w:r w:rsidRPr="0017556A">
        <w:t>, 128.</w:t>
      </w:r>
    </w:p>
  </w:endnote>
  <w:endnote w:id="6">
    <w:p w14:paraId="69703E23" w14:textId="0DEBDA56" w:rsidR="002320DF" w:rsidRPr="0017556A" w:rsidRDefault="002320DF" w:rsidP="00951C9B">
      <w:pPr>
        <w:shd w:val="clear" w:color="auto" w:fill="FFFFFF"/>
        <w:rPr>
          <w:rFonts w:eastAsia="Times New Roman"/>
          <w:color w:val="333333"/>
          <w:sz w:val="20"/>
          <w:szCs w:val="20"/>
        </w:rPr>
      </w:pPr>
      <w:r w:rsidRPr="0017556A">
        <w:rPr>
          <w:rStyle w:val="EndnoteReference"/>
          <w:sz w:val="20"/>
          <w:szCs w:val="20"/>
        </w:rPr>
        <w:endnoteRef/>
      </w:r>
      <w:r w:rsidRPr="0017556A">
        <w:rPr>
          <w:sz w:val="20"/>
          <w:szCs w:val="20"/>
        </w:rPr>
        <w:t xml:space="preserve"> </w:t>
      </w:r>
      <w:r w:rsidRPr="0017556A">
        <w:rPr>
          <w:rFonts w:eastAsia="Times New Roman"/>
          <w:color w:val="333333"/>
          <w:sz w:val="20"/>
          <w:szCs w:val="20"/>
        </w:rPr>
        <w:t xml:space="preserve">Hoehn, Andrew R., and Sarah </w:t>
      </w:r>
      <w:proofErr w:type="spellStart"/>
      <w:r w:rsidRPr="0017556A">
        <w:rPr>
          <w:rFonts w:eastAsia="Times New Roman"/>
          <w:color w:val="333333"/>
          <w:sz w:val="20"/>
          <w:szCs w:val="20"/>
        </w:rPr>
        <w:t>Harting</w:t>
      </w:r>
      <w:proofErr w:type="spellEnd"/>
      <w:r w:rsidRPr="0017556A">
        <w:rPr>
          <w:rFonts w:eastAsia="Times New Roman"/>
          <w:color w:val="333333"/>
          <w:sz w:val="20"/>
          <w:szCs w:val="20"/>
        </w:rPr>
        <w:t>, "The NATO That Once Was," In </w:t>
      </w:r>
      <w:r w:rsidRPr="0017556A">
        <w:rPr>
          <w:rFonts w:eastAsia="Times New Roman"/>
          <w:i/>
          <w:iCs/>
          <w:color w:val="333333"/>
          <w:sz w:val="20"/>
          <w:szCs w:val="20"/>
        </w:rPr>
        <w:t>Risking NATO: Testing the Limits of the Alliance in Afghanistan</w:t>
      </w:r>
      <w:r w:rsidRPr="0017556A">
        <w:rPr>
          <w:rFonts w:eastAsia="Times New Roman"/>
          <w:color w:val="333333"/>
          <w:sz w:val="20"/>
          <w:szCs w:val="20"/>
        </w:rPr>
        <w:t>, 5-12, Santa Monica, CA; Arlington, VA; Pittsburgh, PA: RAND Corporation, 2010, 5-6, http://www.jstor.org/stable/10.7249/mg974af.9.</w:t>
      </w:r>
    </w:p>
  </w:endnote>
  <w:endnote w:id="7">
    <w:p w14:paraId="4122A18C" w14:textId="77777777"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iCs/>
        </w:rPr>
        <w:t xml:space="preserve">Makers of the </w:t>
      </w:r>
      <w:proofErr w:type="gramStart"/>
      <w:r w:rsidRPr="0017556A">
        <w:rPr>
          <w:rFonts w:eastAsia="Times New Roman"/>
          <w:i/>
          <w:iCs/>
        </w:rPr>
        <w:t>Microchip :</w:t>
      </w:r>
      <w:proofErr w:type="gramEnd"/>
      <w:r w:rsidRPr="0017556A">
        <w:rPr>
          <w:rFonts w:eastAsia="Times New Roman"/>
          <w:i/>
          <w:iCs/>
        </w:rPr>
        <w:t xml:space="preserve"> A Documentary History of Fairchild Semiconductor</w:t>
      </w:r>
      <w:r w:rsidRPr="0017556A">
        <w:rPr>
          <w:rFonts w:eastAsia="Times New Roman"/>
        </w:rPr>
        <w:t>, (Cambridge, Mass.: MIT Press, 2010.), 16.</w:t>
      </w:r>
    </w:p>
  </w:endnote>
  <w:endnote w:id="8">
    <w:p w14:paraId="3C3C2EE3" w14:textId="2B1C8D1D" w:rsidR="002320DF" w:rsidRPr="0017556A" w:rsidRDefault="002320DF" w:rsidP="0017556A">
      <w:pPr>
        <w:spacing w:line="240" w:lineRule="auto"/>
        <w:rPr>
          <w:sz w:val="20"/>
          <w:szCs w:val="20"/>
        </w:rPr>
      </w:pPr>
      <w:r w:rsidRPr="0017556A">
        <w:rPr>
          <w:rStyle w:val="EndnoteReference"/>
          <w:sz w:val="20"/>
          <w:szCs w:val="20"/>
        </w:rPr>
        <w:endnoteRef/>
      </w:r>
      <w:r w:rsidRPr="0017556A">
        <w:rPr>
          <w:sz w:val="20"/>
          <w:szCs w:val="20"/>
        </w:rPr>
        <w:t xml:space="preserve"> </w:t>
      </w:r>
      <w:r w:rsidR="0017556A" w:rsidRPr="0017556A">
        <w:rPr>
          <w:sz w:val="20"/>
          <w:szCs w:val="20"/>
          <w:shd w:val="clear" w:color="auto" w:fill="FFFFFF"/>
        </w:rPr>
        <w:t>Watkins, Thayer. "History of the Transistor." San Jose State University. Accessed June 17, 2018. http://www.sjsu.edu/faculty/watkins/transist.htm.</w:t>
      </w:r>
    </w:p>
  </w:endnote>
  <w:endnote w:id="9">
    <w:p w14:paraId="1303D3BE" w14:textId="29116A54" w:rsidR="002320DF" w:rsidRPr="0017556A" w:rsidRDefault="002320DF">
      <w:pPr>
        <w:pStyle w:val="EndnoteText"/>
      </w:pPr>
      <w:r w:rsidRPr="0017556A">
        <w:rPr>
          <w:rStyle w:val="EndnoteReference"/>
        </w:rPr>
        <w:endnoteRef/>
      </w:r>
      <w:r w:rsidRPr="0017556A">
        <w:t xml:space="preserve"> Riordan, Michael, and Lillian </w:t>
      </w:r>
      <w:proofErr w:type="spellStart"/>
      <w:r w:rsidRPr="0017556A">
        <w:t>Hoddeson</w:t>
      </w:r>
      <w:proofErr w:type="spellEnd"/>
      <w:r w:rsidRPr="0017556A">
        <w:t xml:space="preserve">, </w:t>
      </w:r>
      <w:r w:rsidRPr="0017556A">
        <w:rPr>
          <w:i/>
        </w:rPr>
        <w:t xml:space="preserve">Crystal </w:t>
      </w:r>
      <w:proofErr w:type="gramStart"/>
      <w:r w:rsidRPr="0017556A">
        <w:rPr>
          <w:i/>
        </w:rPr>
        <w:t>Fire :</w:t>
      </w:r>
      <w:proofErr w:type="gramEnd"/>
      <w:r w:rsidRPr="0017556A">
        <w:rPr>
          <w:i/>
        </w:rPr>
        <w:t xml:space="preserve"> The Invention of the Transistor and the Birth of the Information Age</w:t>
      </w:r>
      <w:r w:rsidRPr="0017556A">
        <w:t>, Sloan Technology Series, (New York: Norton, 1998), 202.</w:t>
      </w:r>
    </w:p>
  </w:endnote>
  <w:endnote w:id="10">
    <w:p w14:paraId="0955D1C5" w14:textId="01B7D070" w:rsidR="002320DF" w:rsidRPr="0017556A" w:rsidRDefault="002320DF" w:rsidP="00E879EB">
      <w:pPr>
        <w:pStyle w:val="EndnoteText"/>
      </w:pPr>
      <w:r w:rsidRPr="0017556A">
        <w:rPr>
          <w:rStyle w:val="EndnoteReference"/>
        </w:rPr>
        <w:endnoteRef/>
      </w:r>
      <w:r w:rsidRPr="0017556A">
        <w:t xml:space="preserve"> </w:t>
      </w:r>
      <w:r w:rsidR="0017556A">
        <w:rPr>
          <w:rStyle w:val="Hyperlink"/>
          <w:color w:val="auto"/>
          <w:u w:val="none"/>
        </w:rPr>
        <w:t>Watkins, Thayer. “History of the Transistor.”</w:t>
      </w:r>
    </w:p>
  </w:endnote>
  <w:endnote w:id="11">
    <w:p w14:paraId="292CA75B" w14:textId="0DA2B80F" w:rsidR="002320DF" w:rsidRPr="0017556A" w:rsidRDefault="002320DF" w:rsidP="00E879EB">
      <w:pPr>
        <w:shd w:val="clear" w:color="auto" w:fill="FFFFFF"/>
        <w:spacing w:line="240" w:lineRule="auto"/>
        <w:rPr>
          <w:rFonts w:eastAsia="Times New Roman"/>
          <w:sz w:val="20"/>
          <w:szCs w:val="20"/>
        </w:rPr>
      </w:pPr>
      <w:r w:rsidRPr="0017556A">
        <w:rPr>
          <w:rStyle w:val="EndnoteReference"/>
          <w:sz w:val="20"/>
          <w:szCs w:val="20"/>
        </w:rPr>
        <w:endnoteRef/>
      </w:r>
      <w:r w:rsidRPr="0017556A">
        <w:rPr>
          <w:sz w:val="20"/>
          <w:szCs w:val="20"/>
        </w:rPr>
        <w:t xml:space="preserve"> Riordan, Michael, and Lillian </w:t>
      </w:r>
      <w:proofErr w:type="spellStart"/>
      <w:r w:rsidRPr="0017556A">
        <w:rPr>
          <w:sz w:val="20"/>
          <w:szCs w:val="20"/>
        </w:rPr>
        <w:t>Hoddeson</w:t>
      </w:r>
      <w:proofErr w:type="spellEnd"/>
      <w:r w:rsidRPr="0017556A">
        <w:rPr>
          <w:sz w:val="20"/>
          <w:szCs w:val="20"/>
        </w:rPr>
        <w:t xml:space="preserve">, </w:t>
      </w:r>
      <w:r w:rsidRPr="0017556A">
        <w:rPr>
          <w:i/>
          <w:sz w:val="20"/>
          <w:szCs w:val="20"/>
        </w:rPr>
        <w:t>Crystal Fire</w:t>
      </w:r>
      <w:r w:rsidRPr="0017556A">
        <w:rPr>
          <w:sz w:val="20"/>
          <w:szCs w:val="20"/>
        </w:rPr>
        <w:t>, 203-204.</w:t>
      </w:r>
    </w:p>
  </w:endnote>
  <w:endnote w:id="12">
    <w:p w14:paraId="26986CB4" w14:textId="77777777"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46-48.</w:t>
      </w:r>
    </w:p>
  </w:endnote>
  <w:endnote w:id="13">
    <w:p w14:paraId="6D5FC618" w14:textId="2DB1B2F9" w:rsidR="002320DF" w:rsidRPr="0017556A" w:rsidRDefault="002320DF" w:rsidP="00E879EB">
      <w:pPr>
        <w:shd w:val="clear" w:color="auto" w:fill="FFFFFF"/>
        <w:spacing w:line="240" w:lineRule="auto"/>
        <w:rPr>
          <w:rFonts w:eastAsia="Times New Roman"/>
          <w:sz w:val="20"/>
          <w:szCs w:val="20"/>
        </w:rPr>
      </w:pPr>
      <w:r w:rsidRPr="0017556A">
        <w:rPr>
          <w:rStyle w:val="EndnoteReference"/>
          <w:sz w:val="20"/>
          <w:szCs w:val="20"/>
        </w:rPr>
        <w:endnoteRef/>
      </w:r>
      <w:r w:rsidRPr="0017556A">
        <w:rPr>
          <w:sz w:val="20"/>
          <w:szCs w:val="20"/>
        </w:rPr>
        <w:t xml:space="preserve"> </w:t>
      </w:r>
      <w:proofErr w:type="spellStart"/>
      <w:r w:rsidRPr="0017556A">
        <w:rPr>
          <w:rFonts w:eastAsia="Times New Roman"/>
          <w:sz w:val="20"/>
          <w:szCs w:val="20"/>
        </w:rPr>
        <w:t>Lécuyer</w:t>
      </w:r>
      <w:proofErr w:type="spellEnd"/>
      <w:r w:rsidRPr="0017556A">
        <w:rPr>
          <w:rFonts w:eastAsia="Times New Roman"/>
          <w:sz w:val="20"/>
          <w:szCs w:val="20"/>
        </w:rPr>
        <w:t>, Christophe., and David C. Brock, </w:t>
      </w:r>
      <w:r w:rsidRPr="0017556A">
        <w:rPr>
          <w:rFonts w:eastAsia="Times New Roman"/>
          <w:i/>
          <w:sz w:val="20"/>
          <w:szCs w:val="20"/>
        </w:rPr>
        <w:t>Documentary History</w:t>
      </w:r>
      <w:r w:rsidRPr="0017556A">
        <w:rPr>
          <w:rFonts w:eastAsia="Times New Roman"/>
          <w:sz w:val="20"/>
          <w:szCs w:val="20"/>
        </w:rPr>
        <w:t>, 9.</w:t>
      </w:r>
    </w:p>
  </w:endnote>
  <w:endnote w:id="14">
    <w:p w14:paraId="563A0CB1" w14:textId="09A0EB68" w:rsidR="002A0ACE" w:rsidRPr="0017556A" w:rsidRDefault="002A0ACE" w:rsidP="002A0ACE">
      <w:pPr>
        <w:rPr>
          <w:sz w:val="20"/>
          <w:szCs w:val="20"/>
        </w:rPr>
      </w:pPr>
      <w:r w:rsidRPr="0017556A">
        <w:rPr>
          <w:rStyle w:val="EndnoteReference"/>
          <w:sz w:val="20"/>
          <w:szCs w:val="20"/>
        </w:rPr>
        <w:endnoteRef/>
      </w:r>
      <w:r w:rsidRPr="0017556A">
        <w:rPr>
          <w:sz w:val="20"/>
          <w:szCs w:val="20"/>
        </w:rPr>
        <w:t xml:space="preserve"> Moore, Gordon, "The Role of Fairchild in Silicon Technology in the Early Days of “Silicon Valley” Proceedings of the IEEE 86, no. 1 (January 1998): 53, http://www.iuma.ulpgc.es/users/lopez/articulos/fairchild.pdf.</w:t>
      </w:r>
    </w:p>
  </w:endnote>
  <w:endnote w:id="15">
    <w:p w14:paraId="579464E3" w14:textId="06C74A06" w:rsidR="002320DF" w:rsidRPr="0017556A" w:rsidRDefault="002320DF" w:rsidP="00E879EB">
      <w:pPr>
        <w:pStyle w:val="EndnoteText"/>
      </w:pPr>
      <w:r w:rsidRPr="0017556A">
        <w:rPr>
          <w:rStyle w:val="EndnoteReference"/>
        </w:rPr>
        <w:endnoteRef/>
      </w:r>
      <w:r w:rsidRPr="0017556A">
        <w:t xml:space="preserve"> Fairchild Founders, interviewed by Leslie Berlin at Stanford University, October 4, 2007. </w:t>
      </w:r>
    </w:p>
  </w:endnote>
  <w:endnote w:id="16">
    <w:p w14:paraId="3B14C5B4" w14:textId="17E24120" w:rsidR="002320DF" w:rsidRPr="0017556A" w:rsidRDefault="002320DF" w:rsidP="00E879EB">
      <w:pPr>
        <w:pStyle w:val="EndnoteText"/>
      </w:pPr>
      <w:r w:rsidRPr="0017556A">
        <w:rPr>
          <w:rStyle w:val="EndnoteReference"/>
        </w:rPr>
        <w:endnoteRef/>
      </w:r>
      <w:r w:rsidRPr="0017556A">
        <w:t xml:space="preserve"> Fairchild Founders, interviewed by Leslie Berlin at Stanford University, October 4, 2007.</w:t>
      </w:r>
    </w:p>
  </w:endnote>
  <w:endnote w:id="17">
    <w:p w14:paraId="100B1959" w14:textId="7DD1EE0B"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50.</w:t>
      </w:r>
    </w:p>
  </w:endnote>
  <w:endnote w:id="18">
    <w:p w14:paraId="46F66AC5" w14:textId="1D1E4557"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w:t>
      </w:r>
    </w:p>
  </w:endnote>
  <w:endnote w:id="19">
    <w:p w14:paraId="68F17962" w14:textId="329F3B72" w:rsidR="002320DF" w:rsidRPr="0017556A" w:rsidRDefault="002320DF" w:rsidP="00E879EB">
      <w:pPr>
        <w:shd w:val="clear" w:color="auto" w:fill="FFFFFF"/>
        <w:spacing w:line="240" w:lineRule="auto"/>
        <w:rPr>
          <w:rFonts w:eastAsia="Times New Roman"/>
          <w:sz w:val="20"/>
          <w:szCs w:val="20"/>
        </w:rPr>
      </w:pPr>
      <w:r w:rsidRPr="0017556A">
        <w:rPr>
          <w:rStyle w:val="EndnoteReference"/>
          <w:sz w:val="20"/>
          <w:szCs w:val="20"/>
        </w:rPr>
        <w:endnoteRef/>
      </w:r>
      <w:r w:rsidRPr="0017556A">
        <w:rPr>
          <w:sz w:val="20"/>
          <w:szCs w:val="20"/>
        </w:rPr>
        <w:t xml:space="preserve"> </w:t>
      </w:r>
      <w:r w:rsidRPr="0017556A">
        <w:rPr>
          <w:rFonts w:eastAsia="Times New Roman"/>
          <w:sz w:val="20"/>
          <w:szCs w:val="20"/>
        </w:rPr>
        <w:t xml:space="preserve">Holbrook, Daniel, Wesley M. Cohen, David A. </w:t>
      </w:r>
      <w:proofErr w:type="spellStart"/>
      <w:r w:rsidRPr="0017556A">
        <w:rPr>
          <w:rFonts w:eastAsia="Times New Roman"/>
          <w:sz w:val="20"/>
          <w:szCs w:val="20"/>
        </w:rPr>
        <w:t>Hounshell</w:t>
      </w:r>
      <w:proofErr w:type="spellEnd"/>
      <w:r w:rsidRPr="0017556A">
        <w:rPr>
          <w:rFonts w:eastAsia="Times New Roman"/>
          <w:sz w:val="20"/>
          <w:szCs w:val="20"/>
        </w:rPr>
        <w:t xml:space="preserve">, and Steven </w:t>
      </w:r>
      <w:proofErr w:type="spellStart"/>
      <w:r w:rsidRPr="0017556A">
        <w:rPr>
          <w:rFonts w:eastAsia="Times New Roman"/>
          <w:sz w:val="20"/>
          <w:szCs w:val="20"/>
        </w:rPr>
        <w:t>Klepper</w:t>
      </w:r>
      <w:proofErr w:type="spellEnd"/>
      <w:r w:rsidRPr="0017556A">
        <w:rPr>
          <w:rFonts w:eastAsia="Times New Roman"/>
          <w:sz w:val="20"/>
          <w:szCs w:val="20"/>
        </w:rPr>
        <w:t>. "The Nature, Sources, and Consequences of Firm Differences in the Early History of the Semiconductor Industry." </w:t>
      </w:r>
      <w:r w:rsidRPr="0017556A">
        <w:rPr>
          <w:rFonts w:eastAsia="Times New Roman"/>
          <w:i/>
          <w:iCs/>
          <w:sz w:val="20"/>
          <w:szCs w:val="20"/>
        </w:rPr>
        <w:t>Strategic Management Journal</w:t>
      </w:r>
      <w:r w:rsidRPr="0017556A">
        <w:rPr>
          <w:rFonts w:eastAsia="Times New Roman"/>
          <w:sz w:val="20"/>
          <w:szCs w:val="20"/>
        </w:rPr>
        <w:t xml:space="preserve"> 21, no. 10/11 (2000): 1017-041. </w:t>
      </w:r>
      <w:hyperlink r:id="rId1" w:history="1">
        <w:r w:rsidR="00543867" w:rsidRPr="00740848">
          <w:rPr>
            <w:rStyle w:val="Hyperlink"/>
            <w:rFonts w:eastAsia="Times New Roman"/>
            <w:sz w:val="20"/>
            <w:szCs w:val="20"/>
          </w:rPr>
          <w:t>http://www.jstor.org/stable/3094425</w:t>
        </w:r>
      </w:hyperlink>
      <w:r w:rsidRPr="0017556A">
        <w:rPr>
          <w:rFonts w:eastAsia="Times New Roman"/>
          <w:sz w:val="20"/>
          <w:szCs w:val="20"/>
        </w:rPr>
        <w:t xml:space="preserve">; </w:t>
      </w:r>
      <w:proofErr w:type="spellStart"/>
      <w:r w:rsidRPr="0017556A">
        <w:rPr>
          <w:rFonts w:eastAsia="Times New Roman"/>
          <w:sz w:val="20"/>
          <w:szCs w:val="20"/>
        </w:rPr>
        <w:t>Lécuyer</w:t>
      </w:r>
      <w:proofErr w:type="spellEnd"/>
      <w:r w:rsidRPr="0017556A">
        <w:rPr>
          <w:rFonts w:eastAsia="Times New Roman"/>
          <w:sz w:val="20"/>
          <w:szCs w:val="20"/>
        </w:rPr>
        <w:t>, Christophe., and David C. Brock, </w:t>
      </w:r>
      <w:r w:rsidRPr="0017556A">
        <w:rPr>
          <w:rFonts w:eastAsia="Times New Roman"/>
          <w:i/>
          <w:sz w:val="20"/>
          <w:szCs w:val="20"/>
        </w:rPr>
        <w:t>Documentary History</w:t>
      </w:r>
      <w:r w:rsidRPr="0017556A">
        <w:rPr>
          <w:rFonts w:eastAsia="Times New Roman"/>
          <w:sz w:val="20"/>
          <w:szCs w:val="20"/>
        </w:rPr>
        <w:t>, 56.</w:t>
      </w:r>
    </w:p>
  </w:endnote>
  <w:endnote w:id="20">
    <w:p w14:paraId="0001767A" w14:textId="5BD95C3E"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55-56.</w:t>
      </w:r>
    </w:p>
  </w:endnote>
  <w:endnote w:id="21">
    <w:p w14:paraId="1FFE14A0" w14:textId="6795BB6D"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75.</w:t>
      </w:r>
    </w:p>
  </w:endnote>
  <w:endnote w:id="22">
    <w:p w14:paraId="4BBA4209" w14:textId="7D79973B" w:rsidR="002320DF" w:rsidRPr="0017556A" w:rsidRDefault="002320DF">
      <w:pPr>
        <w:pStyle w:val="EndnoteText"/>
      </w:pPr>
      <w:r w:rsidRPr="0017556A">
        <w:rPr>
          <w:rStyle w:val="EndnoteReference"/>
        </w:rPr>
        <w:endnoteRef/>
      </w:r>
      <w:r w:rsidRPr="0017556A">
        <w:t xml:space="preserve"> Saturation resistance is “the inherent electrical resistance of the transistor when turned on.” See: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74.</w:t>
      </w:r>
    </w:p>
  </w:endnote>
  <w:endnote w:id="23">
    <w:p w14:paraId="258DA94A" w14:textId="051B65FF"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69, 73-74.</w:t>
      </w:r>
    </w:p>
  </w:endnote>
  <w:endnote w:id="24">
    <w:p w14:paraId="68CEAB02" w14:textId="426CFC00"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80-85.</w:t>
      </w:r>
    </w:p>
  </w:endnote>
  <w:endnote w:id="25">
    <w:p w14:paraId="66E21EC8" w14:textId="51D436E7"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101.</w:t>
      </w:r>
    </w:p>
  </w:endnote>
  <w:endnote w:id="26">
    <w:p w14:paraId="5F2CA71A" w14:textId="0CDEA45D"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103.</w:t>
      </w:r>
    </w:p>
  </w:endnote>
  <w:endnote w:id="27">
    <w:p w14:paraId="06A9A7A2" w14:textId="7C855C9D" w:rsidR="002320DF" w:rsidRPr="0017556A" w:rsidRDefault="002320DF" w:rsidP="007B2BB2">
      <w:pPr>
        <w:rPr>
          <w:sz w:val="20"/>
          <w:szCs w:val="20"/>
        </w:rPr>
      </w:pPr>
      <w:r w:rsidRPr="0017556A">
        <w:rPr>
          <w:rStyle w:val="EndnoteReference"/>
          <w:sz w:val="20"/>
          <w:szCs w:val="20"/>
        </w:rPr>
        <w:endnoteRef/>
      </w:r>
      <w:r w:rsidR="008C2DF8" w:rsidRPr="0017556A">
        <w:rPr>
          <w:sz w:val="20"/>
          <w:szCs w:val="20"/>
        </w:rPr>
        <w:t xml:space="preserve"> Moore, Gordon, “Silicon Technology,” 55</w:t>
      </w:r>
      <w:r w:rsidRPr="0017556A">
        <w:rPr>
          <w:sz w:val="20"/>
          <w:szCs w:val="20"/>
        </w:rPr>
        <w:t>.</w:t>
      </w:r>
    </w:p>
  </w:endnote>
  <w:endnote w:id="28">
    <w:p w14:paraId="1F542FF3" w14:textId="4B07E6BE"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252.</w:t>
      </w:r>
    </w:p>
  </w:endnote>
  <w:endnote w:id="29">
    <w:p w14:paraId="72D4EB8E" w14:textId="5E84C12F"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101.</w:t>
      </w:r>
    </w:p>
  </w:endnote>
  <w:endnote w:id="30">
    <w:p w14:paraId="7ED8BDC3" w14:textId="08F19558" w:rsidR="002320DF" w:rsidRPr="0017556A" w:rsidRDefault="002320DF">
      <w:pPr>
        <w:pStyle w:val="EndnoteText"/>
      </w:pPr>
      <w:r w:rsidRPr="0017556A">
        <w:rPr>
          <w:rStyle w:val="EndnoteReference"/>
        </w:rPr>
        <w:endnoteRef/>
      </w:r>
      <w:r w:rsidRPr="0017556A">
        <w:t xml:space="preserve"> Moore, Gordon, “Silicon Technology,” 56.</w:t>
      </w:r>
    </w:p>
  </w:endnote>
  <w:endnote w:id="31">
    <w:p w14:paraId="1A9CE5AB" w14:textId="1A881B10"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114.</w:t>
      </w:r>
    </w:p>
  </w:endnote>
  <w:endnote w:id="32">
    <w:p w14:paraId="2F9FC55C" w14:textId="60B091CA"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121.</w:t>
      </w:r>
    </w:p>
  </w:endnote>
  <w:endnote w:id="33">
    <w:p w14:paraId="239069CF" w14:textId="7BAAF6E5"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123.</w:t>
      </w:r>
    </w:p>
  </w:endnote>
  <w:endnote w:id="34">
    <w:p w14:paraId="759AD59C" w14:textId="1B170B79"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127.</w:t>
      </w:r>
    </w:p>
  </w:endnote>
  <w:endnote w:id="35">
    <w:p w14:paraId="10FEA707" w14:textId="60AC8A3E"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130.</w:t>
      </w:r>
    </w:p>
  </w:endnote>
  <w:endnote w:id="36">
    <w:p w14:paraId="3F167DF6" w14:textId="4E7E52F4" w:rsidR="002320DF" w:rsidRPr="0017556A" w:rsidRDefault="002320DF" w:rsidP="00E879E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123, 127-129.</w:t>
      </w:r>
    </w:p>
  </w:endnote>
  <w:endnote w:id="37">
    <w:p w14:paraId="6011D689" w14:textId="2C3EF89B"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146.</w:t>
      </w:r>
    </w:p>
  </w:endnote>
  <w:endnote w:id="38">
    <w:p w14:paraId="73060612" w14:textId="6CFAF41D"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146.</w:t>
      </w:r>
    </w:p>
  </w:endnote>
  <w:endnote w:id="39">
    <w:p w14:paraId="1162FEC0" w14:textId="23CB9CFC"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147, 149.</w:t>
      </w:r>
    </w:p>
  </w:endnote>
  <w:endnote w:id="40">
    <w:p w14:paraId="0561950D" w14:textId="23853034"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149.</w:t>
      </w:r>
    </w:p>
  </w:endnote>
  <w:endnote w:id="41">
    <w:p w14:paraId="0F5F7A5F" w14:textId="77777777" w:rsidR="002320DF" w:rsidRPr="0017556A" w:rsidRDefault="002320DF" w:rsidP="003153CB">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254.</w:t>
      </w:r>
    </w:p>
  </w:endnote>
  <w:endnote w:id="42">
    <w:p w14:paraId="2BF80F1D" w14:textId="49660E68"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142.</w:t>
      </w:r>
    </w:p>
  </w:endnote>
  <w:endnote w:id="43">
    <w:p w14:paraId="3EBAFB58" w14:textId="5F843E2E"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141-144.</w:t>
      </w:r>
    </w:p>
  </w:endnote>
  <w:endnote w:id="44">
    <w:p w14:paraId="235EB865" w14:textId="3F7C3EF7" w:rsidR="002320DF" w:rsidRPr="0017556A" w:rsidRDefault="002320DF">
      <w:pPr>
        <w:pStyle w:val="EndnoteText"/>
      </w:pPr>
      <w:r w:rsidRPr="0017556A">
        <w:rPr>
          <w:rStyle w:val="EndnoteReference"/>
        </w:rPr>
        <w:endnoteRef/>
      </w:r>
      <w:r w:rsidRPr="0017556A">
        <w:t xml:space="preserve"> </w:t>
      </w:r>
      <w:r w:rsidRPr="0017556A">
        <w:rPr>
          <w:shd w:val="clear" w:color="auto" w:fill="FFFFFF"/>
        </w:rPr>
        <w:t>Robert Noyce, interviewed by Michael F. Wolff at the IEEE History Center, September 19, 1975.</w:t>
      </w:r>
    </w:p>
  </w:endnote>
  <w:endnote w:id="45">
    <w:p w14:paraId="76C2BC7B" w14:textId="77777777" w:rsidR="002320DF" w:rsidRPr="0017556A" w:rsidRDefault="002320DF" w:rsidP="00367CF1">
      <w:pPr>
        <w:shd w:val="clear" w:color="auto" w:fill="FFFFFF"/>
        <w:spacing w:line="240" w:lineRule="auto"/>
        <w:rPr>
          <w:rFonts w:eastAsia="Times New Roman"/>
          <w:sz w:val="20"/>
          <w:szCs w:val="20"/>
        </w:rPr>
      </w:pPr>
      <w:r w:rsidRPr="0017556A">
        <w:rPr>
          <w:rStyle w:val="EndnoteReference"/>
          <w:sz w:val="20"/>
          <w:szCs w:val="20"/>
        </w:rPr>
        <w:endnoteRef/>
      </w:r>
      <w:r w:rsidRPr="0017556A">
        <w:rPr>
          <w:sz w:val="20"/>
          <w:szCs w:val="20"/>
        </w:rPr>
        <w:t xml:space="preserve"> </w:t>
      </w:r>
      <w:r w:rsidRPr="0017556A">
        <w:rPr>
          <w:rFonts w:eastAsia="Times New Roman"/>
          <w:sz w:val="20"/>
          <w:szCs w:val="20"/>
        </w:rPr>
        <w:t xml:space="preserve">Hughes, M. John. </w:t>
      </w:r>
      <w:r w:rsidRPr="0017556A">
        <w:rPr>
          <w:rFonts w:eastAsia="Times New Roman"/>
          <w:i/>
          <w:sz w:val="20"/>
          <w:szCs w:val="20"/>
        </w:rPr>
        <w:t>Practical Electronics: Components and Techniques</w:t>
      </w:r>
      <w:r w:rsidRPr="0017556A">
        <w:rPr>
          <w:rFonts w:eastAsia="Times New Roman"/>
          <w:sz w:val="20"/>
          <w:szCs w:val="20"/>
        </w:rPr>
        <w:t>. O’Reilly Media, Inc., 2015.</w:t>
      </w:r>
    </w:p>
  </w:endnote>
  <w:endnote w:id="46">
    <w:p w14:paraId="4F69E914" w14:textId="7A934629"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150.</w:t>
      </w:r>
    </w:p>
  </w:endnote>
  <w:endnote w:id="47">
    <w:p w14:paraId="66640B35" w14:textId="5A66B783" w:rsidR="002320DF" w:rsidRPr="0017556A" w:rsidRDefault="002320DF">
      <w:pPr>
        <w:pStyle w:val="EndnoteText"/>
      </w:pPr>
      <w:r w:rsidRPr="0017556A">
        <w:rPr>
          <w:rStyle w:val="EndnoteReference"/>
        </w:rPr>
        <w:endnoteRef/>
      </w:r>
      <w:r w:rsidRPr="0017556A">
        <w:t xml:space="preserve"> Fairchild Founders, interviewed by Leslie Berlin at Stanford University, October 4, 2007.</w:t>
      </w:r>
    </w:p>
  </w:endnote>
  <w:endnote w:id="48">
    <w:p w14:paraId="133F339C" w14:textId="5E5BC0DC" w:rsidR="002320DF" w:rsidRPr="0017556A" w:rsidRDefault="002320DF">
      <w:pPr>
        <w:pStyle w:val="EndnoteText"/>
      </w:pPr>
      <w:r w:rsidRPr="0017556A">
        <w:rPr>
          <w:rStyle w:val="EndnoteReference"/>
        </w:rPr>
        <w:endnoteRef/>
      </w:r>
      <w:r w:rsidRPr="0017556A">
        <w:t xml:space="preserve"> </w:t>
      </w:r>
      <w:r w:rsidRPr="0017556A">
        <w:rPr>
          <w:shd w:val="clear" w:color="auto" w:fill="FFFFFF"/>
        </w:rPr>
        <w:t>Robert Noyce, interviewed by Michael F. Wolff at the IEEE History Center, September 19, 1975.</w:t>
      </w:r>
    </w:p>
  </w:endnote>
  <w:endnote w:id="49">
    <w:p w14:paraId="17302E6E" w14:textId="141DA581"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158.</w:t>
      </w:r>
    </w:p>
  </w:endnote>
  <w:endnote w:id="50">
    <w:p w14:paraId="0A9E9731" w14:textId="1A40FC83"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162, 166-167.</w:t>
      </w:r>
    </w:p>
  </w:endnote>
  <w:endnote w:id="51">
    <w:p w14:paraId="1E646DA0" w14:textId="7989FD3A"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168-170.</w:t>
      </w:r>
    </w:p>
  </w:endnote>
  <w:endnote w:id="52">
    <w:p w14:paraId="3B700205" w14:textId="7E9D4A58"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174.</w:t>
      </w:r>
    </w:p>
  </w:endnote>
  <w:endnote w:id="53">
    <w:p w14:paraId="62FFDFCD" w14:textId="15002F81"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175-176.</w:t>
      </w:r>
    </w:p>
  </w:endnote>
  <w:endnote w:id="54">
    <w:p w14:paraId="7BAD3C18" w14:textId="3252943C"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180-182.</w:t>
      </w:r>
    </w:p>
  </w:endnote>
  <w:endnote w:id="55">
    <w:p w14:paraId="1858EAC2" w14:textId="670914B0"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184.</w:t>
      </w:r>
    </w:p>
  </w:endnote>
  <w:endnote w:id="56">
    <w:p w14:paraId="26726FA1" w14:textId="36C3FAAD"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183.</w:t>
      </w:r>
    </w:p>
  </w:endnote>
  <w:endnote w:id="57">
    <w:p w14:paraId="737C98C8" w14:textId="28D9F619"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185.</w:t>
      </w:r>
    </w:p>
  </w:endnote>
  <w:endnote w:id="58">
    <w:p w14:paraId="13CFF27A" w14:textId="45B78759"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186.</w:t>
      </w:r>
    </w:p>
  </w:endnote>
  <w:endnote w:id="59">
    <w:p w14:paraId="76046C5C" w14:textId="703894F6"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187-189.</w:t>
      </w:r>
    </w:p>
  </w:endnote>
  <w:endnote w:id="60">
    <w:p w14:paraId="06770291" w14:textId="77777777" w:rsidR="002320DF" w:rsidRPr="0017556A" w:rsidRDefault="002320DF" w:rsidP="007E1A46">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193, 198.</w:t>
      </w:r>
    </w:p>
  </w:endnote>
  <w:endnote w:id="61">
    <w:p w14:paraId="591C9A8F" w14:textId="1D45A404"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xml:space="preserve">, </w:t>
      </w:r>
      <w:r w:rsidR="00962212" w:rsidRPr="0017556A">
        <w:rPr>
          <w:rFonts w:eastAsia="Times New Roman"/>
        </w:rPr>
        <w:t>203</w:t>
      </w:r>
      <w:r w:rsidRPr="0017556A">
        <w:rPr>
          <w:rFonts w:eastAsia="Times New Roman"/>
        </w:rPr>
        <w:t>.</w:t>
      </w:r>
    </w:p>
  </w:endnote>
  <w:endnote w:id="62">
    <w:p w14:paraId="342B1CC8" w14:textId="24F1010B" w:rsidR="00962052" w:rsidRPr="0017556A" w:rsidRDefault="00962052">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20</w:t>
      </w:r>
      <w:r w:rsidRPr="0017556A">
        <w:rPr>
          <w:rFonts w:eastAsia="Times New Roman"/>
        </w:rPr>
        <w:t>4.</w:t>
      </w:r>
    </w:p>
  </w:endnote>
  <w:endnote w:id="63">
    <w:p w14:paraId="7D386D06" w14:textId="0416D7B9"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210.</w:t>
      </w:r>
    </w:p>
  </w:endnote>
  <w:endnote w:id="64">
    <w:p w14:paraId="13437714" w14:textId="1F340435"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214.</w:t>
      </w:r>
    </w:p>
  </w:endnote>
  <w:endnote w:id="65">
    <w:p w14:paraId="142A11C6" w14:textId="533DC3D9"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231.</w:t>
      </w:r>
    </w:p>
  </w:endnote>
  <w:endnote w:id="66">
    <w:p w14:paraId="5FD47C28" w14:textId="44323382" w:rsidR="002320DF" w:rsidRPr="0017556A" w:rsidRDefault="002320DF" w:rsidP="00E879EB">
      <w:pPr>
        <w:rPr>
          <w:sz w:val="20"/>
          <w:szCs w:val="20"/>
        </w:rPr>
      </w:pPr>
      <w:r w:rsidRPr="0017556A">
        <w:rPr>
          <w:rStyle w:val="EndnoteReference"/>
          <w:sz w:val="20"/>
          <w:szCs w:val="20"/>
        </w:rPr>
        <w:endnoteRef/>
      </w:r>
      <w:r w:rsidRPr="0017556A">
        <w:rPr>
          <w:sz w:val="20"/>
          <w:szCs w:val="20"/>
        </w:rPr>
        <w:t xml:space="preserve"> Laws, David A.,"A Company of Legend: The Legacy of Fairchild Semiconductor," IEEE Annals </w:t>
      </w:r>
      <w:proofErr w:type="gramStart"/>
      <w:r w:rsidRPr="0017556A">
        <w:rPr>
          <w:sz w:val="20"/>
          <w:szCs w:val="20"/>
        </w:rPr>
        <w:t>Of</w:t>
      </w:r>
      <w:proofErr w:type="gramEnd"/>
      <w:r w:rsidRPr="0017556A">
        <w:rPr>
          <w:sz w:val="20"/>
          <w:szCs w:val="20"/>
        </w:rPr>
        <w:t xml:space="preserve"> The History Of Computing 32, no. 1: 60-74, (Academic Search Complete, EBSCOhost (accessed June 4, 2018)), 4.</w:t>
      </w:r>
    </w:p>
  </w:endnote>
  <w:endnote w:id="67">
    <w:p w14:paraId="40E8CBD6" w14:textId="60B1370D" w:rsidR="002320DF" w:rsidRPr="0017556A" w:rsidRDefault="002320DF">
      <w:pPr>
        <w:pStyle w:val="EndnoteText"/>
      </w:pPr>
      <w:r w:rsidRPr="0017556A">
        <w:rPr>
          <w:rStyle w:val="EndnoteReference"/>
        </w:rPr>
        <w:endnoteRef/>
      </w:r>
      <w:r w:rsidRPr="0017556A">
        <w:t xml:space="preserve"> </w:t>
      </w:r>
      <w:proofErr w:type="spellStart"/>
      <w:r w:rsidRPr="0017556A">
        <w:rPr>
          <w:rFonts w:eastAsia="Times New Roman"/>
        </w:rPr>
        <w:t>Lécuyer</w:t>
      </w:r>
      <w:proofErr w:type="spellEnd"/>
      <w:r w:rsidRPr="0017556A">
        <w:rPr>
          <w:rFonts w:eastAsia="Times New Roman"/>
        </w:rPr>
        <w:t>, Christophe., and David C. Brock, </w:t>
      </w:r>
      <w:r w:rsidRPr="0017556A">
        <w:rPr>
          <w:rFonts w:eastAsia="Times New Roman"/>
          <w:i/>
        </w:rPr>
        <w:t>Documentary History</w:t>
      </w:r>
      <w:r w:rsidRPr="0017556A">
        <w:rPr>
          <w:rFonts w:eastAsia="Times New Roman"/>
        </w:rPr>
        <w:t>, 229.</w:t>
      </w:r>
    </w:p>
  </w:endnote>
  <w:endnote w:id="68">
    <w:p w14:paraId="4CC9A36C" w14:textId="505CD10C" w:rsidR="002320DF" w:rsidRPr="0017556A" w:rsidRDefault="002320DF" w:rsidP="00E879EB">
      <w:pPr>
        <w:pStyle w:val="EndnoteText"/>
      </w:pPr>
      <w:r w:rsidRPr="0017556A">
        <w:rPr>
          <w:rStyle w:val="EndnoteReference"/>
        </w:rPr>
        <w:endnoteRef/>
      </w:r>
      <w:r w:rsidRPr="0017556A">
        <w:t xml:space="preserve"> Fairchild Founders, interviewed by Leslie Berlin at Stanford University, October 4, 2007.</w:t>
      </w:r>
    </w:p>
  </w:endnote>
  <w:endnote w:id="69">
    <w:p w14:paraId="7D6338E6" w14:textId="161C97C9" w:rsidR="002320DF" w:rsidRPr="0017556A" w:rsidRDefault="002320DF">
      <w:pPr>
        <w:pStyle w:val="EndnoteText"/>
      </w:pPr>
      <w:r w:rsidRPr="0017556A">
        <w:rPr>
          <w:rStyle w:val="EndnoteReference"/>
        </w:rPr>
        <w:endnoteRef/>
      </w:r>
      <w:r w:rsidRPr="0017556A">
        <w:t xml:space="preserve"> </w:t>
      </w:r>
      <w:r w:rsidRPr="0017556A">
        <w:rPr>
          <w:shd w:val="clear" w:color="auto" w:fill="FFFFFF"/>
        </w:rPr>
        <w:t>Robert Noyce, interviewed by Michael F. Wolff at the IEEE History Center, September 19, 1975.</w:t>
      </w:r>
    </w:p>
  </w:endnote>
  <w:endnote w:id="70">
    <w:p w14:paraId="455A4B43" w14:textId="3311EF1C" w:rsidR="002320DF" w:rsidRPr="0017556A" w:rsidRDefault="002320DF" w:rsidP="00E879EB">
      <w:pPr>
        <w:pStyle w:val="EndnoteText"/>
      </w:pPr>
      <w:r w:rsidRPr="0017556A">
        <w:rPr>
          <w:rStyle w:val="EndnoteReference"/>
        </w:rPr>
        <w:endnoteRef/>
      </w:r>
      <w:r w:rsidRPr="0017556A">
        <w:t xml:space="preserve"> Laws, David A., “The Legacy of Fairchild Semiconductor,” 5.</w:t>
      </w:r>
    </w:p>
  </w:endnote>
  <w:endnote w:id="71">
    <w:p w14:paraId="21F0D085" w14:textId="30D49553" w:rsidR="002320DF" w:rsidRPr="0017556A" w:rsidRDefault="002320DF">
      <w:pPr>
        <w:pStyle w:val="EndnoteText"/>
      </w:pPr>
      <w:r w:rsidRPr="0017556A">
        <w:rPr>
          <w:rStyle w:val="EndnoteReference"/>
        </w:rPr>
        <w:endnoteRef/>
      </w:r>
      <w:r w:rsidRPr="0017556A">
        <w:t xml:space="preserve"> Laws, David A., “The Legacy of Fairchild Semiconductor,” 10.</w:t>
      </w:r>
    </w:p>
  </w:endnote>
  <w:endnote w:id="72">
    <w:p w14:paraId="79D0E3C3" w14:textId="34A3D6C6" w:rsidR="002320DF" w:rsidRPr="0017556A" w:rsidRDefault="002320DF">
      <w:pPr>
        <w:pStyle w:val="EndnoteText"/>
      </w:pPr>
      <w:r w:rsidRPr="0017556A">
        <w:rPr>
          <w:rStyle w:val="EndnoteReference"/>
        </w:rPr>
        <w:endnoteRef/>
      </w:r>
      <w:r w:rsidRPr="0017556A">
        <w:t xml:space="preserve"> Campbell-Kelly, </w:t>
      </w:r>
      <w:proofErr w:type="spellStart"/>
      <w:r w:rsidRPr="0017556A">
        <w:t>Aspray</w:t>
      </w:r>
      <w:proofErr w:type="spellEnd"/>
      <w:r w:rsidRPr="0017556A">
        <w:t xml:space="preserve">, and </w:t>
      </w:r>
      <w:proofErr w:type="spellStart"/>
      <w:r w:rsidRPr="0017556A">
        <w:t>Aspray</w:t>
      </w:r>
      <w:proofErr w:type="spellEnd"/>
      <w:r w:rsidRPr="0017556A">
        <w:t xml:space="preserve">, William, </w:t>
      </w:r>
      <w:proofErr w:type="gramStart"/>
      <w:r w:rsidRPr="0017556A">
        <w:rPr>
          <w:i/>
        </w:rPr>
        <w:t>Computer :</w:t>
      </w:r>
      <w:proofErr w:type="gramEnd"/>
      <w:r w:rsidRPr="0017556A">
        <w:rPr>
          <w:i/>
        </w:rPr>
        <w:t xml:space="preserve"> A History of the Information Machine</w:t>
      </w:r>
      <w:r w:rsidRPr="0017556A">
        <w:t>, 2nd ed., Sloan Technology Series, (Boulder, Colo.: Westview Press, 2004), 203.</w:t>
      </w:r>
    </w:p>
  </w:endnote>
  <w:endnote w:id="73">
    <w:p w14:paraId="08805057" w14:textId="135EF68E" w:rsidR="002320DF" w:rsidRPr="0017556A" w:rsidRDefault="002320DF">
      <w:pPr>
        <w:pStyle w:val="EndnoteText"/>
      </w:pPr>
      <w:r w:rsidRPr="0017556A">
        <w:rPr>
          <w:rStyle w:val="EndnoteReference"/>
        </w:rPr>
        <w:endnoteRef/>
      </w:r>
      <w:r w:rsidRPr="0017556A">
        <w:t xml:space="preserve"> Campbell-Kelly, </w:t>
      </w:r>
      <w:proofErr w:type="spellStart"/>
      <w:r w:rsidRPr="0017556A">
        <w:t>Aspray</w:t>
      </w:r>
      <w:proofErr w:type="spellEnd"/>
      <w:r w:rsidRPr="0017556A">
        <w:t xml:space="preserve">, and </w:t>
      </w:r>
      <w:proofErr w:type="spellStart"/>
      <w:r w:rsidRPr="0017556A">
        <w:t>Aspray</w:t>
      </w:r>
      <w:proofErr w:type="spellEnd"/>
      <w:r w:rsidRPr="0017556A">
        <w:t xml:space="preserve">, William, </w:t>
      </w:r>
      <w:proofErr w:type="gramStart"/>
      <w:r w:rsidRPr="0017556A">
        <w:rPr>
          <w:i/>
        </w:rPr>
        <w:t>Computer :</w:t>
      </w:r>
      <w:proofErr w:type="gramEnd"/>
      <w:r w:rsidRPr="0017556A">
        <w:rPr>
          <w:i/>
        </w:rPr>
        <w:t xml:space="preserve"> A History</w:t>
      </w:r>
      <w:r w:rsidRPr="0017556A">
        <w:t>, 203-204.</w:t>
      </w:r>
    </w:p>
  </w:endnote>
  <w:endnote w:id="74">
    <w:p w14:paraId="5D9A38E4" w14:textId="2FAD5EB2" w:rsidR="002320DF" w:rsidRPr="0017556A" w:rsidRDefault="002320DF">
      <w:pPr>
        <w:pStyle w:val="EndnoteText"/>
      </w:pPr>
      <w:r w:rsidRPr="0017556A">
        <w:rPr>
          <w:rStyle w:val="EndnoteReference"/>
        </w:rPr>
        <w:endnoteRef/>
      </w:r>
      <w:r w:rsidRPr="0017556A">
        <w:t xml:space="preserve"> Campbell-Kelly, </w:t>
      </w:r>
      <w:proofErr w:type="spellStart"/>
      <w:r w:rsidRPr="0017556A">
        <w:t>Aspray</w:t>
      </w:r>
      <w:proofErr w:type="spellEnd"/>
      <w:r w:rsidRPr="0017556A">
        <w:t xml:space="preserve">, and </w:t>
      </w:r>
      <w:proofErr w:type="spellStart"/>
      <w:r w:rsidRPr="0017556A">
        <w:t>Aspray</w:t>
      </w:r>
      <w:proofErr w:type="spellEnd"/>
      <w:r w:rsidRPr="0017556A">
        <w:t xml:space="preserve">, William, </w:t>
      </w:r>
      <w:proofErr w:type="gramStart"/>
      <w:r w:rsidRPr="0017556A">
        <w:rPr>
          <w:i/>
        </w:rPr>
        <w:t>Computer :</w:t>
      </w:r>
      <w:proofErr w:type="gramEnd"/>
      <w:r w:rsidRPr="0017556A">
        <w:rPr>
          <w:i/>
        </w:rPr>
        <w:t xml:space="preserve"> A History</w:t>
      </w:r>
      <w:r w:rsidRPr="0017556A">
        <w:t>, 203-204.</w:t>
      </w:r>
    </w:p>
  </w:endnote>
  <w:endnote w:id="75">
    <w:p w14:paraId="215EC7E7" w14:textId="599BF39A" w:rsidR="002320DF" w:rsidRPr="0017556A" w:rsidRDefault="002320DF">
      <w:pPr>
        <w:pStyle w:val="EndnoteText"/>
      </w:pPr>
      <w:r w:rsidRPr="0017556A">
        <w:rPr>
          <w:rStyle w:val="EndnoteReference"/>
        </w:rPr>
        <w:endnoteRef/>
      </w:r>
      <w:r w:rsidRPr="0017556A">
        <w:t xml:space="preserve"> Campbell-Kelly, </w:t>
      </w:r>
      <w:proofErr w:type="spellStart"/>
      <w:r w:rsidRPr="0017556A">
        <w:t>Aspray</w:t>
      </w:r>
      <w:proofErr w:type="spellEnd"/>
      <w:r w:rsidRPr="0017556A">
        <w:t xml:space="preserve">, and </w:t>
      </w:r>
      <w:proofErr w:type="spellStart"/>
      <w:r w:rsidRPr="0017556A">
        <w:t>Aspray</w:t>
      </w:r>
      <w:proofErr w:type="spellEnd"/>
      <w:r w:rsidRPr="0017556A">
        <w:t xml:space="preserve">, William, </w:t>
      </w:r>
      <w:proofErr w:type="gramStart"/>
      <w:r w:rsidRPr="0017556A">
        <w:rPr>
          <w:i/>
        </w:rPr>
        <w:t>Computer :</w:t>
      </w:r>
      <w:proofErr w:type="gramEnd"/>
      <w:r w:rsidRPr="0017556A">
        <w:rPr>
          <w:i/>
        </w:rPr>
        <w:t xml:space="preserve"> A History</w:t>
      </w:r>
      <w:r w:rsidRPr="0017556A">
        <w:t>, 210.</w:t>
      </w:r>
    </w:p>
  </w:endnote>
  <w:endnote w:id="76">
    <w:p w14:paraId="5D0E4888" w14:textId="44D1EAE3" w:rsidR="002320DF" w:rsidRPr="0017556A" w:rsidRDefault="002320DF">
      <w:pPr>
        <w:pStyle w:val="EndnoteText"/>
      </w:pPr>
      <w:r w:rsidRPr="0017556A">
        <w:rPr>
          <w:rStyle w:val="EndnoteReference"/>
        </w:rPr>
        <w:endnoteRef/>
      </w:r>
      <w:r w:rsidRPr="0017556A">
        <w:t xml:space="preserve"> Gates, Bill, "What I Know Now," People, vol. 61, no. 14, 12 Apr. 2004, p. 86. EBSCOhost, </w:t>
      </w:r>
      <w:proofErr w:type="gramStart"/>
      <w:r w:rsidRPr="0017556A">
        <w:t>search.ebscohost.com/login.aspx?direct</w:t>
      </w:r>
      <w:proofErr w:type="gramEnd"/>
      <w:r w:rsidRPr="0017556A">
        <w:t>=true&amp;db=a9h&amp;AN=12827305&amp;site=ehost-live.</w:t>
      </w:r>
    </w:p>
  </w:endnote>
  <w:endnote w:id="77">
    <w:p w14:paraId="4BC96120" w14:textId="51FA21DB" w:rsidR="002320DF" w:rsidRPr="0017556A" w:rsidRDefault="002320DF">
      <w:pPr>
        <w:pStyle w:val="EndnoteText"/>
      </w:pPr>
      <w:r w:rsidRPr="0017556A">
        <w:rPr>
          <w:rStyle w:val="EndnoteReference"/>
        </w:rPr>
        <w:endnoteRef/>
      </w:r>
      <w:r w:rsidRPr="0017556A">
        <w:t xml:space="preserve"> Gates, Bill, "What I Know Now,</w:t>
      </w:r>
      <w:r w:rsidR="00250A2A" w:rsidRPr="0017556A">
        <w:t>”</w:t>
      </w:r>
      <w:r w:rsidRPr="0017556A">
        <w:t xml:space="preserve"> </w:t>
      </w:r>
      <w:proofErr w:type="gramStart"/>
      <w:r w:rsidRPr="0017556A">
        <w:t>86..</w:t>
      </w:r>
      <w:proofErr w:type="gramEnd"/>
    </w:p>
  </w:endnote>
  <w:endnote w:id="78">
    <w:p w14:paraId="0033FEF8" w14:textId="52591411" w:rsidR="002320DF" w:rsidRPr="0017556A" w:rsidRDefault="002320DF" w:rsidP="00AE5F2B">
      <w:pPr>
        <w:spacing w:line="240" w:lineRule="auto"/>
        <w:rPr>
          <w:sz w:val="20"/>
          <w:szCs w:val="20"/>
        </w:rPr>
      </w:pPr>
      <w:r w:rsidRPr="0017556A">
        <w:rPr>
          <w:rStyle w:val="EndnoteReference"/>
          <w:sz w:val="20"/>
          <w:szCs w:val="20"/>
        </w:rPr>
        <w:endnoteRef/>
      </w:r>
      <w:r w:rsidRPr="0017556A">
        <w:rPr>
          <w:sz w:val="20"/>
          <w:szCs w:val="20"/>
        </w:rPr>
        <w:t xml:space="preserve"> </w:t>
      </w:r>
      <w:r w:rsidRPr="0017556A">
        <w:rPr>
          <w:sz w:val="20"/>
          <w:szCs w:val="20"/>
          <w:shd w:val="clear" w:color="auto" w:fill="FFFFFF"/>
        </w:rPr>
        <w:t xml:space="preserve">Elmer-Dewitt, Philip, "By the Numbers: How Foxconn Churns out Apple's </w:t>
      </w:r>
      <w:proofErr w:type="spellStart"/>
      <w:r w:rsidRPr="0017556A">
        <w:rPr>
          <w:sz w:val="20"/>
          <w:szCs w:val="20"/>
          <w:shd w:val="clear" w:color="auto" w:fill="FFFFFF"/>
        </w:rPr>
        <w:t>IPhone</w:t>
      </w:r>
      <w:proofErr w:type="spellEnd"/>
      <w:r w:rsidRPr="0017556A">
        <w:rPr>
          <w:sz w:val="20"/>
          <w:szCs w:val="20"/>
          <w:shd w:val="clear" w:color="auto" w:fill="FFFFFF"/>
        </w:rPr>
        <w:t xml:space="preserve"> 5S," (Fortune, November 27, 2013, Accessed June 06, 2018, </w:t>
      </w:r>
      <w:hyperlink r:id="rId2" w:history="1">
        <w:r w:rsidR="00B279FC" w:rsidRPr="0017556A">
          <w:rPr>
            <w:rStyle w:val="Hyperlink"/>
            <w:sz w:val="20"/>
            <w:szCs w:val="20"/>
            <w:shd w:val="clear" w:color="auto" w:fill="FFFFFF"/>
          </w:rPr>
          <w:t>http://fortune.com/2013/11/27/by-the-numbers-how-foxconn-churns-out-apples-iphone-5s/</w:t>
        </w:r>
      </w:hyperlink>
      <w:r w:rsidRPr="0017556A">
        <w:rPr>
          <w:sz w:val="20"/>
          <w:szCs w:val="20"/>
          <w:shd w:val="clear" w:color="auto" w:fill="FFFFFF"/>
        </w:rPr>
        <w:t>)</w:t>
      </w:r>
      <w:r w:rsidR="00B279FC" w:rsidRPr="0017556A">
        <w:rPr>
          <w:sz w:val="20"/>
          <w:szCs w:val="20"/>
          <w:shd w:val="clear" w:color="auto" w:fill="FFFFFF"/>
        </w:rPr>
        <w:t xml:space="preserve">; Hincks, Joseph. "Samsung Is Investing $18 Billion in Memory Chip Production." Fortune. July 4, 2017. Accessed June 06, 2018. http://fortune.com/2017/07/04/samsung-memory-chip-investment/. </w:t>
      </w:r>
    </w:p>
  </w:endnote>
  <w:endnote w:id="79">
    <w:p w14:paraId="37D55AE9" w14:textId="588AE543" w:rsidR="002320DF" w:rsidRPr="0017556A" w:rsidRDefault="002320DF">
      <w:pPr>
        <w:pStyle w:val="EndnoteText"/>
      </w:pPr>
      <w:r w:rsidRPr="0017556A">
        <w:rPr>
          <w:rStyle w:val="EndnoteReference"/>
        </w:rPr>
        <w:endnoteRef/>
      </w:r>
      <w:r w:rsidRPr="0017556A">
        <w:t xml:space="preserve"> Laws, David A., “The Legacy of Fairchild Semiconductor,” 13.</w:t>
      </w:r>
    </w:p>
  </w:endnote>
  <w:endnote w:id="80">
    <w:p w14:paraId="2211015D" w14:textId="66C7D072" w:rsidR="002320DF" w:rsidRPr="0017556A" w:rsidRDefault="002320DF">
      <w:pPr>
        <w:pStyle w:val="EndnoteText"/>
      </w:pPr>
      <w:r w:rsidRPr="0017556A">
        <w:rPr>
          <w:rStyle w:val="EndnoteReference"/>
        </w:rPr>
        <w:endnoteRef/>
      </w:r>
      <w:r w:rsidRPr="0017556A">
        <w:t xml:space="preserve"> Laws, David A., “The Legacy of Fairchild Semiconductor,” 14.</w:t>
      </w:r>
    </w:p>
  </w:endnote>
  <w:endnote w:id="81">
    <w:p w14:paraId="6CAEF1C2" w14:textId="0E7D92B8" w:rsidR="00247C1E" w:rsidRPr="0017556A" w:rsidRDefault="002320DF">
      <w:pPr>
        <w:pStyle w:val="EndnoteText"/>
      </w:pPr>
      <w:r w:rsidRPr="0017556A">
        <w:rPr>
          <w:rStyle w:val="EndnoteReference"/>
        </w:rPr>
        <w:endnoteRef/>
      </w:r>
      <w:r w:rsidRPr="0017556A">
        <w:t xml:space="preserve"> Campbell-Kelly, </w:t>
      </w:r>
      <w:proofErr w:type="spellStart"/>
      <w:r w:rsidRPr="0017556A">
        <w:t>Aspray</w:t>
      </w:r>
      <w:proofErr w:type="spellEnd"/>
      <w:r w:rsidRPr="0017556A">
        <w:t xml:space="preserve">, and </w:t>
      </w:r>
      <w:proofErr w:type="spellStart"/>
      <w:r w:rsidRPr="0017556A">
        <w:t>Aspray</w:t>
      </w:r>
      <w:proofErr w:type="spellEnd"/>
      <w:r w:rsidRPr="0017556A">
        <w:t xml:space="preserve">, William, </w:t>
      </w:r>
      <w:proofErr w:type="gramStart"/>
      <w:r w:rsidRPr="0017556A">
        <w:rPr>
          <w:i/>
        </w:rPr>
        <w:t>Computer :</w:t>
      </w:r>
      <w:proofErr w:type="gramEnd"/>
      <w:r w:rsidRPr="0017556A">
        <w:rPr>
          <w:i/>
        </w:rPr>
        <w:t xml:space="preserve"> A History</w:t>
      </w:r>
      <w:r w:rsidRPr="0017556A">
        <w:t>, 203.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26B0" w14:textId="77777777" w:rsidR="00422902" w:rsidRDefault="00422902" w:rsidP="00A45469">
      <w:pPr>
        <w:spacing w:line="240" w:lineRule="auto"/>
      </w:pPr>
      <w:r>
        <w:separator/>
      </w:r>
    </w:p>
  </w:footnote>
  <w:footnote w:type="continuationSeparator" w:id="0">
    <w:p w14:paraId="757EFF50" w14:textId="77777777" w:rsidR="00422902" w:rsidRDefault="00422902" w:rsidP="00A454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59FFD" w14:textId="04341601" w:rsidR="002320DF" w:rsidRDefault="002320DF" w:rsidP="00914683">
    <w:pPr>
      <w:pStyle w:val="Header"/>
      <w:jc w:val="right"/>
    </w:pPr>
    <w:r>
      <w:t xml:space="preserve">Tang </w:t>
    </w:r>
    <w:sdt>
      <w:sdtPr>
        <w:id w:val="-18162444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8AB33C9" w14:textId="77777777" w:rsidR="002320DF" w:rsidRDefault="002320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46B"/>
    <w:rsid w:val="000009EC"/>
    <w:rsid w:val="00001AAF"/>
    <w:rsid w:val="00004856"/>
    <w:rsid w:val="00005033"/>
    <w:rsid w:val="00005542"/>
    <w:rsid w:val="00005544"/>
    <w:rsid w:val="000070BF"/>
    <w:rsid w:val="00007116"/>
    <w:rsid w:val="000105FC"/>
    <w:rsid w:val="00010DE5"/>
    <w:rsid w:val="00013EC1"/>
    <w:rsid w:val="00014841"/>
    <w:rsid w:val="0001650C"/>
    <w:rsid w:val="00016BF2"/>
    <w:rsid w:val="00021C76"/>
    <w:rsid w:val="00022F0E"/>
    <w:rsid w:val="00024137"/>
    <w:rsid w:val="000243AE"/>
    <w:rsid w:val="000257D3"/>
    <w:rsid w:val="00026754"/>
    <w:rsid w:val="00030644"/>
    <w:rsid w:val="00032B45"/>
    <w:rsid w:val="00032F60"/>
    <w:rsid w:val="00036AF7"/>
    <w:rsid w:val="00040138"/>
    <w:rsid w:val="0004162B"/>
    <w:rsid w:val="0004340C"/>
    <w:rsid w:val="000466E7"/>
    <w:rsid w:val="00052E46"/>
    <w:rsid w:val="0005341F"/>
    <w:rsid w:val="000557F4"/>
    <w:rsid w:val="00057AE6"/>
    <w:rsid w:val="000606FA"/>
    <w:rsid w:val="00063AC4"/>
    <w:rsid w:val="00063ED1"/>
    <w:rsid w:val="0006551C"/>
    <w:rsid w:val="0006571A"/>
    <w:rsid w:val="0006591A"/>
    <w:rsid w:val="00066425"/>
    <w:rsid w:val="0007091B"/>
    <w:rsid w:val="00070E1B"/>
    <w:rsid w:val="00071BB6"/>
    <w:rsid w:val="00072206"/>
    <w:rsid w:val="00072F34"/>
    <w:rsid w:val="00073658"/>
    <w:rsid w:val="000745BE"/>
    <w:rsid w:val="00074901"/>
    <w:rsid w:val="00077203"/>
    <w:rsid w:val="00080825"/>
    <w:rsid w:val="00081C95"/>
    <w:rsid w:val="00083B68"/>
    <w:rsid w:val="0008442A"/>
    <w:rsid w:val="0008455E"/>
    <w:rsid w:val="000849ED"/>
    <w:rsid w:val="0008558F"/>
    <w:rsid w:val="000900AA"/>
    <w:rsid w:val="00090E38"/>
    <w:rsid w:val="00090EFF"/>
    <w:rsid w:val="00093521"/>
    <w:rsid w:val="000947CF"/>
    <w:rsid w:val="000A07D9"/>
    <w:rsid w:val="000A07DA"/>
    <w:rsid w:val="000A0A6C"/>
    <w:rsid w:val="000A1793"/>
    <w:rsid w:val="000A1C9A"/>
    <w:rsid w:val="000A2253"/>
    <w:rsid w:val="000A5D47"/>
    <w:rsid w:val="000B07A0"/>
    <w:rsid w:val="000B1BCD"/>
    <w:rsid w:val="000B22B3"/>
    <w:rsid w:val="000B37DA"/>
    <w:rsid w:val="000B695B"/>
    <w:rsid w:val="000B6C60"/>
    <w:rsid w:val="000B7306"/>
    <w:rsid w:val="000B7610"/>
    <w:rsid w:val="000C1BF7"/>
    <w:rsid w:val="000C3ABF"/>
    <w:rsid w:val="000C3F68"/>
    <w:rsid w:val="000C40C1"/>
    <w:rsid w:val="000C5565"/>
    <w:rsid w:val="000D0E29"/>
    <w:rsid w:val="000D2169"/>
    <w:rsid w:val="000E03B6"/>
    <w:rsid w:val="000E2576"/>
    <w:rsid w:val="000E3352"/>
    <w:rsid w:val="000E4D82"/>
    <w:rsid w:val="000E51CE"/>
    <w:rsid w:val="000F397A"/>
    <w:rsid w:val="000F6B99"/>
    <w:rsid w:val="001000CE"/>
    <w:rsid w:val="0010251F"/>
    <w:rsid w:val="001050BD"/>
    <w:rsid w:val="00105DF5"/>
    <w:rsid w:val="00107D63"/>
    <w:rsid w:val="001105A8"/>
    <w:rsid w:val="001131E9"/>
    <w:rsid w:val="00122F4C"/>
    <w:rsid w:val="00124D90"/>
    <w:rsid w:val="001258C0"/>
    <w:rsid w:val="00127A46"/>
    <w:rsid w:val="001302D2"/>
    <w:rsid w:val="00132A63"/>
    <w:rsid w:val="0013484E"/>
    <w:rsid w:val="00134EA5"/>
    <w:rsid w:val="00136564"/>
    <w:rsid w:val="001366B0"/>
    <w:rsid w:val="00136A54"/>
    <w:rsid w:val="001407F9"/>
    <w:rsid w:val="00141B62"/>
    <w:rsid w:val="0014301B"/>
    <w:rsid w:val="00143F4E"/>
    <w:rsid w:val="0014489C"/>
    <w:rsid w:val="00146D9B"/>
    <w:rsid w:val="001529E6"/>
    <w:rsid w:val="001539B9"/>
    <w:rsid w:val="00153E00"/>
    <w:rsid w:val="00154CBB"/>
    <w:rsid w:val="00160D0D"/>
    <w:rsid w:val="001628ED"/>
    <w:rsid w:val="00162C64"/>
    <w:rsid w:val="00165E60"/>
    <w:rsid w:val="00166977"/>
    <w:rsid w:val="00170BF9"/>
    <w:rsid w:val="00170F8E"/>
    <w:rsid w:val="00172381"/>
    <w:rsid w:val="00172D80"/>
    <w:rsid w:val="0017556A"/>
    <w:rsid w:val="00175FB0"/>
    <w:rsid w:val="0018493F"/>
    <w:rsid w:val="00184B43"/>
    <w:rsid w:val="001866DF"/>
    <w:rsid w:val="00187A35"/>
    <w:rsid w:val="00190EBA"/>
    <w:rsid w:val="001915D5"/>
    <w:rsid w:val="00192466"/>
    <w:rsid w:val="001927F5"/>
    <w:rsid w:val="00192B07"/>
    <w:rsid w:val="00194FB9"/>
    <w:rsid w:val="00195495"/>
    <w:rsid w:val="001954CC"/>
    <w:rsid w:val="0019698C"/>
    <w:rsid w:val="001969CD"/>
    <w:rsid w:val="001974B8"/>
    <w:rsid w:val="001A054B"/>
    <w:rsid w:val="001A0885"/>
    <w:rsid w:val="001A3315"/>
    <w:rsid w:val="001A452B"/>
    <w:rsid w:val="001A5E49"/>
    <w:rsid w:val="001A5ED0"/>
    <w:rsid w:val="001B1DC0"/>
    <w:rsid w:val="001B20FB"/>
    <w:rsid w:val="001B4907"/>
    <w:rsid w:val="001B4B57"/>
    <w:rsid w:val="001B5580"/>
    <w:rsid w:val="001B65F7"/>
    <w:rsid w:val="001B7978"/>
    <w:rsid w:val="001C029C"/>
    <w:rsid w:val="001C2967"/>
    <w:rsid w:val="001C2BA1"/>
    <w:rsid w:val="001C35BB"/>
    <w:rsid w:val="001C43A5"/>
    <w:rsid w:val="001C6A27"/>
    <w:rsid w:val="001C731C"/>
    <w:rsid w:val="001C7E99"/>
    <w:rsid w:val="001D003F"/>
    <w:rsid w:val="001D27DE"/>
    <w:rsid w:val="001D2A20"/>
    <w:rsid w:val="001D3221"/>
    <w:rsid w:val="001D39BF"/>
    <w:rsid w:val="001D3DC9"/>
    <w:rsid w:val="001D480E"/>
    <w:rsid w:val="001D490C"/>
    <w:rsid w:val="001D6A08"/>
    <w:rsid w:val="001D6D29"/>
    <w:rsid w:val="001D75E5"/>
    <w:rsid w:val="001E0404"/>
    <w:rsid w:val="001E2832"/>
    <w:rsid w:val="001E4828"/>
    <w:rsid w:val="001E7F04"/>
    <w:rsid w:val="001F0C6F"/>
    <w:rsid w:val="001F22FF"/>
    <w:rsid w:val="001F2FAF"/>
    <w:rsid w:val="001F5021"/>
    <w:rsid w:val="00201AFE"/>
    <w:rsid w:val="00204BB2"/>
    <w:rsid w:val="00205CA9"/>
    <w:rsid w:val="0020732F"/>
    <w:rsid w:val="0021037B"/>
    <w:rsid w:val="0021109B"/>
    <w:rsid w:val="00211BD7"/>
    <w:rsid w:val="00212D4A"/>
    <w:rsid w:val="00214450"/>
    <w:rsid w:val="00214B5F"/>
    <w:rsid w:val="00216A25"/>
    <w:rsid w:val="0021702A"/>
    <w:rsid w:val="0021781F"/>
    <w:rsid w:val="002231F4"/>
    <w:rsid w:val="00224998"/>
    <w:rsid w:val="00224D7A"/>
    <w:rsid w:val="00224F9D"/>
    <w:rsid w:val="00225E48"/>
    <w:rsid w:val="00226E69"/>
    <w:rsid w:val="00227718"/>
    <w:rsid w:val="00230F1F"/>
    <w:rsid w:val="00231E1E"/>
    <w:rsid w:val="002320DF"/>
    <w:rsid w:val="00232DD2"/>
    <w:rsid w:val="0023737E"/>
    <w:rsid w:val="002413FD"/>
    <w:rsid w:val="002433D2"/>
    <w:rsid w:val="00244833"/>
    <w:rsid w:val="00244987"/>
    <w:rsid w:val="00244F1C"/>
    <w:rsid w:val="00246965"/>
    <w:rsid w:val="00247C1E"/>
    <w:rsid w:val="00250A2A"/>
    <w:rsid w:val="00251A80"/>
    <w:rsid w:val="002522E8"/>
    <w:rsid w:val="00253913"/>
    <w:rsid w:val="002541D5"/>
    <w:rsid w:val="002545C7"/>
    <w:rsid w:val="00260198"/>
    <w:rsid w:val="0026160A"/>
    <w:rsid w:val="00263ADA"/>
    <w:rsid w:val="002648D4"/>
    <w:rsid w:val="00270859"/>
    <w:rsid w:val="002807FD"/>
    <w:rsid w:val="0028140D"/>
    <w:rsid w:val="00282E09"/>
    <w:rsid w:val="00283EB5"/>
    <w:rsid w:val="00285F34"/>
    <w:rsid w:val="00286386"/>
    <w:rsid w:val="00291224"/>
    <w:rsid w:val="002913B4"/>
    <w:rsid w:val="00293964"/>
    <w:rsid w:val="00293FB9"/>
    <w:rsid w:val="00294A11"/>
    <w:rsid w:val="002952C3"/>
    <w:rsid w:val="002968B0"/>
    <w:rsid w:val="002A01DE"/>
    <w:rsid w:val="002A0A43"/>
    <w:rsid w:val="002A0ACE"/>
    <w:rsid w:val="002A1750"/>
    <w:rsid w:val="002A3B30"/>
    <w:rsid w:val="002A4E84"/>
    <w:rsid w:val="002A60C1"/>
    <w:rsid w:val="002A642D"/>
    <w:rsid w:val="002A7B2F"/>
    <w:rsid w:val="002B2840"/>
    <w:rsid w:val="002B39FF"/>
    <w:rsid w:val="002B3BB3"/>
    <w:rsid w:val="002B4EFA"/>
    <w:rsid w:val="002B5919"/>
    <w:rsid w:val="002B6897"/>
    <w:rsid w:val="002B782C"/>
    <w:rsid w:val="002C04C0"/>
    <w:rsid w:val="002C0CAE"/>
    <w:rsid w:val="002C21EA"/>
    <w:rsid w:val="002C5710"/>
    <w:rsid w:val="002D0F88"/>
    <w:rsid w:val="002D3FAD"/>
    <w:rsid w:val="002D5BD9"/>
    <w:rsid w:val="002D69B9"/>
    <w:rsid w:val="002E16F0"/>
    <w:rsid w:val="002E63C1"/>
    <w:rsid w:val="002E65CD"/>
    <w:rsid w:val="002E7289"/>
    <w:rsid w:val="002F1D74"/>
    <w:rsid w:val="002F253E"/>
    <w:rsid w:val="002F323D"/>
    <w:rsid w:val="00302A04"/>
    <w:rsid w:val="00302C8E"/>
    <w:rsid w:val="0030787B"/>
    <w:rsid w:val="0031210D"/>
    <w:rsid w:val="003153CB"/>
    <w:rsid w:val="0031652D"/>
    <w:rsid w:val="00316B18"/>
    <w:rsid w:val="00334346"/>
    <w:rsid w:val="00340463"/>
    <w:rsid w:val="00343DA8"/>
    <w:rsid w:val="003462C0"/>
    <w:rsid w:val="0034749C"/>
    <w:rsid w:val="003476DF"/>
    <w:rsid w:val="00350349"/>
    <w:rsid w:val="00352013"/>
    <w:rsid w:val="00352F1C"/>
    <w:rsid w:val="003538C0"/>
    <w:rsid w:val="00354E08"/>
    <w:rsid w:val="00357828"/>
    <w:rsid w:val="00360D26"/>
    <w:rsid w:val="00360F68"/>
    <w:rsid w:val="00367CF1"/>
    <w:rsid w:val="00371763"/>
    <w:rsid w:val="00373437"/>
    <w:rsid w:val="00373D08"/>
    <w:rsid w:val="00374661"/>
    <w:rsid w:val="00376CB5"/>
    <w:rsid w:val="00383E10"/>
    <w:rsid w:val="00384A88"/>
    <w:rsid w:val="00390397"/>
    <w:rsid w:val="003A0249"/>
    <w:rsid w:val="003A0EE0"/>
    <w:rsid w:val="003A2E2D"/>
    <w:rsid w:val="003A5816"/>
    <w:rsid w:val="003A6B66"/>
    <w:rsid w:val="003A6F21"/>
    <w:rsid w:val="003B09E9"/>
    <w:rsid w:val="003B0BF1"/>
    <w:rsid w:val="003B1181"/>
    <w:rsid w:val="003B45D2"/>
    <w:rsid w:val="003B732F"/>
    <w:rsid w:val="003B7EA3"/>
    <w:rsid w:val="003C0502"/>
    <w:rsid w:val="003C5962"/>
    <w:rsid w:val="003C7A19"/>
    <w:rsid w:val="003C7BF8"/>
    <w:rsid w:val="003D4DC3"/>
    <w:rsid w:val="003D4F83"/>
    <w:rsid w:val="003D6E84"/>
    <w:rsid w:val="003D7E79"/>
    <w:rsid w:val="003E018D"/>
    <w:rsid w:val="003E15E5"/>
    <w:rsid w:val="003E1B39"/>
    <w:rsid w:val="003E1F50"/>
    <w:rsid w:val="003E1FCE"/>
    <w:rsid w:val="003E2354"/>
    <w:rsid w:val="003E3FEB"/>
    <w:rsid w:val="003E6E5E"/>
    <w:rsid w:val="003E7452"/>
    <w:rsid w:val="003F0A3B"/>
    <w:rsid w:val="003F1587"/>
    <w:rsid w:val="003F25AA"/>
    <w:rsid w:val="003F276F"/>
    <w:rsid w:val="003F28D6"/>
    <w:rsid w:val="003F2E72"/>
    <w:rsid w:val="003F5C3B"/>
    <w:rsid w:val="003F6889"/>
    <w:rsid w:val="003F73FD"/>
    <w:rsid w:val="0040007A"/>
    <w:rsid w:val="004007FC"/>
    <w:rsid w:val="00400870"/>
    <w:rsid w:val="00401572"/>
    <w:rsid w:val="00406592"/>
    <w:rsid w:val="00407097"/>
    <w:rsid w:val="0041137F"/>
    <w:rsid w:val="00413779"/>
    <w:rsid w:val="00414B9D"/>
    <w:rsid w:val="00422902"/>
    <w:rsid w:val="0042351F"/>
    <w:rsid w:val="00426284"/>
    <w:rsid w:val="00426AC6"/>
    <w:rsid w:val="00427BA6"/>
    <w:rsid w:val="00427F37"/>
    <w:rsid w:val="00430B73"/>
    <w:rsid w:val="00433239"/>
    <w:rsid w:val="004357F4"/>
    <w:rsid w:val="0043688F"/>
    <w:rsid w:val="004374F5"/>
    <w:rsid w:val="0044493A"/>
    <w:rsid w:val="004539D2"/>
    <w:rsid w:val="00453FD1"/>
    <w:rsid w:val="004555BE"/>
    <w:rsid w:val="004568E7"/>
    <w:rsid w:val="00456A0C"/>
    <w:rsid w:val="004572D0"/>
    <w:rsid w:val="004609FD"/>
    <w:rsid w:val="004626FC"/>
    <w:rsid w:val="00462758"/>
    <w:rsid w:val="00463EF0"/>
    <w:rsid w:val="00465C13"/>
    <w:rsid w:val="00470D67"/>
    <w:rsid w:val="00475F24"/>
    <w:rsid w:val="0047665B"/>
    <w:rsid w:val="00484427"/>
    <w:rsid w:val="00486D19"/>
    <w:rsid w:val="00487032"/>
    <w:rsid w:val="004900A0"/>
    <w:rsid w:val="00490B35"/>
    <w:rsid w:val="004918ED"/>
    <w:rsid w:val="00492F97"/>
    <w:rsid w:val="0049452E"/>
    <w:rsid w:val="00497541"/>
    <w:rsid w:val="004A5B2B"/>
    <w:rsid w:val="004A6539"/>
    <w:rsid w:val="004A79E3"/>
    <w:rsid w:val="004B5D60"/>
    <w:rsid w:val="004B7333"/>
    <w:rsid w:val="004B73E1"/>
    <w:rsid w:val="004B7455"/>
    <w:rsid w:val="004C0B4B"/>
    <w:rsid w:val="004C185B"/>
    <w:rsid w:val="004C71B0"/>
    <w:rsid w:val="004C77F5"/>
    <w:rsid w:val="004C7FC4"/>
    <w:rsid w:val="004D0D7E"/>
    <w:rsid w:val="004D1004"/>
    <w:rsid w:val="004D262D"/>
    <w:rsid w:val="004D3CCC"/>
    <w:rsid w:val="004D4A6D"/>
    <w:rsid w:val="004E0D13"/>
    <w:rsid w:val="004E0D38"/>
    <w:rsid w:val="004E3EEF"/>
    <w:rsid w:val="004F0402"/>
    <w:rsid w:val="004F4E45"/>
    <w:rsid w:val="004F630B"/>
    <w:rsid w:val="00502427"/>
    <w:rsid w:val="005059B6"/>
    <w:rsid w:val="00505AF0"/>
    <w:rsid w:val="0050603C"/>
    <w:rsid w:val="00507CAF"/>
    <w:rsid w:val="00517955"/>
    <w:rsid w:val="005206AB"/>
    <w:rsid w:val="00522453"/>
    <w:rsid w:val="00523374"/>
    <w:rsid w:val="00523E20"/>
    <w:rsid w:val="00531573"/>
    <w:rsid w:val="00533AD1"/>
    <w:rsid w:val="005347EB"/>
    <w:rsid w:val="00534F6D"/>
    <w:rsid w:val="005353AC"/>
    <w:rsid w:val="00537662"/>
    <w:rsid w:val="00543867"/>
    <w:rsid w:val="00550315"/>
    <w:rsid w:val="00550E76"/>
    <w:rsid w:val="00552BB1"/>
    <w:rsid w:val="005531DD"/>
    <w:rsid w:val="005549A8"/>
    <w:rsid w:val="00555CAD"/>
    <w:rsid w:val="00556911"/>
    <w:rsid w:val="0055735D"/>
    <w:rsid w:val="0056371D"/>
    <w:rsid w:val="00565A59"/>
    <w:rsid w:val="00566054"/>
    <w:rsid w:val="00572B92"/>
    <w:rsid w:val="0057662D"/>
    <w:rsid w:val="005775ED"/>
    <w:rsid w:val="00577F12"/>
    <w:rsid w:val="00580039"/>
    <w:rsid w:val="00581778"/>
    <w:rsid w:val="00581A3D"/>
    <w:rsid w:val="00586015"/>
    <w:rsid w:val="0058667B"/>
    <w:rsid w:val="00587CF8"/>
    <w:rsid w:val="0059129B"/>
    <w:rsid w:val="00592B21"/>
    <w:rsid w:val="00592C80"/>
    <w:rsid w:val="00595EDA"/>
    <w:rsid w:val="005A000C"/>
    <w:rsid w:val="005A0536"/>
    <w:rsid w:val="005A1932"/>
    <w:rsid w:val="005A25A4"/>
    <w:rsid w:val="005A3E7E"/>
    <w:rsid w:val="005A7F77"/>
    <w:rsid w:val="005B0E01"/>
    <w:rsid w:val="005B194B"/>
    <w:rsid w:val="005B2CF1"/>
    <w:rsid w:val="005B60DF"/>
    <w:rsid w:val="005B6765"/>
    <w:rsid w:val="005B6EE6"/>
    <w:rsid w:val="005C0399"/>
    <w:rsid w:val="005C0657"/>
    <w:rsid w:val="005C0E40"/>
    <w:rsid w:val="005C3345"/>
    <w:rsid w:val="005C3820"/>
    <w:rsid w:val="005C5BED"/>
    <w:rsid w:val="005C60FB"/>
    <w:rsid w:val="005D039E"/>
    <w:rsid w:val="005D4034"/>
    <w:rsid w:val="005D78D8"/>
    <w:rsid w:val="005E2999"/>
    <w:rsid w:val="005E4697"/>
    <w:rsid w:val="005E6076"/>
    <w:rsid w:val="005F31E3"/>
    <w:rsid w:val="005F3BB8"/>
    <w:rsid w:val="005F3DEB"/>
    <w:rsid w:val="005F723F"/>
    <w:rsid w:val="005F7CD6"/>
    <w:rsid w:val="00602E47"/>
    <w:rsid w:val="00603D34"/>
    <w:rsid w:val="006068BD"/>
    <w:rsid w:val="00607C18"/>
    <w:rsid w:val="006164FE"/>
    <w:rsid w:val="00616548"/>
    <w:rsid w:val="006171D2"/>
    <w:rsid w:val="00620B23"/>
    <w:rsid w:val="00622924"/>
    <w:rsid w:val="00623741"/>
    <w:rsid w:val="00625E3F"/>
    <w:rsid w:val="006268DF"/>
    <w:rsid w:val="00626CFF"/>
    <w:rsid w:val="006274D4"/>
    <w:rsid w:val="006322B3"/>
    <w:rsid w:val="00633155"/>
    <w:rsid w:val="006332E5"/>
    <w:rsid w:val="00635A05"/>
    <w:rsid w:val="00635EEF"/>
    <w:rsid w:val="006426AF"/>
    <w:rsid w:val="00650B40"/>
    <w:rsid w:val="00651303"/>
    <w:rsid w:val="006515EA"/>
    <w:rsid w:val="00651D90"/>
    <w:rsid w:val="00652927"/>
    <w:rsid w:val="0065561C"/>
    <w:rsid w:val="00656CD9"/>
    <w:rsid w:val="00656F67"/>
    <w:rsid w:val="006578CE"/>
    <w:rsid w:val="00663FBD"/>
    <w:rsid w:val="00673784"/>
    <w:rsid w:val="00673BFB"/>
    <w:rsid w:val="006804DF"/>
    <w:rsid w:val="00680694"/>
    <w:rsid w:val="00682EBE"/>
    <w:rsid w:val="0068478B"/>
    <w:rsid w:val="00685E53"/>
    <w:rsid w:val="00690BCA"/>
    <w:rsid w:val="00692B9D"/>
    <w:rsid w:val="00693701"/>
    <w:rsid w:val="00694DC9"/>
    <w:rsid w:val="0069500D"/>
    <w:rsid w:val="006956B4"/>
    <w:rsid w:val="006967E0"/>
    <w:rsid w:val="006A1E8D"/>
    <w:rsid w:val="006A21E8"/>
    <w:rsid w:val="006A31EE"/>
    <w:rsid w:val="006A3D8D"/>
    <w:rsid w:val="006A4032"/>
    <w:rsid w:val="006B05F6"/>
    <w:rsid w:val="006B1531"/>
    <w:rsid w:val="006B1F21"/>
    <w:rsid w:val="006B20BA"/>
    <w:rsid w:val="006B2663"/>
    <w:rsid w:val="006B3499"/>
    <w:rsid w:val="006B42DB"/>
    <w:rsid w:val="006B5139"/>
    <w:rsid w:val="006B5A1E"/>
    <w:rsid w:val="006C2395"/>
    <w:rsid w:val="006C6320"/>
    <w:rsid w:val="006D4EDE"/>
    <w:rsid w:val="006D5558"/>
    <w:rsid w:val="006D5AB2"/>
    <w:rsid w:val="006D6C86"/>
    <w:rsid w:val="006E0636"/>
    <w:rsid w:val="006E18A2"/>
    <w:rsid w:val="006E3075"/>
    <w:rsid w:val="006E6EB1"/>
    <w:rsid w:val="006E7CE8"/>
    <w:rsid w:val="006E7FD4"/>
    <w:rsid w:val="006F130C"/>
    <w:rsid w:val="006F1CDF"/>
    <w:rsid w:val="006F3229"/>
    <w:rsid w:val="006F40C2"/>
    <w:rsid w:val="006F52AB"/>
    <w:rsid w:val="006F6A77"/>
    <w:rsid w:val="00701220"/>
    <w:rsid w:val="00706044"/>
    <w:rsid w:val="00707A6C"/>
    <w:rsid w:val="00711F2C"/>
    <w:rsid w:val="007124F1"/>
    <w:rsid w:val="00714B27"/>
    <w:rsid w:val="00715B0D"/>
    <w:rsid w:val="007160F5"/>
    <w:rsid w:val="00716B73"/>
    <w:rsid w:val="007177EA"/>
    <w:rsid w:val="007222C7"/>
    <w:rsid w:val="007235D4"/>
    <w:rsid w:val="007265D5"/>
    <w:rsid w:val="00730083"/>
    <w:rsid w:val="0073138B"/>
    <w:rsid w:val="00733965"/>
    <w:rsid w:val="00736AFB"/>
    <w:rsid w:val="00742882"/>
    <w:rsid w:val="00746306"/>
    <w:rsid w:val="00751B69"/>
    <w:rsid w:val="00757D6F"/>
    <w:rsid w:val="0076557F"/>
    <w:rsid w:val="00765969"/>
    <w:rsid w:val="00767346"/>
    <w:rsid w:val="00771655"/>
    <w:rsid w:val="007729F7"/>
    <w:rsid w:val="00774F54"/>
    <w:rsid w:val="007752EE"/>
    <w:rsid w:val="00775607"/>
    <w:rsid w:val="00776660"/>
    <w:rsid w:val="00777707"/>
    <w:rsid w:val="007824A3"/>
    <w:rsid w:val="00783EBB"/>
    <w:rsid w:val="00784675"/>
    <w:rsid w:val="00785259"/>
    <w:rsid w:val="00785CFA"/>
    <w:rsid w:val="00786848"/>
    <w:rsid w:val="007905E5"/>
    <w:rsid w:val="007916B6"/>
    <w:rsid w:val="0079404D"/>
    <w:rsid w:val="00795033"/>
    <w:rsid w:val="00795941"/>
    <w:rsid w:val="00797ADA"/>
    <w:rsid w:val="007A486F"/>
    <w:rsid w:val="007A4C9D"/>
    <w:rsid w:val="007A4DD9"/>
    <w:rsid w:val="007B1994"/>
    <w:rsid w:val="007B1CCF"/>
    <w:rsid w:val="007B2BB2"/>
    <w:rsid w:val="007B4263"/>
    <w:rsid w:val="007B487F"/>
    <w:rsid w:val="007B4B49"/>
    <w:rsid w:val="007B4C0B"/>
    <w:rsid w:val="007B51BB"/>
    <w:rsid w:val="007B5BCE"/>
    <w:rsid w:val="007B6415"/>
    <w:rsid w:val="007C0CC6"/>
    <w:rsid w:val="007C34ED"/>
    <w:rsid w:val="007C49A9"/>
    <w:rsid w:val="007C4FA7"/>
    <w:rsid w:val="007C5254"/>
    <w:rsid w:val="007C638A"/>
    <w:rsid w:val="007D055B"/>
    <w:rsid w:val="007D0ED8"/>
    <w:rsid w:val="007D181F"/>
    <w:rsid w:val="007D31CC"/>
    <w:rsid w:val="007D437E"/>
    <w:rsid w:val="007D58E0"/>
    <w:rsid w:val="007D6F71"/>
    <w:rsid w:val="007D7016"/>
    <w:rsid w:val="007E13B3"/>
    <w:rsid w:val="007E1926"/>
    <w:rsid w:val="007E19B6"/>
    <w:rsid w:val="007E1A46"/>
    <w:rsid w:val="007E253D"/>
    <w:rsid w:val="007E2A71"/>
    <w:rsid w:val="007E4F28"/>
    <w:rsid w:val="007E6067"/>
    <w:rsid w:val="007E6629"/>
    <w:rsid w:val="007E72D9"/>
    <w:rsid w:val="007E7402"/>
    <w:rsid w:val="007E76EB"/>
    <w:rsid w:val="007F21C2"/>
    <w:rsid w:val="007F3D9F"/>
    <w:rsid w:val="007F51C6"/>
    <w:rsid w:val="007F588A"/>
    <w:rsid w:val="008031FC"/>
    <w:rsid w:val="00804091"/>
    <w:rsid w:val="00805AEC"/>
    <w:rsid w:val="008072BF"/>
    <w:rsid w:val="0081042C"/>
    <w:rsid w:val="00811676"/>
    <w:rsid w:val="00813844"/>
    <w:rsid w:val="00815A45"/>
    <w:rsid w:val="00816D2A"/>
    <w:rsid w:val="00816EFF"/>
    <w:rsid w:val="00817C2F"/>
    <w:rsid w:val="00821116"/>
    <w:rsid w:val="00824C7E"/>
    <w:rsid w:val="00825E78"/>
    <w:rsid w:val="008260C0"/>
    <w:rsid w:val="00835B07"/>
    <w:rsid w:val="00836870"/>
    <w:rsid w:val="0083795B"/>
    <w:rsid w:val="00837AEC"/>
    <w:rsid w:val="0084333C"/>
    <w:rsid w:val="00843F09"/>
    <w:rsid w:val="0084503C"/>
    <w:rsid w:val="00845194"/>
    <w:rsid w:val="00846100"/>
    <w:rsid w:val="008517F5"/>
    <w:rsid w:val="00851C5B"/>
    <w:rsid w:val="00855471"/>
    <w:rsid w:val="0085674F"/>
    <w:rsid w:val="00856FD7"/>
    <w:rsid w:val="00857962"/>
    <w:rsid w:val="00877217"/>
    <w:rsid w:val="0087725D"/>
    <w:rsid w:val="00877373"/>
    <w:rsid w:val="00880433"/>
    <w:rsid w:val="00885BD2"/>
    <w:rsid w:val="0088690A"/>
    <w:rsid w:val="0089153B"/>
    <w:rsid w:val="00892544"/>
    <w:rsid w:val="008936E0"/>
    <w:rsid w:val="00894DC3"/>
    <w:rsid w:val="008959FB"/>
    <w:rsid w:val="008A218B"/>
    <w:rsid w:val="008A49BF"/>
    <w:rsid w:val="008A602D"/>
    <w:rsid w:val="008A65BD"/>
    <w:rsid w:val="008A6969"/>
    <w:rsid w:val="008A6C94"/>
    <w:rsid w:val="008B1E91"/>
    <w:rsid w:val="008B2626"/>
    <w:rsid w:val="008B4711"/>
    <w:rsid w:val="008B4E66"/>
    <w:rsid w:val="008B5BA8"/>
    <w:rsid w:val="008C148E"/>
    <w:rsid w:val="008C2A32"/>
    <w:rsid w:val="008C2DF8"/>
    <w:rsid w:val="008C44A7"/>
    <w:rsid w:val="008C54B9"/>
    <w:rsid w:val="008C56B6"/>
    <w:rsid w:val="008D279A"/>
    <w:rsid w:val="008D4F1F"/>
    <w:rsid w:val="008D6751"/>
    <w:rsid w:val="008D6C0D"/>
    <w:rsid w:val="008D7302"/>
    <w:rsid w:val="008E05DB"/>
    <w:rsid w:val="008E22DA"/>
    <w:rsid w:val="008E27C9"/>
    <w:rsid w:val="008E454F"/>
    <w:rsid w:val="008E6BF9"/>
    <w:rsid w:val="008F02DF"/>
    <w:rsid w:val="008F25CE"/>
    <w:rsid w:val="008F35EB"/>
    <w:rsid w:val="008F3C93"/>
    <w:rsid w:val="008F450B"/>
    <w:rsid w:val="008F4FD9"/>
    <w:rsid w:val="0090037C"/>
    <w:rsid w:val="009026FC"/>
    <w:rsid w:val="00907110"/>
    <w:rsid w:val="0091091C"/>
    <w:rsid w:val="00914683"/>
    <w:rsid w:val="00915641"/>
    <w:rsid w:val="00916FC9"/>
    <w:rsid w:val="00917090"/>
    <w:rsid w:val="009176B0"/>
    <w:rsid w:val="00920E0D"/>
    <w:rsid w:val="009239C4"/>
    <w:rsid w:val="00923B7B"/>
    <w:rsid w:val="0092420C"/>
    <w:rsid w:val="00926035"/>
    <w:rsid w:val="00927C39"/>
    <w:rsid w:val="00930B89"/>
    <w:rsid w:val="009310F4"/>
    <w:rsid w:val="00942460"/>
    <w:rsid w:val="009424B3"/>
    <w:rsid w:val="00943579"/>
    <w:rsid w:val="00943D2B"/>
    <w:rsid w:val="00951C9B"/>
    <w:rsid w:val="0095223D"/>
    <w:rsid w:val="00952CC7"/>
    <w:rsid w:val="00954850"/>
    <w:rsid w:val="009554D7"/>
    <w:rsid w:val="009614FA"/>
    <w:rsid w:val="00961B9F"/>
    <w:rsid w:val="00961D94"/>
    <w:rsid w:val="00962052"/>
    <w:rsid w:val="0096208D"/>
    <w:rsid w:val="00962212"/>
    <w:rsid w:val="00962559"/>
    <w:rsid w:val="00963FC8"/>
    <w:rsid w:val="00966397"/>
    <w:rsid w:val="00966C3F"/>
    <w:rsid w:val="00970B10"/>
    <w:rsid w:val="00970E74"/>
    <w:rsid w:val="009714FB"/>
    <w:rsid w:val="00971C54"/>
    <w:rsid w:val="00972C40"/>
    <w:rsid w:val="00973777"/>
    <w:rsid w:val="00974EF3"/>
    <w:rsid w:val="00975543"/>
    <w:rsid w:val="009765B5"/>
    <w:rsid w:val="00976F73"/>
    <w:rsid w:val="0097713A"/>
    <w:rsid w:val="009778FF"/>
    <w:rsid w:val="0098126F"/>
    <w:rsid w:val="0098482C"/>
    <w:rsid w:val="00987D41"/>
    <w:rsid w:val="0099053D"/>
    <w:rsid w:val="0099082B"/>
    <w:rsid w:val="0099122D"/>
    <w:rsid w:val="009919E5"/>
    <w:rsid w:val="00993C41"/>
    <w:rsid w:val="00994544"/>
    <w:rsid w:val="00994BB1"/>
    <w:rsid w:val="00995DA6"/>
    <w:rsid w:val="00997815"/>
    <w:rsid w:val="00997D9F"/>
    <w:rsid w:val="009A0746"/>
    <w:rsid w:val="009A1361"/>
    <w:rsid w:val="009A5F01"/>
    <w:rsid w:val="009A61D0"/>
    <w:rsid w:val="009A7A5D"/>
    <w:rsid w:val="009B0AE9"/>
    <w:rsid w:val="009B0F17"/>
    <w:rsid w:val="009B1BBF"/>
    <w:rsid w:val="009B26B7"/>
    <w:rsid w:val="009B422B"/>
    <w:rsid w:val="009B5EFF"/>
    <w:rsid w:val="009B6448"/>
    <w:rsid w:val="009C1C8A"/>
    <w:rsid w:val="009C1E2F"/>
    <w:rsid w:val="009C2D2D"/>
    <w:rsid w:val="009C343F"/>
    <w:rsid w:val="009C3F0F"/>
    <w:rsid w:val="009C5D16"/>
    <w:rsid w:val="009C7290"/>
    <w:rsid w:val="009C7B23"/>
    <w:rsid w:val="009D3AA1"/>
    <w:rsid w:val="009D3D8F"/>
    <w:rsid w:val="009D3F10"/>
    <w:rsid w:val="009D413B"/>
    <w:rsid w:val="009D4C9D"/>
    <w:rsid w:val="009D58A0"/>
    <w:rsid w:val="009D6D4D"/>
    <w:rsid w:val="009D7529"/>
    <w:rsid w:val="009E177F"/>
    <w:rsid w:val="009E2621"/>
    <w:rsid w:val="009E27E1"/>
    <w:rsid w:val="009E284D"/>
    <w:rsid w:val="009E3020"/>
    <w:rsid w:val="009E77A7"/>
    <w:rsid w:val="009E7A88"/>
    <w:rsid w:val="009F465D"/>
    <w:rsid w:val="009F4F00"/>
    <w:rsid w:val="009F5763"/>
    <w:rsid w:val="009F7B23"/>
    <w:rsid w:val="00A057E1"/>
    <w:rsid w:val="00A05F4C"/>
    <w:rsid w:val="00A06C26"/>
    <w:rsid w:val="00A12833"/>
    <w:rsid w:val="00A1409A"/>
    <w:rsid w:val="00A14383"/>
    <w:rsid w:val="00A14F2A"/>
    <w:rsid w:val="00A15C12"/>
    <w:rsid w:val="00A16586"/>
    <w:rsid w:val="00A17585"/>
    <w:rsid w:val="00A316FF"/>
    <w:rsid w:val="00A325AD"/>
    <w:rsid w:val="00A34E13"/>
    <w:rsid w:val="00A35339"/>
    <w:rsid w:val="00A356FE"/>
    <w:rsid w:val="00A35D81"/>
    <w:rsid w:val="00A37352"/>
    <w:rsid w:val="00A40A33"/>
    <w:rsid w:val="00A448A1"/>
    <w:rsid w:val="00A44EEC"/>
    <w:rsid w:val="00A45469"/>
    <w:rsid w:val="00A472B1"/>
    <w:rsid w:val="00A47B96"/>
    <w:rsid w:val="00A47BD8"/>
    <w:rsid w:val="00A5126A"/>
    <w:rsid w:val="00A52CD0"/>
    <w:rsid w:val="00A544CB"/>
    <w:rsid w:val="00A5492D"/>
    <w:rsid w:val="00A56319"/>
    <w:rsid w:val="00A5668C"/>
    <w:rsid w:val="00A60647"/>
    <w:rsid w:val="00A61670"/>
    <w:rsid w:val="00A637D4"/>
    <w:rsid w:val="00A6698A"/>
    <w:rsid w:val="00A6729F"/>
    <w:rsid w:val="00A70961"/>
    <w:rsid w:val="00A71514"/>
    <w:rsid w:val="00A73580"/>
    <w:rsid w:val="00A7431C"/>
    <w:rsid w:val="00A772CD"/>
    <w:rsid w:val="00A82B69"/>
    <w:rsid w:val="00A85FDA"/>
    <w:rsid w:val="00A86B80"/>
    <w:rsid w:val="00A92EE9"/>
    <w:rsid w:val="00A965B3"/>
    <w:rsid w:val="00A977D8"/>
    <w:rsid w:val="00A97F06"/>
    <w:rsid w:val="00AA0BA7"/>
    <w:rsid w:val="00AA0C59"/>
    <w:rsid w:val="00AA4BC3"/>
    <w:rsid w:val="00AA7A26"/>
    <w:rsid w:val="00AB3FE3"/>
    <w:rsid w:val="00AB61FB"/>
    <w:rsid w:val="00AB62A5"/>
    <w:rsid w:val="00AB64CD"/>
    <w:rsid w:val="00AB6D51"/>
    <w:rsid w:val="00AC27FD"/>
    <w:rsid w:val="00AC30A4"/>
    <w:rsid w:val="00AC3F7F"/>
    <w:rsid w:val="00AC5654"/>
    <w:rsid w:val="00AC68D7"/>
    <w:rsid w:val="00AD1382"/>
    <w:rsid w:val="00AD3DCF"/>
    <w:rsid w:val="00AD4DB7"/>
    <w:rsid w:val="00AD59A0"/>
    <w:rsid w:val="00AD6249"/>
    <w:rsid w:val="00AD71B0"/>
    <w:rsid w:val="00AE146B"/>
    <w:rsid w:val="00AE3999"/>
    <w:rsid w:val="00AE454F"/>
    <w:rsid w:val="00AE5819"/>
    <w:rsid w:val="00AE5D22"/>
    <w:rsid w:val="00AE5F2B"/>
    <w:rsid w:val="00AF231B"/>
    <w:rsid w:val="00AF49DF"/>
    <w:rsid w:val="00AF6765"/>
    <w:rsid w:val="00AF6832"/>
    <w:rsid w:val="00AF6FED"/>
    <w:rsid w:val="00B01E0A"/>
    <w:rsid w:val="00B041AE"/>
    <w:rsid w:val="00B07407"/>
    <w:rsid w:val="00B12A6B"/>
    <w:rsid w:val="00B1465C"/>
    <w:rsid w:val="00B153E9"/>
    <w:rsid w:val="00B15A14"/>
    <w:rsid w:val="00B17F6F"/>
    <w:rsid w:val="00B20F90"/>
    <w:rsid w:val="00B21E89"/>
    <w:rsid w:val="00B22105"/>
    <w:rsid w:val="00B221DE"/>
    <w:rsid w:val="00B25497"/>
    <w:rsid w:val="00B279FC"/>
    <w:rsid w:val="00B30641"/>
    <w:rsid w:val="00B30EFE"/>
    <w:rsid w:val="00B32D3F"/>
    <w:rsid w:val="00B34A17"/>
    <w:rsid w:val="00B373CE"/>
    <w:rsid w:val="00B409DA"/>
    <w:rsid w:val="00B426B3"/>
    <w:rsid w:val="00B436A4"/>
    <w:rsid w:val="00B43A3C"/>
    <w:rsid w:val="00B45A8C"/>
    <w:rsid w:val="00B50234"/>
    <w:rsid w:val="00B5201E"/>
    <w:rsid w:val="00B527D8"/>
    <w:rsid w:val="00B5520A"/>
    <w:rsid w:val="00B55AFD"/>
    <w:rsid w:val="00B55C52"/>
    <w:rsid w:val="00B5790C"/>
    <w:rsid w:val="00B62592"/>
    <w:rsid w:val="00B660F7"/>
    <w:rsid w:val="00B662EA"/>
    <w:rsid w:val="00B7137C"/>
    <w:rsid w:val="00B71DBF"/>
    <w:rsid w:val="00B721C4"/>
    <w:rsid w:val="00B72F98"/>
    <w:rsid w:val="00B74BE6"/>
    <w:rsid w:val="00B74EB6"/>
    <w:rsid w:val="00B8013D"/>
    <w:rsid w:val="00B807CF"/>
    <w:rsid w:val="00B83153"/>
    <w:rsid w:val="00B84D9E"/>
    <w:rsid w:val="00B86A2E"/>
    <w:rsid w:val="00B87618"/>
    <w:rsid w:val="00B92437"/>
    <w:rsid w:val="00B93717"/>
    <w:rsid w:val="00B94F68"/>
    <w:rsid w:val="00B962D0"/>
    <w:rsid w:val="00BA15BD"/>
    <w:rsid w:val="00BA208E"/>
    <w:rsid w:val="00BA75BF"/>
    <w:rsid w:val="00BA767F"/>
    <w:rsid w:val="00BB1F46"/>
    <w:rsid w:val="00BB33B3"/>
    <w:rsid w:val="00BB48BD"/>
    <w:rsid w:val="00BB53C7"/>
    <w:rsid w:val="00BB563D"/>
    <w:rsid w:val="00BB5D8C"/>
    <w:rsid w:val="00BB64E0"/>
    <w:rsid w:val="00BB67C0"/>
    <w:rsid w:val="00BB6DD8"/>
    <w:rsid w:val="00BB760C"/>
    <w:rsid w:val="00BB776F"/>
    <w:rsid w:val="00BC03C2"/>
    <w:rsid w:val="00BC0C37"/>
    <w:rsid w:val="00BC3C1A"/>
    <w:rsid w:val="00BC3EE7"/>
    <w:rsid w:val="00BC76B0"/>
    <w:rsid w:val="00BD01BE"/>
    <w:rsid w:val="00BD0F0C"/>
    <w:rsid w:val="00BD1AE9"/>
    <w:rsid w:val="00BD1CFE"/>
    <w:rsid w:val="00BD2260"/>
    <w:rsid w:val="00BD2914"/>
    <w:rsid w:val="00BD6181"/>
    <w:rsid w:val="00BE1050"/>
    <w:rsid w:val="00BE29A9"/>
    <w:rsid w:val="00BE3997"/>
    <w:rsid w:val="00BE4461"/>
    <w:rsid w:val="00BE5BB3"/>
    <w:rsid w:val="00BF1A3F"/>
    <w:rsid w:val="00BF30C8"/>
    <w:rsid w:val="00BF33A0"/>
    <w:rsid w:val="00BF376F"/>
    <w:rsid w:val="00C00D16"/>
    <w:rsid w:val="00C10759"/>
    <w:rsid w:val="00C108A2"/>
    <w:rsid w:val="00C12627"/>
    <w:rsid w:val="00C13CF8"/>
    <w:rsid w:val="00C14C72"/>
    <w:rsid w:val="00C14FB2"/>
    <w:rsid w:val="00C158E0"/>
    <w:rsid w:val="00C16B39"/>
    <w:rsid w:val="00C2080C"/>
    <w:rsid w:val="00C225EB"/>
    <w:rsid w:val="00C22794"/>
    <w:rsid w:val="00C2347D"/>
    <w:rsid w:val="00C23B42"/>
    <w:rsid w:val="00C241AC"/>
    <w:rsid w:val="00C26F36"/>
    <w:rsid w:val="00C304B1"/>
    <w:rsid w:val="00C31BCD"/>
    <w:rsid w:val="00C329DB"/>
    <w:rsid w:val="00C32E60"/>
    <w:rsid w:val="00C343C6"/>
    <w:rsid w:val="00C3717E"/>
    <w:rsid w:val="00C405B5"/>
    <w:rsid w:val="00C41D2D"/>
    <w:rsid w:val="00C435E3"/>
    <w:rsid w:val="00C4715A"/>
    <w:rsid w:val="00C47FD2"/>
    <w:rsid w:val="00C515D5"/>
    <w:rsid w:val="00C51B8B"/>
    <w:rsid w:val="00C55BAF"/>
    <w:rsid w:val="00C55F63"/>
    <w:rsid w:val="00C562DD"/>
    <w:rsid w:val="00C57098"/>
    <w:rsid w:val="00C63F1F"/>
    <w:rsid w:val="00C661AD"/>
    <w:rsid w:val="00C66637"/>
    <w:rsid w:val="00C729C8"/>
    <w:rsid w:val="00C74E08"/>
    <w:rsid w:val="00C76F8C"/>
    <w:rsid w:val="00C7755D"/>
    <w:rsid w:val="00C77F9F"/>
    <w:rsid w:val="00C802D8"/>
    <w:rsid w:val="00C80533"/>
    <w:rsid w:val="00C911BB"/>
    <w:rsid w:val="00C92F23"/>
    <w:rsid w:val="00C97497"/>
    <w:rsid w:val="00CA00A3"/>
    <w:rsid w:val="00CA1E75"/>
    <w:rsid w:val="00CA2D73"/>
    <w:rsid w:val="00CB144B"/>
    <w:rsid w:val="00CB160C"/>
    <w:rsid w:val="00CB316F"/>
    <w:rsid w:val="00CB549F"/>
    <w:rsid w:val="00CB5ECB"/>
    <w:rsid w:val="00CB6119"/>
    <w:rsid w:val="00CB7035"/>
    <w:rsid w:val="00CB7C8B"/>
    <w:rsid w:val="00CB7CBD"/>
    <w:rsid w:val="00CC1BF5"/>
    <w:rsid w:val="00CC231C"/>
    <w:rsid w:val="00CC24BD"/>
    <w:rsid w:val="00CC260F"/>
    <w:rsid w:val="00CC2B84"/>
    <w:rsid w:val="00CC2FD0"/>
    <w:rsid w:val="00CC3108"/>
    <w:rsid w:val="00CC3113"/>
    <w:rsid w:val="00CC59E5"/>
    <w:rsid w:val="00CD0E80"/>
    <w:rsid w:val="00CD2105"/>
    <w:rsid w:val="00CD2ADE"/>
    <w:rsid w:val="00CD4DF9"/>
    <w:rsid w:val="00CD7447"/>
    <w:rsid w:val="00CD77B5"/>
    <w:rsid w:val="00CE1D30"/>
    <w:rsid w:val="00CE392F"/>
    <w:rsid w:val="00CE3990"/>
    <w:rsid w:val="00CE523A"/>
    <w:rsid w:val="00CE5B70"/>
    <w:rsid w:val="00CE6CAE"/>
    <w:rsid w:val="00CE7095"/>
    <w:rsid w:val="00CE7B18"/>
    <w:rsid w:val="00CF0429"/>
    <w:rsid w:val="00CF0A48"/>
    <w:rsid w:val="00CF242E"/>
    <w:rsid w:val="00D00E2D"/>
    <w:rsid w:val="00D0168B"/>
    <w:rsid w:val="00D06540"/>
    <w:rsid w:val="00D07C35"/>
    <w:rsid w:val="00D12C16"/>
    <w:rsid w:val="00D15F46"/>
    <w:rsid w:val="00D1765F"/>
    <w:rsid w:val="00D20A70"/>
    <w:rsid w:val="00D20BC8"/>
    <w:rsid w:val="00D20F9C"/>
    <w:rsid w:val="00D2253A"/>
    <w:rsid w:val="00D22668"/>
    <w:rsid w:val="00D226CD"/>
    <w:rsid w:val="00D22C1D"/>
    <w:rsid w:val="00D25BB4"/>
    <w:rsid w:val="00D3020F"/>
    <w:rsid w:val="00D31F3D"/>
    <w:rsid w:val="00D32EDC"/>
    <w:rsid w:val="00D33146"/>
    <w:rsid w:val="00D3385A"/>
    <w:rsid w:val="00D35826"/>
    <w:rsid w:val="00D35D3E"/>
    <w:rsid w:val="00D41750"/>
    <w:rsid w:val="00D42CEB"/>
    <w:rsid w:val="00D44E59"/>
    <w:rsid w:val="00D45397"/>
    <w:rsid w:val="00D453B6"/>
    <w:rsid w:val="00D47E17"/>
    <w:rsid w:val="00D50180"/>
    <w:rsid w:val="00D50D64"/>
    <w:rsid w:val="00D52165"/>
    <w:rsid w:val="00D528CB"/>
    <w:rsid w:val="00D52C0A"/>
    <w:rsid w:val="00D54A6E"/>
    <w:rsid w:val="00D54D4E"/>
    <w:rsid w:val="00D559EE"/>
    <w:rsid w:val="00D57ED7"/>
    <w:rsid w:val="00D638FB"/>
    <w:rsid w:val="00D671F7"/>
    <w:rsid w:val="00D679BA"/>
    <w:rsid w:val="00D7083E"/>
    <w:rsid w:val="00D709B6"/>
    <w:rsid w:val="00D72A6A"/>
    <w:rsid w:val="00D72B41"/>
    <w:rsid w:val="00D73471"/>
    <w:rsid w:val="00D73789"/>
    <w:rsid w:val="00D75D99"/>
    <w:rsid w:val="00D7619D"/>
    <w:rsid w:val="00D76875"/>
    <w:rsid w:val="00D76F69"/>
    <w:rsid w:val="00D77C79"/>
    <w:rsid w:val="00D80E2F"/>
    <w:rsid w:val="00D81F19"/>
    <w:rsid w:val="00D82122"/>
    <w:rsid w:val="00D830FF"/>
    <w:rsid w:val="00D833C7"/>
    <w:rsid w:val="00D83F1D"/>
    <w:rsid w:val="00D85299"/>
    <w:rsid w:val="00D86241"/>
    <w:rsid w:val="00D90F9B"/>
    <w:rsid w:val="00D93884"/>
    <w:rsid w:val="00D9518F"/>
    <w:rsid w:val="00D97F9F"/>
    <w:rsid w:val="00DA04D9"/>
    <w:rsid w:val="00DA1386"/>
    <w:rsid w:val="00DA1E65"/>
    <w:rsid w:val="00DA22F3"/>
    <w:rsid w:val="00DA7215"/>
    <w:rsid w:val="00DA7575"/>
    <w:rsid w:val="00DB07E3"/>
    <w:rsid w:val="00DB214D"/>
    <w:rsid w:val="00DB3BE5"/>
    <w:rsid w:val="00DB5536"/>
    <w:rsid w:val="00DB66C5"/>
    <w:rsid w:val="00DC09E5"/>
    <w:rsid w:val="00DC116B"/>
    <w:rsid w:val="00DC3693"/>
    <w:rsid w:val="00DC36C4"/>
    <w:rsid w:val="00DC45D7"/>
    <w:rsid w:val="00DC72F5"/>
    <w:rsid w:val="00DC7B42"/>
    <w:rsid w:val="00DD1B7A"/>
    <w:rsid w:val="00DD1FD7"/>
    <w:rsid w:val="00DD3FE8"/>
    <w:rsid w:val="00DD4377"/>
    <w:rsid w:val="00DD7E24"/>
    <w:rsid w:val="00DE1478"/>
    <w:rsid w:val="00DE14B4"/>
    <w:rsid w:val="00DE2505"/>
    <w:rsid w:val="00DE4214"/>
    <w:rsid w:val="00DE4962"/>
    <w:rsid w:val="00DE5A55"/>
    <w:rsid w:val="00DE6C3B"/>
    <w:rsid w:val="00DE7918"/>
    <w:rsid w:val="00DE7AFC"/>
    <w:rsid w:val="00DF1955"/>
    <w:rsid w:val="00DF3220"/>
    <w:rsid w:val="00DF49E3"/>
    <w:rsid w:val="00DF5B99"/>
    <w:rsid w:val="00DF7290"/>
    <w:rsid w:val="00E022D1"/>
    <w:rsid w:val="00E04363"/>
    <w:rsid w:val="00E05576"/>
    <w:rsid w:val="00E06FA8"/>
    <w:rsid w:val="00E13A9D"/>
    <w:rsid w:val="00E15199"/>
    <w:rsid w:val="00E15627"/>
    <w:rsid w:val="00E179DB"/>
    <w:rsid w:val="00E17E2A"/>
    <w:rsid w:val="00E20630"/>
    <w:rsid w:val="00E230DA"/>
    <w:rsid w:val="00E2392A"/>
    <w:rsid w:val="00E24536"/>
    <w:rsid w:val="00E2603A"/>
    <w:rsid w:val="00E31F63"/>
    <w:rsid w:val="00E33995"/>
    <w:rsid w:val="00E34304"/>
    <w:rsid w:val="00E3467F"/>
    <w:rsid w:val="00E34A86"/>
    <w:rsid w:val="00E356BB"/>
    <w:rsid w:val="00E35986"/>
    <w:rsid w:val="00E37D26"/>
    <w:rsid w:val="00E43562"/>
    <w:rsid w:val="00E43752"/>
    <w:rsid w:val="00E46849"/>
    <w:rsid w:val="00E47BAE"/>
    <w:rsid w:val="00E47D83"/>
    <w:rsid w:val="00E5245A"/>
    <w:rsid w:val="00E53FA8"/>
    <w:rsid w:val="00E607FF"/>
    <w:rsid w:val="00E612CF"/>
    <w:rsid w:val="00E61892"/>
    <w:rsid w:val="00E62B0E"/>
    <w:rsid w:val="00E63C88"/>
    <w:rsid w:val="00E642EB"/>
    <w:rsid w:val="00E6660F"/>
    <w:rsid w:val="00E673F1"/>
    <w:rsid w:val="00E7182D"/>
    <w:rsid w:val="00E73B5C"/>
    <w:rsid w:val="00E75686"/>
    <w:rsid w:val="00E81C9A"/>
    <w:rsid w:val="00E81EAD"/>
    <w:rsid w:val="00E84E03"/>
    <w:rsid w:val="00E879EB"/>
    <w:rsid w:val="00E903AC"/>
    <w:rsid w:val="00E9065B"/>
    <w:rsid w:val="00E92676"/>
    <w:rsid w:val="00E9344C"/>
    <w:rsid w:val="00E93564"/>
    <w:rsid w:val="00E9389F"/>
    <w:rsid w:val="00E9545A"/>
    <w:rsid w:val="00E95969"/>
    <w:rsid w:val="00E96DEC"/>
    <w:rsid w:val="00EA08DB"/>
    <w:rsid w:val="00EA2D7E"/>
    <w:rsid w:val="00EA3CC6"/>
    <w:rsid w:val="00EA3E61"/>
    <w:rsid w:val="00EA3EE1"/>
    <w:rsid w:val="00EA61FF"/>
    <w:rsid w:val="00EB0B1D"/>
    <w:rsid w:val="00EB156A"/>
    <w:rsid w:val="00EB2B74"/>
    <w:rsid w:val="00EB4DEB"/>
    <w:rsid w:val="00EB53A7"/>
    <w:rsid w:val="00EB7D5C"/>
    <w:rsid w:val="00EC5C85"/>
    <w:rsid w:val="00EC7225"/>
    <w:rsid w:val="00EC7E47"/>
    <w:rsid w:val="00EC7F50"/>
    <w:rsid w:val="00ED2F53"/>
    <w:rsid w:val="00ED3C24"/>
    <w:rsid w:val="00ED44B2"/>
    <w:rsid w:val="00ED6E96"/>
    <w:rsid w:val="00ED73B2"/>
    <w:rsid w:val="00EE16C3"/>
    <w:rsid w:val="00EE2345"/>
    <w:rsid w:val="00EE70DA"/>
    <w:rsid w:val="00EF23E1"/>
    <w:rsid w:val="00EF3AA3"/>
    <w:rsid w:val="00EF4BB4"/>
    <w:rsid w:val="00EF6943"/>
    <w:rsid w:val="00EF7AC4"/>
    <w:rsid w:val="00F072DE"/>
    <w:rsid w:val="00F11531"/>
    <w:rsid w:val="00F11F24"/>
    <w:rsid w:val="00F1229B"/>
    <w:rsid w:val="00F14B9D"/>
    <w:rsid w:val="00F15016"/>
    <w:rsid w:val="00F160F5"/>
    <w:rsid w:val="00F204D3"/>
    <w:rsid w:val="00F207EC"/>
    <w:rsid w:val="00F2191D"/>
    <w:rsid w:val="00F26BAA"/>
    <w:rsid w:val="00F31C08"/>
    <w:rsid w:val="00F32574"/>
    <w:rsid w:val="00F353BB"/>
    <w:rsid w:val="00F4361E"/>
    <w:rsid w:val="00F46087"/>
    <w:rsid w:val="00F464D9"/>
    <w:rsid w:val="00F46675"/>
    <w:rsid w:val="00F53BCA"/>
    <w:rsid w:val="00F54010"/>
    <w:rsid w:val="00F54437"/>
    <w:rsid w:val="00F56341"/>
    <w:rsid w:val="00F6143C"/>
    <w:rsid w:val="00F618DF"/>
    <w:rsid w:val="00F659F6"/>
    <w:rsid w:val="00F66A5E"/>
    <w:rsid w:val="00F6732B"/>
    <w:rsid w:val="00F67DA9"/>
    <w:rsid w:val="00F67DF4"/>
    <w:rsid w:val="00F7208B"/>
    <w:rsid w:val="00F775B7"/>
    <w:rsid w:val="00F7779E"/>
    <w:rsid w:val="00F83C8E"/>
    <w:rsid w:val="00F8494E"/>
    <w:rsid w:val="00F8633A"/>
    <w:rsid w:val="00F877DA"/>
    <w:rsid w:val="00F9196E"/>
    <w:rsid w:val="00F92414"/>
    <w:rsid w:val="00F92E2C"/>
    <w:rsid w:val="00F932D2"/>
    <w:rsid w:val="00F960C5"/>
    <w:rsid w:val="00FA356E"/>
    <w:rsid w:val="00FA37AF"/>
    <w:rsid w:val="00FA4250"/>
    <w:rsid w:val="00FA7A00"/>
    <w:rsid w:val="00FB0DFC"/>
    <w:rsid w:val="00FB13A4"/>
    <w:rsid w:val="00FB17E0"/>
    <w:rsid w:val="00FB2347"/>
    <w:rsid w:val="00FB59D1"/>
    <w:rsid w:val="00FC5250"/>
    <w:rsid w:val="00FD3572"/>
    <w:rsid w:val="00FD383F"/>
    <w:rsid w:val="00FD4395"/>
    <w:rsid w:val="00FE34D2"/>
    <w:rsid w:val="00FE3743"/>
    <w:rsid w:val="00FE3910"/>
    <w:rsid w:val="00FE4B9D"/>
    <w:rsid w:val="00FE4D3A"/>
    <w:rsid w:val="00FE6476"/>
    <w:rsid w:val="00FE6B55"/>
    <w:rsid w:val="00FF0CCC"/>
    <w:rsid w:val="00FF3825"/>
    <w:rsid w:val="00FF4B10"/>
    <w:rsid w:val="00FF4FC7"/>
    <w:rsid w:val="00FF5BAF"/>
    <w:rsid w:val="00FF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D7C7"/>
  <w15:chartTrackingRefBased/>
  <w15:docId w15:val="{4CB30E46-A01E-4597-A83E-99279A2A3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45469"/>
    <w:pPr>
      <w:spacing w:line="240" w:lineRule="auto"/>
    </w:pPr>
    <w:rPr>
      <w:sz w:val="20"/>
      <w:szCs w:val="20"/>
    </w:rPr>
  </w:style>
  <w:style w:type="character" w:customStyle="1" w:styleId="FootnoteTextChar">
    <w:name w:val="Footnote Text Char"/>
    <w:basedOn w:val="DefaultParagraphFont"/>
    <w:link w:val="FootnoteText"/>
    <w:uiPriority w:val="99"/>
    <w:semiHidden/>
    <w:rsid w:val="00A45469"/>
    <w:rPr>
      <w:sz w:val="20"/>
      <w:szCs w:val="20"/>
    </w:rPr>
  </w:style>
  <w:style w:type="character" w:styleId="FootnoteReference">
    <w:name w:val="footnote reference"/>
    <w:basedOn w:val="DefaultParagraphFont"/>
    <w:uiPriority w:val="99"/>
    <w:semiHidden/>
    <w:unhideWhenUsed/>
    <w:rsid w:val="00A45469"/>
    <w:rPr>
      <w:vertAlign w:val="superscript"/>
    </w:rPr>
  </w:style>
  <w:style w:type="character" w:styleId="Hyperlink">
    <w:name w:val="Hyperlink"/>
    <w:basedOn w:val="DefaultParagraphFont"/>
    <w:uiPriority w:val="99"/>
    <w:unhideWhenUsed/>
    <w:rsid w:val="00E6660F"/>
    <w:rPr>
      <w:color w:val="0563C1" w:themeColor="hyperlink"/>
      <w:u w:val="single"/>
    </w:rPr>
  </w:style>
  <w:style w:type="paragraph" w:styleId="EndnoteText">
    <w:name w:val="endnote text"/>
    <w:basedOn w:val="Normal"/>
    <w:link w:val="EndnoteTextChar"/>
    <w:uiPriority w:val="99"/>
    <w:semiHidden/>
    <w:unhideWhenUsed/>
    <w:rsid w:val="007124F1"/>
    <w:pPr>
      <w:spacing w:line="240" w:lineRule="auto"/>
    </w:pPr>
    <w:rPr>
      <w:sz w:val="20"/>
      <w:szCs w:val="20"/>
    </w:rPr>
  </w:style>
  <w:style w:type="character" w:customStyle="1" w:styleId="EndnoteTextChar">
    <w:name w:val="Endnote Text Char"/>
    <w:basedOn w:val="DefaultParagraphFont"/>
    <w:link w:val="EndnoteText"/>
    <w:uiPriority w:val="99"/>
    <w:semiHidden/>
    <w:rsid w:val="007124F1"/>
    <w:rPr>
      <w:sz w:val="20"/>
      <w:szCs w:val="20"/>
    </w:rPr>
  </w:style>
  <w:style w:type="character" w:styleId="EndnoteReference">
    <w:name w:val="endnote reference"/>
    <w:basedOn w:val="DefaultParagraphFont"/>
    <w:uiPriority w:val="99"/>
    <w:semiHidden/>
    <w:unhideWhenUsed/>
    <w:rsid w:val="007124F1"/>
    <w:rPr>
      <w:vertAlign w:val="superscript"/>
    </w:rPr>
  </w:style>
  <w:style w:type="character" w:styleId="UnresolvedMention">
    <w:name w:val="Unresolved Mention"/>
    <w:basedOn w:val="DefaultParagraphFont"/>
    <w:uiPriority w:val="99"/>
    <w:semiHidden/>
    <w:unhideWhenUsed/>
    <w:rsid w:val="007905E5"/>
    <w:rPr>
      <w:color w:val="808080"/>
      <w:shd w:val="clear" w:color="auto" w:fill="E6E6E6"/>
    </w:rPr>
  </w:style>
  <w:style w:type="paragraph" w:styleId="Header">
    <w:name w:val="header"/>
    <w:basedOn w:val="Normal"/>
    <w:link w:val="HeaderChar"/>
    <w:uiPriority w:val="99"/>
    <w:unhideWhenUsed/>
    <w:rsid w:val="00914683"/>
    <w:pPr>
      <w:tabs>
        <w:tab w:val="center" w:pos="4680"/>
        <w:tab w:val="right" w:pos="9360"/>
      </w:tabs>
      <w:spacing w:line="240" w:lineRule="auto"/>
    </w:pPr>
  </w:style>
  <w:style w:type="character" w:customStyle="1" w:styleId="HeaderChar">
    <w:name w:val="Header Char"/>
    <w:basedOn w:val="DefaultParagraphFont"/>
    <w:link w:val="Header"/>
    <w:uiPriority w:val="99"/>
    <w:rsid w:val="00914683"/>
  </w:style>
  <w:style w:type="paragraph" w:styleId="Footer">
    <w:name w:val="footer"/>
    <w:basedOn w:val="Normal"/>
    <w:link w:val="FooterChar"/>
    <w:uiPriority w:val="99"/>
    <w:unhideWhenUsed/>
    <w:rsid w:val="00914683"/>
    <w:pPr>
      <w:tabs>
        <w:tab w:val="center" w:pos="4680"/>
        <w:tab w:val="right" w:pos="9360"/>
      </w:tabs>
      <w:spacing w:line="240" w:lineRule="auto"/>
    </w:pPr>
  </w:style>
  <w:style w:type="character" w:customStyle="1" w:styleId="FooterChar">
    <w:name w:val="Footer Char"/>
    <w:basedOn w:val="DefaultParagraphFont"/>
    <w:link w:val="Footer"/>
    <w:uiPriority w:val="99"/>
    <w:rsid w:val="00914683"/>
  </w:style>
  <w:style w:type="paragraph" w:customStyle="1" w:styleId="body-paragraph">
    <w:name w:val="body-paragraph"/>
    <w:basedOn w:val="Normal"/>
    <w:rsid w:val="003E1B39"/>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3E1B39"/>
    <w:rPr>
      <w:b/>
      <w:bCs/>
    </w:rPr>
  </w:style>
  <w:style w:type="character" w:styleId="FollowedHyperlink">
    <w:name w:val="FollowedHyperlink"/>
    <w:basedOn w:val="DefaultParagraphFont"/>
    <w:uiPriority w:val="99"/>
    <w:semiHidden/>
    <w:unhideWhenUsed/>
    <w:rsid w:val="000606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437336">
      <w:bodyDiv w:val="1"/>
      <w:marLeft w:val="0"/>
      <w:marRight w:val="0"/>
      <w:marTop w:val="0"/>
      <w:marBottom w:val="0"/>
      <w:divBdr>
        <w:top w:val="none" w:sz="0" w:space="0" w:color="auto"/>
        <w:left w:val="none" w:sz="0" w:space="0" w:color="auto"/>
        <w:bottom w:val="none" w:sz="0" w:space="0" w:color="auto"/>
        <w:right w:val="none" w:sz="0" w:space="0" w:color="auto"/>
      </w:divBdr>
      <w:divsChild>
        <w:div w:id="1197234864">
          <w:marLeft w:val="0"/>
          <w:marRight w:val="0"/>
          <w:marTop w:val="0"/>
          <w:marBottom w:val="0"/>
          <w:divBdr>
            <w:top w:val="none" w:sz="0" w:space="0" w:color="auto"/>
            <w:left w:val="none" w:sz="0" w:space="0" w:color="auto"/>
            <w:bottom w:val="none" w:sz="0" w:space="0" w:color="auto"/>
            <w:right w:val="none" w:sz="0" w:space="0" w:color="auto"/>
          </w:divBdr>
          <w:divsChild>
            <w:div w:id="1721399216">
              <w:marLeft w:val="0"/>
              <w:marRight w:val="150"/>
              <w:marTop w:val="75"/>
              <w:marBottom w:val="75"/>
              <w:divBdr>
                <w:top w:val="none" w:sz="0" w:space="0" w:color="auto"/>
                <w:left w:val="none" w:sz="0" w:space="0" w:color="auto"/>
                <w:bottom w:val="none" w:sz="0" w:space="0" w:color="auto"/>
                <w:right w:val="none" w:sz="0" w:space="0" w:color="auto"/>
              </w:divBdr>
            </w:div>
          </w:divsChild>
        </w:div>
      </w:divsChild>
    </w:div>
    <w:div w:id="1425146170">
      <w:bodyDiv w:val="1"/>
      <w:marLeft w:val="0"/>
      <w:marRight w:val="0"/>
      <w:marTop w:val="0"/>
      <w:marBottom w:val="0"/>
      <w:divBdr>
        <w:top w:val="none" w:sz="0" w:space="0" w:color="auto"/>
        <w:left w:val="none" w:sz="0" w:space="0" w:color="auto"/>
        <w:bottom w:val="none" w:sz="0" w:space="0" w:color="auto"/>
        <w:right w:val="none" w:sz="0" w:space="0" w:color="auto"/>
      </w:divBdr>
      <w:divsChild>
        <w:div w:id="656806905">
          <w:marLeft w:val="0"/>
          <w:marRight w:val="0"/>
          <w:marTop w:val="0"/>
          <w:marBottom w:val="0"/>
          <w:divBdr>
            <w:top w:val="none" w:sz="0" w:space="0" w:color="auto"/>
            <w:left w:val="none" w:sz="0" w:space="0" w:color="auto"/>
            <w:bottom w:val="none" w:sz="0" w:space="0" w:color="auto"/>
            <w:right w:val="none" w:sz="0" w:space="0" w:color="auto"/>
          </w:divBdr>
        </w:div>
      </w:divsChild>
    </w:div>
    <w:div w:id="1852640713">
      <w:bodyDiv w:val="1"/>
      <w:marLeft w:val="0"/>
      <w:marRight w:val="0"/>
      <w:marTop w:val="0"/>
      <w:marBottom w:val="0"/>
      <w:divBdr>
        <w:top w:val="none" w:sz="0" w:space="0" w:color="auto"/>
        <w:left w:val="none" w:sz="0" w:space="0" w:color="auto"/>
        <w:bottom w:val="none" w:sz="0" w:space="0" w:color="auto"/>
        <w:right w:val="none" w:sz="0" w:space="0" w:color="auto"/>
      </w:divBdr>
    </w:div>
    <w:div w:id="2027901061">
      <w:bodyDiv w:val="1"/>
      <w:marLeft w:val="0"/>
      <w:marRight w:val="0"/>
      <w:marTop w:val="0"/>
      <w:marBottom w:val="0"/>
      <w:divBdr>
        <w:top w:val="none" w:sz="0" w:space="0" w:color="auto"/>
        <w:left w:val="none" w:sz="0" w:space="0" w:color="auto"/>
        <w:bottom w:val="none" w:sz="0" w:space="0" w:color="auto"/>
        <w:right w:val="none" w:sz="0" w:space="0" w:color="auto"/>
      </w:divBdr>
      <w:divsChild>
        <w:div w:id="1712068432">
          <w:marLeft w:val="0"/>
          <w:marRight w:val="0"/>
          <w:marTop w:val="0"/>
          <w:marBottom w:val="0"/>
          <w:divBdr>
            <w:top w:val="none" w:sz="0" w:space="0" w:color="auto"/>
            <w:left w:val="none" w:sz="0" w:space="0" w:color="auto"/>
            <w:bottom w:val="none" w:sz="0" w:space="0" w:color="auto"/>
            <w:right w:val="none" w:sz="0" w:space="0" w:color="auto"/>
          </w:divBdr>
        </w:div>
      </w:divsChild>
    </w:div>
    <w:div w:id="2094736977">
      <w:bodyDiv w:val="1"/>
      <w:marLeft w:val="0"/>
      <w:marRight w:val="0"/>
      <w:marTop w:val="0"/>
      <w:marBottom w:val="0"/>
      <w:divBdr>
        <w:top w:val="none" w:sz="0" w:space="0" w:color="auto"/>
        <w:left w:val="none" w:sz="0" w:space="0" w:color="auto"/>
        <w:bottom w:val="none" w:sz="0" w:space="0" w:color="auto"/>
        <w:right w:val="none" w:sz="0" w:space="0" w:color="auto"/>
      </w:divBdr>
      <w:divsChild>
        <w:div w:id="162241788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2" Type="http://schemas.openxmlformats.org/officeDocument/2006/relationships/hyperlink" Target="http://fortune.com/2013/11/27/by-the-numbers-how-foxconn-churns-out-apples-iphone-5s/" TargetMode="External"/><Relationship Id="rId1" Type="http://schemas.openxmlformats.org/officeDocument/2006/relationships/hyperlink" Target="http://www.jstor.org/stable/3094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73233-69AE-4D7B-B873-5D40C80D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12880</TotalTime>
  <Pages>22</Pages>
  <Words>5747</Words>
  <Characters>32761</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spencert212@gmail.com</dc:creator>
  <cp:keywords/>
  <dc:description/>
  <cp:lastModifiedBy>spencert212@gmail.com</cp:lastModifiedBy>
  <cp:revision>1297</cp:revision>
  <dcterms:created xsi:type="dcterms:W3CDTF">2018-05-18T23:50:00Z</dcterms:created>
  <dcterms:modified xsi:type="dcterms:W3CDTF">2018-06-17T18:23:00Z</dcterms:modified>
</cp:coreProperties>
</file>