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INST490</w:t>
      </w:r>
    </w:p>
    <w:p w:rsidR="00000000" w:rsidDel="00000000" w:rsidP="00000000" w:rsidRDefault="00000000" w:rsidRPr="00000000" w14:paraId="00000002">
      <w:pPr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Social Media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Prototype Posts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Gmail/Twitter/Instagram: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iconsultancymedia@gmail.com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Password: INST490SocialMedia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  <w:t xml:space="preserve">Bio on instagram/twitter: </w:t>
      </w:r>
      <w:r w:rsidDel="00000000" w:rsidR="00000000" w:rsidRPr="00000000">
        <w:rPr>
          <w:b w:val="1"/>
          <w:rtl w:val="0"/>
        </w:rPr>
        <w:t xml:space="preserve">iConsultancy | UMD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  <w:t xml:space="preserve">Official Instagram of the iConsultancy at the University of Maryland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Solving real-world info &amp; tech challenges with UMD students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Partner with us: [contact link]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Twitter Posts: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969125" cy="133454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9125" cy="1334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Article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857912" cy="313848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912" cy="313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Facebook Posts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3992261" cy="218798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2261" cy="2187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Article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3729038" cy="330357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3303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mailto:iconsultancymedia@gmail.co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