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5.png" ContentType="image/png"/>
  <Override PartName="/word/media/rId28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Practical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Bayesian</w:t>
      </w:r>
      <w:r>
        <w:t xml:space="preserve"> </w:t>
      </w:r>
      <w:r>
        <w:t xml:space="preserve">Hamiltonian</w:t>
      </w:r>
      <w:r>
        <w:t xml:space="preserve"> </w:t>
      </w:r>
      <w:r>
        <w:t xml:space="preserve">Monte</w:t>
      </w:r>
      <w:r>
        <w:t xml:space="preserve"> </w:t>
      </w:r>
      <w:r>
        <w:t xml:space="preserve">Carlo</w:t>
      </w:r>
      <w:r>
        <w:t xml:space="preserve"> </w:t>
      </w:r>
      <w:r>
        <w:t xml:space="preserve">Method</w:t>
      </w:r>
    </w:p>
    <w:p>
      <w:pPr>
        <w:pStyle w:val="Author"/>
      </w:pPr>
      <w:r>
        <w:br/>
      </w:r>
      <w:r>
        <w:t xml:space="preserve">Spencer</w:t>
      </w:r>
      <w:r>
        <w:t xml:space="preserve"> </w:t>
      </w:r>
      <w:r>
        <w:t xml:space="preserve">Miller</w:t>
      </w:r>
      <w:r>
        <w:rPr>
          <w:smallCaps/>
        </w:rPr>
        <w:t xml:space="preserve">,</w:t>
      </w:r>
      <w:r>
        <w:rPr>
          <w:smallCaps/>
        </w:rPr>
        <w:t xml:space="preserve"> </w:t>
      </w:r>
      <w:r>
        <w:rPr>
          <w:smallCaps/>
        </w:rPr>
        <w:t xml:space="preserve">fcas,</w:t>
      </w:r>
      <w:r>
        <w:rPr>
          <w:smallCaps/>
        </w:rPr>
        <w:t xml:space="preserve"> </w:t>
      </w:r>
      <w:r>
        <w:rPr>
          <w:smallCaps/>
        </w:rPr>
        <w:t xml:space="preserve">maaa</w:t>
      </w:r>
      <w:r>
        <w:t xml:space="preserve"> </w:t>
      </w:r>
      <w:r>
        <w:t xml:space="preserve">&amp;</w:t>
      </w:r>
      <w:r>
        <w:t xml:space="preserve"> </w:t>
      </w:r>
      <w:r>
        <w:t xml:space="preserve">Kenny</w:t>
      </w:r>
      <w:r>
        <w:t xml:space="preserve"> </w:t>
      </w:r>
      <w:r>
        <w:t xml:space="preserve">Smart</w:t>
      </w:r>
      <w:r>
        <w:rPr>
          <w:smallCaps/>
        </w:rPr>
        <w:t xml:space="preserve">,</w:t>
      </w:r>
      <w:r>
        <w:rPr>
          <w:smallCaps/>
        </w:rPr>
        <w:t xml:space="preserve"> </w:t>
      </w:r>
      <w:r>
        <w:rPr>
          <w:smallCaps/>
        </w:rPr>
        <w:t xml:space="preserve">fcas,</w:t>
      </w:r>
      <w:r>
        <w:rPr>
          <w:smallCaps/>
        </w:rPr>
        <w:t xml:space="preserve"> </w:t>
      </w:r>
      <w:r>
        <w:rPr>
          <w:smallCaps/>
        </w:rPr>
        <w:t xml:space="preserve">maaa</w:t>
      </w:r>
      <w:r>
        <w:br/>
      </w:r>
    </w:p>
    <w:p>
      <w:pPr>
        <w:pStyle w:val="Date"/>
      </w:pPr>
      <w:r>
        <w:t xml:space="preserve">2025-07-01</w:t>
      </w:r>
    </w:p>
    <w:p>
      <w:pPr>
        <w:pStyle w:val="Abstract"/>
      </w:pP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completed</w:t>
      </w:r>
      <w:r>
        <w:t xml:space="preserve"> </w:t>
      </w:r>
      <w:r>
        <w:t xml:space="preserve">later.</w:t>
      </w:r>
    </w:p>
    <w:p>
      <w:pPr>
        <w:pStyle w:val="FirstParagraph"/>
      </w:pPr>
      <w:r>
        <w:rPr>
          <w:bCs/>
          <w:b/>
        </w:rPr>
        <w:t xml:space="preserve">Keywords</w:t>
      </w:r>
      <w:r>
        <w:t xml:space="preserve"> </w:t>
      </w:r>
      <w:r>
        <w:t xml:space="preserve">— Bayesian, Monte Carlo, Markov Chain, MCMC, Hamiltonian, Stan, Forecasting,</w:t>
      </w:r>
      <w:r>
        <w:t xml:space="preserve"> </w:t>
      </w:r>
      <w:r>
        <w:t xml:space="preserve">Predictions, Behavioral Economics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Some text</w:t>
      </w:r>
    </w:p>
    <w:bookmarkStart w:id="20" w:name="target-audience"/>
    <w:p>
      <w:pPr>
        <w:pStyle w:val="Heading2"/>
      </w:pPr>
      <w:r>
        <w:t xml:space="preserve">Target Audience</w:t>
      </w:r>
    </w:p>
    <w:p>
      <w:pPr>
        <w:numPr>
          <w:ilvl w:val="0"/>
          <w:numId w:val="1001"/>
        </w:numPr>
        <w:pStyle w:val="Compact"/>
      </w:pPr>
      <w:r>
        <w:t xml:space="preserve">An actuary who has finished exams a few years ago</w:t>
      </w:r>
    </w:p>
    <w:p>
      <w:pPr>
        <w:numPr>
          <w:ilvl w:val="0"/>
          <w:numId w:val="1001"/>
        </w:numPr>
        <w:pStyle w:val="Compact"/>
      </w:pPr>
      <w:r>
        <w:t xml:space="preserve">An actuary who constantly finds their estimates to be out of line with results</w:t>
      </w:r>
    </w:p>
    <w:p>
      <w:pPr>
        <w:numPr>
          <w:ilvl w:val="0"/>
          <w:numId w:val="1001"/>
        </w:numPr>
        <w:pStyle w:val="Compact"/>
      </w:pPr>
      <w:r>
        <w:t xml:space="preserve">An actuary interested in learning about Stan but finds the math too onerous or intimidating</w:t>
      </w:r>
    </w:p>
    <w:p>
      <w:pPr>
        <w:numPr>
          <w:ilvl w:val="0"/>
          <w:numId w:val="1001"/>
        </w:numPr>
        <w:pStyle w:val="Compact"/>
      </w:pPr>
      <w:r>
        <w:t xml:space="preserve">An actuary with limited data</w:t>
      </w:r>
    </w:p>
    <w:bookmarkEnd w:id="20"/>
    <w:bookmarkStart w:id="21" w:name="current-theories-on-prediction"/>
    <w:p>
      <w:pPr>
        <w:pStyle w:val="Heading2"/>
      </w:pPr>
      <w:r>
        <w:t xml:space="preserve">Current Theories on Prediction</w:t>
      </w:r>
    </w:p>
    <w:p>
      <w:pPr>
        <w:numPr>
          <w:ilvl w:val="0"/>
          <w:numId w:val="1002"/>
        </w:numPr>
        <w:pStyle w:val="Compact"/>
      </w:pPr>
      <w:r>
        <w:t xml:space="preserve">Point estimates do not provide for an adequate measure of process / parameter / model risk</w:t>
      </w:r>
    </w:p>
    <w:p>
      <w:pPr>
        <w:numPr>
          <w:ilvl w:val="0"/>
          <w:numId w:val="1002"/>
        </w:numPr>
        <w:pStyle w:val="Compact"/>
      </w:pPr>
      <w:r>
        <w:t xml:space="preserve">Simple MCMC models layer in process risk but still fail to account for parameter risk / model</w:t>
      </w:r>
      <w:r>
        <w:t xml:space="preserve"> </w:t>
      </w:r>
      <w:r>
        <w:t xml:space="preserve">risk</w:t>
      </w:r>
    </w:p>
    <w:p>
      <w:pPr>
        <w:numPr>
          <w:ilvl w:val="0"/>
          <w:numId w:val="1002"/>
        </w:numPr>
        <w:pStyle w:val="Compact"/>
      </w:pPr>
      <w:r>
        <w:t xml:space="preserve">Using a copula for parameters ignores the likelihood of occurring given the data</w:t>
      </w:r>
    </w:p>
    <w:bookmarkEnd w:id="21"/>
    <w:bookmarkStart w:id="22" w:name="yes-even-actuaries-are-human"/>
    <w:p>
      <w:pPr>
        <w:pStyle w:val="Heading2"/>
      </w:pPr>
      <w:r>
        <w:t xml:space="preserve">Yes, Even Actuaries are Human</w:t>
      </w:r>
    </w:p>
    <w:p>
      <w:pPr>
        <w:pStyle w:val="FirstParagraph"/>
      </w:pPr>
      <w:r>
        <w:t xml:space="preserve">When making predictions, people often rely on heuristics. While these are typically useful from an</w:t>
      </w:r>
      <w:r>
        <w:t xml:space="preserve"> </w:t>
      </w:r>
      <w:r>
        <w:t xml:space="preserve">evolutionary standpoint, they can</w:t>
      </w:r>
      <w:r>
        <w:t xml:space="preserve"> </w:t>
      </w:r>
      <w:r>
        <w:t xml:space="preserve">“</w:t>
      </w:r>
      <w:r>
        <w:t xml:space="preserve">… lead to systematic and predictable errors</w:t>
      </w:r>
      <w:r>
        <w:t xml:space="preserve">”</w:t>
      </w:r>
      <w:r>
        <w:t xml:space="preserve">. Below is a</w:t>
      </w:r>
      <w:r>
        <w:t xml:space="preserve"> </w:t>
      </w:r>
      <w:r>
        <w:t xml:space="preserve">non-exhaustive list of possible factors at play when making actuarial predictions:</w:t>
      </w:r>
      <w:r>
        <w:rPr>
          <w:vertAlign w:val="superscript"/>
        </w:rPr>
        <w:t xml:space="preserve">[1]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Insensitivity to sample size</w:t>
      </w:r>
    </w:p>
    <w:p>
      <w:pPr>
        <w:numPr>
          <w:ilvl w:val="0"/>
          <w:numId w:val="1000"/>
        </w:numPr>
      </w:pPr>
      <w:r>
        <w:t xml:space="preserve">Example?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Insensitivity to the prior probability of outcomes</w:t>
      </w:r>
      <w:r>
        <w:br/>
      </w:r>
      <w:r>
        <w:t xml:space="preserve">When making a judgment of whether item X belongs to either class A or class B, people will</w:t>
      </w:r>
      <w:r>
        <w:t xml:space="preserve"> </w:t>
      </w:r>
      <w:r>
        <w:t xml:space="preserve">assign it to the class in which the description of item X matches the stereotype of the class,</w:t>
      </w:r>
      <w:r>
        <w:t xml:space="preserve"> </w:t>
      </w:r>
      <w:r>
        <w:t xml:space="preserve">despite the relative likelihood of each class. For example, given the description of a person</w:t>
      </w:r>
      <w:r>
        <w:t xml:space="preserve"> </w:t>
      </w:r>
      <w:r>
        <w:t xml:space="preserve">and a list of occupations, you would likely let the description of the individual inform your</w:t>
      </w:r>
      <w:r>
        <w:t xml:space="preserve"> </w:t>
      </w:r>
      <w:r>
        <w:t xml:space="preserve">estimate of their occupation, while ignoring how people work in a given occupation.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Misconception of chance</w:t>
      </w:r>
      <w:r>
        <w:br/>
      </w:r>
      <w:r>
        <w:t xml:space="preserve">Say something about process risk or that an actuary may infer some sort of pattern where one</w:t>
      </w:r>
      <w:r>
        <w:t xml:space="preserve"> </w:t>
      </w:r>
      <w:r>
        <w:t xml:space="preserve">does not exist.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Insensitivity to predictive accuracy</w:t>
      </w:r>
      <w:r>
        <w:br/>
      </w:r>
      <w:r>
        <w:t xml:space="preserve">Taking a risk manager’s assessment of a new claims handling process at face value.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The illusion of validity</w:t>
      </w:r>
      <w:r>
        <w:br/>
      </w:r>
      <w:r>
        <w:t xml:space="preserve">Using an exposure base as a proxy for loss?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Misconceptions of Regression</w:t>
      </w:r>
      <w:r>
        <w:br/>
      </w:r>
      <w:r>
        <w:t xml:space="preserve">Letting one bad AY influence the expectation of the next AY.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Anchoring</w:t>
      </w:r>
      <w:r>
        <w:br/>
      </w:r>
      <w:r>
        <w:t xml:space="preserve">Using the prior prediction.</w:t>
      </w:r>
    </w:p>
    <w:p>
      <w:pPr>
        <w:pStyle w:val="FirstParagraph"/>
      </w:pPr>
      <w:r>
        <w:t xml:space="preserve">While it’s impossible to avoid all possible biases or errors when making predictions, there are</w:t>
      </w:r>
      <w:r>
        <w:t xml:space="preserve"> </w:t>
      </w:r>
      <w:r>
        <w:t xml:space="preserve">methods available that can help mitigate the risk.</w:t>
      </w:r>
    </w:p>
    <w:bookmarkEnd w:id="22"/>
    <w:bookmarkEnd w:id="23"/>
    <w:bookmarkStart w:id="24" w:name="basics-of-bayesian-mcmc"/>
    <w:p>
      <w:pPr>
        <w:pStyle w:val="Heading1"/>
      </w:pPr>
      <w:r>
        <w:t xml:space="preserve">Basics of Bayesian MCMC</w:t>
      </w:r>
    </w:p>
    <w:p>
      <w:pPr>
        <w:pStyle w:val="FirstParagraph"/>
      </w:pPr>
      <w:r>
        <w:t xml:space="preserve">Before we get into the Hamiltonian Monte Carlo method, we provide a brief overview of Bayesian MCMC.</w:t>
      </w:r>
    </w:p>
    <w:p>
      <w:pPr>
        <w:numPr>
          <w:ilvl w:val="0"/>
          <w:numId w:val="1004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Markov process</w:t>
      </w:r>
      <w:r>
        <w:t xml:space="preserve"> </w:t>
      </w:r>
      <w:r>
        <w:t xml:space="preserve">is a random process for which the future depends only on the present state.</w:t>
      </w:r>
      <w:r>
        <w:t xml:space="preserve"> </w:t>
      </w:r>
      <w:r>
        <w:t xml:space="preserve">For example, the outcome of rolling a die does not depend on the previous roll.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Monte Carlo</w:t>
      </w:r>
      <w:r>
        <w:t xml:space="preserve"> </w:t>
      </w:r>
      <w:r>
        <w:t xml:space="preserve">methods use random sampling to approximate an outcome. Continuing the die roll</w:t>
      </w:r>
      <w:r>
        <w:t xml:space="preserve"> </w:t>
      </w:r>
      <w:r>
        <w:t xml:space="preserve">example, you could replicate the outcome of a single roll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by generating a random value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from</w:t>
      </w:r>
      <w:r>
        <w:br/>
      </w:r>
      <w:r>
        <w:t xml:space="preserve">the distribution</w:t>
      </w:r>
      <w:r>
        <w:t xml:space="preserve"> </w:t>
      </w:r>
      <w:r>
        <w:rPr>
          <w:iCs/>
          <w:i/>
        </w:rPr>
        <w:t xml:space="preserve">U</w:t>
      </w:r>
      <w:r>
        <w:t xml:space="preserve"> </w:t>
      </w:r>
      <w:r>
        <w:t xml:space="preserve">~ Uniform[0,1], where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</m:oMath>
      <m:oMath>
        <m:r>
          <m:rPr>
            <m:sty m:val="p"/>
          </m:rPr>
          <m:t>⌈</m:t>
        </m:r>
      </m:oMath>
      <m:oMath>
        <m:r>
          <m:t>6</m:t>
        </m:r>
        <m:r>
          <m:t>u</m:t>
        </m:r>
      </m:oMath>
      <m:oMath>
        <m:r>
          <m:rPr>
            <m:sty m:val="p"/>
          </m:rPr>
          <m:t>⌉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Bayesian statistics</w:t>
      </w:r>
      <w:r>
        <w:t xml:space="preserve"> </w:t>
      </w:r>
      <w:r>
        <w:t xml:space="preserve">is an approach to data analysis based on Bayes’ theorem, where available</w:t>
      </w:r>
      <w:r>
        <w:t xml:space="preserve"> </w:t>
      </w:r>
      <w:r>
        <w:t xml:space="preserve">knowledge about parameters in a statistical model is updated with the information in observed</w:t>
      </w:r>
      <w:r>
        <w:t xml:space="preserve"> </w:t>
      </w:r>
      <w:r>
        <w:t xml:space="preserve">data. In our example, let’s assume that the die is not fair (unbeknownst to us) with a</w:t>
      </w:r>
      <w:r>
        <w:t xml:space="preserve"> </w:t>
      </w:r>
      <w:r>
        <w:t xml:space="preserve">distribution equal to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=</m:t>
            </m:r>
            <m:r>
              <m:t>i</m:t>
            </m:r>
          </m:e>
        </m:d>
        <m:r>
          <m:rPr>
            <m:sty m:val="p"/>
          </m:rPr>
          <m:t>=</m:t>
        </m:r>
        <m:r>
          <m:t>i</m:t>
        </m:r>
        <m:r>
          <m:rPr>
            <m:sty m:val="p"/>
          </m:rPr>
          <m:t>/</m:t>
        </m:r>
        <m:r>
          <m:t>21</m:t>
        </m:r>
      </m:oMath>
      <w:r>
        <w:t xml:space="preserve"> </w:t>
      </w:r>
      <w:r>
        <w:t xml:space="preserve">and that we have observed the following rolls: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=</w:t>
      </w:r>
      <w:r>
        <w:t xml:space="preserve"> </w:t>
      </w:r>
      <w:r>
        <w:t xml:space="preserve">{3, 4, 5, 6, 4, 3, 5, 4, 2}.</w:t>
      </w:r>
    </w:p>
    <w:p>
      <w:pPr>
        <w:numPr>
          <w:ilvl w:val="0"/>
          <w:numId w:val="1000"/>
        </w:numPr>
      </w:pPr>
      <w:r>
        <w:t xml:space="preserve">Using a Bayesian approach, we have three components: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Likelihood function</w:t>
      </w:r>
      <w:r>
        <w:t xml:space="preserve">: This is the parametric form of our data,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θ</m:t>
            </m:r>
          </m:e>
        </m:d>
      </m:oMath>
      <w:r>
        <w:t xml:space="preserve">, given a set</w:t>
      </w:r>
      <w:r>
        <w:t xml:space="preserve"> </w:t>
      </w:r>
      <w:r>
        <w:t xml:space="preserve">of parameters,</w:t>
      </w:r>
      <w:r>
        <w:t xml:space="preserve"> </w:t>
      </w:r>
      <m:oMath>
        <m:r>
          <m:t>θ</m:t>
        </m:r>
      </m:oMath>
      <w:r>
        <w:t xml:space="preserve">.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Prior distribution</w:t>
      </w:r>
      <w:r>
        <w:t xml:space="preserve">: This is our belief of the distribution of our parameters prior to</w:t>
      </w:r>
      <w:r>
        <w:t xml:space="preserve"> </w:t>
      </w:r>
      <w:r>
        <w:t xml:space="preserve">seeing the data,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. In this case, we might assume that the die is fair: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6</m:t>
        </m:r>
      </m:oMath>
      <w:r>
        <w:t xml:space="preserve">.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Posterior distribution</w:t>
      </w:r>
      <w:r>
        <w:t xml:space="preserve">: The result of updating our prior belief about the parameters given</w:t>
      </w:r>
      <w:r>
        <w:t xml:space="preserve"> </w:t>
      </w:r>
      <w:r>
        <w:t xml:space="preserve">the data,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|</m:t>
            </m:r>
            <m:r>
              <m:t>y</m:t>
            </m:r>
          </m:e>
        </m:d>
        <m:r>
          <m:rPr>
            <m:sty m:val="p"/>
          </m:rPr>
          <m:t>∝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*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θ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This process can be done using</w:t>
      </w:r>
      <w:r>
        <w:t xml:space="preserve"> </w:t>
      </w:r>
      <w:r>
        <w:rPr>
          <w:bCs/>
          <w:b/>
        </w:rPr>
        <w:t xml:space="preserve">Stan</w:t>
      </w:r>
      <w:r>
        <w:t xml:space="preserve">, an open-source software, via common coding languages (e.g.,</w:t>
      </w:r>
      <w:r>
        <w:t xml:space="preserve"> </w:t>
      </w:r>
      <w:r>
        <w:t xml:space="preserve">python and R). In this paper, we leverage the RStan package, though there are numerous other</w:t>
      </w:r>
      <w:r>
        <w:t xml:space="preserve"> </w:t>
      </w:r>
      <w:r>
        <w:t xml:space="preserve">packages that can be used.</w:t>
      </w:r>
    </w:p>
    <w:p>
      <w:pPr>
        <w:numPr>
          <w:ilvl w:val="0"/>
          <w:numId w:val="1006"/>
        </w:numPr>
        <w:pStyle w:val="Compact"/>
      </w:pPr>
      <w:r>
        <w:t xml:space="preserve">Need to discuss the key parameters (thin, chains, etc.).</w:t>
      </w:r>
    </w:p>
    <w:p>
      <w:pPr>
        <w:numPr>
          <w:ilvl w:val="0"/>
          <w:numId w:val="1006"/>
        </w:numPr>
        <w:pStyle w:val="Compact"/>
      </w:pPr>
      <w:r>
        <w:t xml:space="preserve">Discuss sampling method: Gibbs vs Metropolis Hastings vs Hamiltonian Monte Carlo</w:t>
      </w:r>
    </w:p>
    <w:p>
      <w:pPr>
        <w:pStyle w:val="FirstParagraph"/>
      </w:pPr>
      <w:r>
        <w:t xml:space="preserve">Applying this process to our loaded die example:</w:t>
      </w:r>
      <w:r>
        <w:t xml:space="preserve"> </w:t>
      </w:r>
      <w:r>
        <w:rPr>
          <w:iCs/>
          <w:i/>
        </w:rPr>
        <w:t xml:space="preserve">Kenny to complete</w:t>
      </w:r>
    </w:p>
    <w:bookmarkEnd w:id="24"/>
    <w:bookmarkStart w:id="39" w:name="an-example-in-action"/>
    <w:p>
      <w:pPr>
        <w:pStyle w:val="Heading1"/>
      </w:pPr>
      <w:r>
        <w:t xml:space="preserve">An Example in Action</w:t>
      </w:r>
    </w:p>
    <w:p>
      <w:pPr>
        <w:pStyle w:val="FirstParagraph"/>
      </w:pPr>
      <w:r>
        <w:t xml:space="preserve">For a simple example, we’ll use the procedure to estimate the annual number of worldwide earthquakes</w:t>
      </w:r>
      <w:r>
        <w:t xml:space="preserve"> </w:t>
      </w:r>
      <w:r>
        <w:t xml:space="preserve">greater than 6.0 magnitude. The data includes 14,014 earthquakes occurring since 1900 Let’s assume</w:t>
      </w:r>
      <w:r>
        <w:t xml:space="preserve"> </w:t>
      </w:r>
      <w:r>
        <w:t xml:space="preserve">it’s 2011 and we are tasked with estimating the number of 6.0 magnitude earthquakes in 2012.</w:t>
      </w:r>
    </w:p>
    <w:p>
      <w:pPr>
        <w:pStyle w:val="BodyText"/>
      </w:pPr>
      <w:r>
        <w:t xml:space="preserve">First, let’s get the data we’ll be using in our example: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"eqlist"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'CASdatasets'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eqlist)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(eqlist)</w:t>
      </w:r>
    </w:p>
    <w:p>
      <w:pPr>
        <w:pStyle w:val="SourceCode"/>
      </w:pPr>
      <w:r>
        <w:rPr>
          <w:rStyle w:val="VerbatimChar"/>
        </w:rPr>
        <w:t xml:space="preserve">##                            time latitude longitude   depth   mag magType   nst</w:t>
      </w:r>
      <w:r>
        <w:br/>
      </w:r>
      <w:r>
        <w:rPr>
          <w:rStyle w:val="VerbatimChar"/>
        </w:rPr>
        <w:t xml:space="preserve">##                          &lt;char&gt;    &lt;num&gt;     &lt;num&gt;   &lt;num&gt; &lt;num&gt;  &lt;char&gt; &lt;int&gt;</w:t>
      </w:r>
      <w:r>
        <w:br/>
      </w:r>
      <w:r>
        <w:rPr>
          <w:rStyle w:val="VerbatimChar"/>
        </w:rPr>
        <w:t xml:space="preserve">##     1: 2024-05-26T20:47:09.259Z -19.3769 -174.8692 112.235  6.60     mww   102</w:t>
      </w:r>
      <w:r>
        <w:br/>
      </w:r>
      <w:r>
        <w:rPr>
          <w:rStyle w:val="VerbatimChar"/>
        </w:rPr>
        <w:t xml:space="preserve">##     2: 2024-05-25T22:23:16.981Z -17.1088  167.8842  29.182  6.30     mww   169</w:t>
      </w:r>
      <w:r>
        <w:br/>
      </w:r>
      <w:r>
        <w:rPr>
          <w:rStyle w:val="VerbatimChar"/>
        </w:rPr>
        <w:t xml:space="preserve">##     3: 2024-05-19T09:35:24.992Z  52.1586 -170.8669  28.000  6.00     mww   209</w:t>
      </w:r>
      <w:r>
        <w:br/>
      </w:r>
      <w:r>
        <w:rPr>
          <w:rStyle w:val="VerbatimChar"/>
        </w:rPr>
        <w:t xml:space="preserve">##     4: 2024-05-12T11:39:14.137Z  14.4518  -92.3630  75.426  6.40     mww   148</w:t>
      </w:r>
      <w:r>
        <w:br/>
      </w:r>
      <w:r>
        <w:rPr>
          <w:rStyle w:val="VerbatimChar"/>
        </w:rPr>
        <w:t xml:space="preserve">##     5: 2024-05-08T08:17:15.442Z -15.1394  167.9978  12.450  6.10     mww    76</w:t>
      </w:r>
      <w:r>
        <w:br/>
      </w:r>
      <w:r>
        <w:rPr>
          <w:rStyle w:val="VerbatimChar"/>
        </w:rPr>
        <w:t xml:space="preserve">##    ---                                                                        </w:t>
      </w:r>
      <w:r>
        <w:br/>
      </w:r>
      <w:r>
        <w:rPr>
          <w:rStyle w:val="VerbatimChar"/>
        </w:rPr>
        <w:t xml:space="preserve">## 14010: 1901-12-31T09:02:30.000Z  51.4500 -171.0200      NA  7.10      ms    NA</w:t>
      </w:r>
      <w:r>
        <w:br/>
      </w:r>
      <w:r>
        <w:rPr>
          <w:rStyle w:val="VerbatimChar"/>
        </w:rPr>
        <w:t xml:space="preserve">## 14011: 1901-12-30T22:34:00.000Z  52.0000 -160.0000      NA  7.00      ms    NA</w:t>
      </w:r>
      <w:r>
        <w:br/>
      </w:r>
      <w:r>
        <w:rPr>
          <w:rStyle w:val="VerbatimChar"/>
        </w:rPr>
        <w:t xml:space="preserve">## 14012: 1901-11-14T04:39:00.000Z  38.5000 -112.4000      NA  6.60      mw    NA</w:t>
      </w:r>
      <w:r>
        <w:br/>
      </w:r>
      <w:r>
        <w:rPr>
          <w:rStyle w:val="VerbatimChar"/>
        </w:rPr>
        <w:t xml:space="preserve">## 14013: 1901-03-03T07:45:00.000Z  36.0000 -120.5000      NA  6.40      ms    NA</w:t>
      </w:r>
      <w:r>
        <w:br/>
      </w:r>
      <w:r>
        <w:rPr>
          <w:rStyle w:val="VerbatimChar"/>
        </w:rPr>
        <w:t xml:space="preserve">## 14014: 1900-10-09T12:24:00.000Z  58.3900 -152.4200      NA  7.86      mw    NA</w:t>
      </w:r>
      <w:r>
        <w:br/>
      </w:r>
      <w:r>
        <w:rPr>
          <w:rStyle w:val="VerbatimChar"/>
        </w:rPr>
        <w:t xml:space="preserve">##          gap  dmin   rms      net                        id</w:t>
      </w:r>
      <w:r>
        <w:br/>
      </w:r>
      <w:r>
        <w:rPr>
          <w:rStyle w:val="VerbatimChar"/>
        </w:rPr>
        <w:t xml:space="preserve">##        &lt;num&gt; &lt;num&gt; &lt;num&gt;   &lt;char&gt;                    &lt;char&gt;</w:t>
      </w:r>
      <w:r>
        <w:br/>
      </w:r>
      <w:r>
        <w:rPr>
          <w:rStyle w:val="VerbatimChar"/>
        </w:rPr>
        <w:t xml:space="preserve">##     1:    21 4.679  0.86       us                us6000n158</w:t>
      </w:r>
      <w:r>
        <w:br/>
      </w:r>
      <w:r>
        <w:rPr>
          <w:rStyle w:val="VerbatimChar"/>
        </w:rPr>
        <w:t xml:space="preserve">##     2:    28 4.830  0.77       us                us6000n102</w:t>
      </w:r>
      <w:r>
        <w:br/>
      </w:r>
      <w:r>
        <w:rPr>
          <w:rStyle w:val="VerbatimChar"/>
        </w:rPr>
        <w:t xml:space="preserve">##     3:    59 0.857  1.24       us                us6000mzme</w:t>
      </w:r>
      <w:r>
        <w:br/>
      </w:r>
      <w:r>
        <w:rPr>
          <w:rStyle w:val="VerbatimChar"/>
        </w:rPr>
        <w:t xml:space="preserve">##     4:    40 0.788  1.30       us                us6000my20</w:t>
      </w:r>
      <w:r>
        <w:br/>
      </w:r>
      <w:r>
        <w:rPr>
          <w:rStyle w:val="VerbatimChar"/>
        </w:rPr>
        <w:t xml:space="preserve">##     5:    33 6.438  1.30       us                us6000mx5c</w:t>
      </w:r>
      <w:r>
        <w:br/>
      </w:r>
      <w:r>
        <w:rPr>
          <w:rStyle w:val="VerbatimChar"/>
        </w:rPr>
        <w:t xml:space="preserve">##    ---                                                     </w:t>
      </w:r>
      <w:r>
        <w:br/>
      </w:r>
      <w:r>
        <w:rPr>
          <w:rStyle w:val="VerbatimChar"/>
        </w:rPr>
        <w:t xml:space="preserve">## 14010:    NA    NA    NA    ushis                  ushis399</w:t>
      </w:r>
      <w:r>
        <w:br/>
      </w:r>
      <w:r>
        <w:rPr>
          <w:rStyle w:val="VerbatimChar"/>
        </w:rPr>
        <w:t xml:space="preserve">## 14011:    NA    NA    NA    ushis                  ushis397</w:t>
      </w:r>
      <w:r>
        <w:br/>
      </w:r>
      <w:r>
        <w:rPr>
          <w:rStyle w:val="VerbatimChar"/>
        </w:rPr>
        <w:t xml:space="preserve">## 14012:    NA    NA    NA       uu       uu19011114043900000</w:t>
      </w:r>
      <w:r>
        <w:br/>
      </w:r>
      <w:r>
        <w:rPr>
          <w:rStyle w:val="VerbatimChar"/>
        </w:rPr>
        <w:t xml:space="preserve">## 14013:    NA    NA    NA    ushis                  ushis393</w:t>
      </w:r>
      <w:r>
        <w:br/>
      </w:r>
      <w:r>
        <w:rPr>
          <w:rStyle w:val="VerbatimChar"/>
        </w:rPr>
        <w:t xml:space="preserve">## 14014:    NA    NA    NA official official19001009122400000</w:t>
      </w:r>
      <w:r>
        <w:br/>
      </w:r>
      <w:r>
        <w:rPr>
          <w:rStyle w:val="VerbatimChar"/>
        </w:rPr>
        <w:t xml:space="preserve">##                         updated                                         place</w:t>
      </w:r>
      <w:r>
        <w:br/>
      </w:r>
      <w:r>
        <w:rPr>
          <w:rStyle w:val="VerbatimChar"/>
        </w:rPr>
        <w:t xml:space="preserve">##                          &lt;char&gt;                                        &lt;char&gt;</w:t>
      </w:r>
      <w:r>
        <w:br/>
      </w:r>
      <w:r>
        <w:rPr>
          <w:rStyle w:val="VerbatimChar"/>
        </w:rPr>
        <w:t xml:space="preserve">##     1: 2024-05-27T20:55:30.551Z              70 km NW of Fangale’ounga, Tonga</w:t>
      </w:r>
      <w:r>
        <w:br/>
      </w:r>
      <w:r>
        <w:rPr>
          <w:rStyle w:val="VerbatimChar"/>
        </w:rPr>
        <w:t xml:space="preserve">##     2: 2024-05-26T22:34:09.479Z               83 km NNW of Port-Vila, Vanuatu</w:t>
      </w:r>
      <w:r>
        <w:br/>
      </w:r>
      <w:r>
        <w:rPr>
          <w:rStyle w:val="VerbatimChar"/>
        </w:rPr>
        <w:t xml:space="preserve">##     3: 2024-05-28T09:45:33.298Z                161 km WSW of Nikolski, Alaska</w:t>
      </w:r>
      <w:r>
        <w:br/>
      </w:r>
      <w:r>
        <w:rPr>
          <w:rStyle w:val="VerbatimChar"/>
        </w:rPr>
        <w:t xml:space="preserve">##     4: 2024-05-14T07:31:58.254Z 17 km WSW of Brisas Barra de Suchiate, Mexico</w:t>
      </w:r>
      <w:r>
        <w:br/>
      </w:r>
      <w:r>
        <w:rPr>
          <w:rStyle w:val="VerbatimChar"/>
        </w:rPr>
        <w:t xml:space="preserve">##     5: 2024-05-10T03:06:36.063Z              99 km ENE of Luganville, Vanuatu</w:t>
      </w:r>
      <w:r>
        <w:br/>
      </w:r>
      <w:r>
        <w:rPr>
          <w:rStyle w:val="VerbatimChar"/>
        </w:rPr>
        <w:t xml:space="preserve">##    ---                                                                       </w:t>
      </w:r>
      <w:r>
        <w:br/>
      </w:r>
      <w:r>
        <w:rPr>
          <w:rStyle w:val="VerbatimChar"/>
        </w:rPr>
        <w:t xml:space="preserve">## 14010: 2024-03-11T00:15:29.211Z         Fox Islands, Aleutian Islands, Alaska</w:t>
      </w:r>
      <w:r>
        <w:br/>
      </w:r>
      <w:r>
        <w:rPr>
          <w:rStyle w:val="VerbatimChar"/>
        </w:rPr>
        <w:t xml:space="preserve">## 14011: 2024-03-11T00:20:09.462Z                               South of Alaska</w:t>
      </w:r>
      <w:r>
        <w:br/>
      </w:r>
      <w:r>
        <w:rPr>
          <w:rStyle w:val="VerbatimChar"/>
        </w:rPr>
        <w:t xml:space="preserve">## 14012: 2024-03-12T08:42:50.712Z                          Near Marysvale, Utah</w:t>
      </w:r>
      <w:r>
        <w:br/>
      </w:r>
      <w:r>
        <w:rPr>
          <w:rStyle w:val="VerbatimChar"/>
        </w:rPr>
        <w:t xml:space="preserve">## 14013: 2023-12-23T01:31:35.183Z                    Near Parkfield, California</w:t>
      </w:r>
      <w:r>
        <w:br/>
      </w:r>
      <w:r>
        <w:rPr>
          <w:rStyle w:val="VerbatimChar"/>
        </w:rPr>
        <w:t xml:space="preserve">## 14014: 2024-02-06T00:34:23.351Z                  Kodiak Island region, Alaska</w:t>
      </w:r>
      <w:r>
        <w:br/>
      </w:r>
      <w:r>
        <w:rPr>
          <w:rStyle w:val="VerbatimChar"/>
        </w:rPr>
        <w:t xml:space="preserve">##              type horizontalError depthError magError magNst   status</w:t>
      </w:r>
      <w:r>
        <w:br/>
      </w:r>
      <w:r>
        <w:rPr>
          <w:rStyle w:val="VerbatimChar"/>
        </w:rPr>
        <w:t xml:space="preserve">##            &lt;char&gt;           &lt;num&gt;      &lt;num&gt;    &lt;num&gt;  &lt;int&gt;   &lt;char&gt;</w:t>
      </w:r>
      <w:r>
        <w:br/>
      </w:r>
      <w:r>
        <w:rPr>
          <w:rStyle w:val="VerbatimChar"/>
        </w:rPr>
        <w:t xml:space="preserve">##     1: earthquake            9.27      5.482    0.058     29 reviewed</w:t>
      </w:r>
      <w:r>
        <w:br/>
      </w:r>
      <w:r>
        <w:rPr>
          <w:rStyle w:val="VerbatimChar"/>
        </w:rPr>
        <w:t xml:space="preserve">##     2: earthquake            7.83      4.688    0.039     64 reviewed</w:t>
      </w:r>
      <w:r>
        <w:br/>
      </w:r>
      <w:r>
        <w:rPr>
          <w:rStyle w:val="VerbatimChar"/>
        </w:rPr>
        <w:t xml:space="preserve">##     3: earthquake            6.01      1.874    0.038     68 reviewed</w:t>
      </w:r>
      <w:r>
        <w:br/>
      </w:r>
      <w:r>
        <w:rPr>
          <w:rStyle w:val="VerbatimChar"/>
        </w:rPr>
        <w:t xml:space="preserve">##     4: earthquake            6.98      4.585    0.031    103 reviewed</w:t>
      </w:r>
      <w:r>
        <w:br/>
      </w:r>
      <w:r>
        <w:rPr>
          <w:rStyle w:val="VerbatimChar"/>
        </w:rPr>
        <w:t xml:space="preserve">##     5: earthquake            5.62      3.564    0.045     48 reviewed</w:t>
      </w:r>
      <w:r>
        <w:br/>
      </w:r>
      <w:r>
        <w:rPr>
          <w:rStyle w:val="VerbatimChar"/>
        </w:rPr>
        <w:t xml:space="preserve">##    ---                                                               </w:t>
      </w:r>
      <w:r>
        <w:br/>
      </w:r>
      <w:r>
        <w:rPr>
          <w:rStyle w:val="VerbatimChar"/>
        </w:rPr>
        <w:t xml:space="preserve">## 14010: earthquake              NA         NA       NA     NA reviewed</w:t>
      </w:r>
      <w:r>
        <w:br/>
      </w:r>
      <w:r>
        <w:rPr>
          <w:rStyle w:val="VerbatimChar"/>
        </w:rPr>
        <w:t xml:space="preserve">## 14011: earthquake              NA         NA       NA     NA reviewed</w:t>
      </w:r>
      <w:r>
        <w:br/>
      </w:r>
      <w:r>
        <w:rPr>
          <w:rStyle w:val="VerbatimChar"/>
        </w:rPr>
        <w:t xml:space="preserve">## 14012: earthquake              NA         NA       NA     NA reviewed</w:t>
      </w:r>
      <w:r>
        <w:br/>
      </w:r>
      <w:r>
        <w:rPr>
          <w:rStyle w:val="VerbatimChar"/>
        </w:rPr>
        <w:t xml:space="preserve">## 14013: earthquake              NA         NA       NA     NA reviewed</w:t>
      </w:r>
      <w:r>
        <w:br/>
      </w:r>
      <w:r>
        <w:rPr>
          <w:rStyle w:val="VerbatimChar"/>
        </w:rPr>
        <w:t xml:space="preserve">## 14014: earthquake          211.00         NA       NA     NA reviewed</w:t>
      </w:r>
      <w:r>
        <w:br/>
      </w:r>
      <w:r>
        <w:rPr>
          <w:rStyle w:val="VerbatimChar"/>
        </w:rPr>
        <w:t xml:space="preserve">##        locationSource magSource        day</w:t>
      </w:r>
      <w:r>
        <w:br/>
      </w:r>
      <w:r>
        <w:rPr>
          <w:rStyle w:val="VerbatimChar"/>
        </w:rPr>
        <w:t xml:space="preserve">##                &lt;char&gt;    &lt;char&gt;     &lt;Date&gt;</w:t>
      </w:r>
      <w:r>
        <w:br/>
      </w:r>
      <w:r>
        <w:rPr>
          <w:rStyle w:val="VerbatimChar"/>
        </w:rPr>
        <w:t xml:space="preserve">##     1:             us        us 2024-05-26</w:t>
      </w:r>
      <w:r>
        <w:br/>
      </w:r>
      <w:r>
        <w:rPr>
          <w:rStyle w:val="VerbatimChar"/>
        </w:rPr>
        <w:t xml:space="preserve">##     2:             us        us 2024-05-25</w:t>
      </w:r>
      <w:r>
        <w:br/>
      </w:r>
      <w:r>
        <w:rPr>
          <w:rStyle w:val="VerbatimChar"/>
        </w:rPr>
        <w:t xml:space="preserve">##     3:             us        us 2024-05-19</w:t>
      </w:r>
      <w:r>
        <w:br/>
      </w:r>
      <w:r>
        <w:rPr>
          <w:rStyle w:val="VerbatimChar"/>
        </w:rPr>
        <w:t xml:space="preserve">##     4:             us        us 2024-05-12</w:t>
      </w:r>
      <w:r>
        <w:br/>
      </w:r>
      <w:r>
        <w:rPr>
          <w:rStyle w:val="VerbatimChar"/>
        </w:rPr>
        <w:t xml:space="preserve">##     5:             us        us 2024-05-08</w:t>
      </w:r>
      <w:r>
        <w:br/>
      </w:r>
      <w:r>
        <w:rPr>
          <w:rStyle w:val="VerbatimChar"/>
        </w:rPr>
        <w:t xml:space="preserve">##    ---                                    </w:t>
      </w:r>
      <w:r>
        <w:br/>
      </w:r>
      <w:r>
        <w:rPr>
          <w:rStyle w:val="VerbatimChar"/>
        </w:rPr>
        <w:t xml:space="preserve">## 14010:          ushis       abe 1901-12-31</w:t>
      </w:r>
      <w:r>
        <w:br/>
      </w:r>
      <w:r>
        <w:rPr>
          <w:rStyle w:val="VerbatimChar"/>
        </w:rPr>
        <w:t xml:space="preserve">## 14011:          ushis       abe 1901-12-30</w:t>
      </w:r>
      <w:r>
        <w:br/>
      </w:r>
      <w:r>
        <w:rPr>
          <w:rStyle w:val="VerbatimChar"/>
        </w:rPr>
        <w:t xml:space="preserve">## 14012:             uu        uu 1901-11-14</w:t>
      </w:r>
      <w:r>
        <w:br/>
      </w:r>
      <w:r>
        <w:rPr>
          <w:rStyle w:val="VerbatimChar"/>
        </w:rPr>
        <w:t xml:space="preserve">## 14013:          ushis       ell 1901-03-03</w:t>
      </w:r>
      <w:r>
        <w:br/>
      </w:r>
      <w:r>
        <w:rPr>
          <w:rStyle w:val="VerbatimChar"/>
        </w:rPr>
        <w:t xml:space="preserve">## 14014:       official        pt 1900-10-09</w:t>
      </w:r>
    </w:p>
    <w:p>
      <w:pPr>
        <w:pStyle w:val="FirstParagraph"/>
      </w:pPr>
      <w:r>
        <w:t xml:space="preserve">Next, we’ll get the count data by year between 1983 and 2011.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/Users/spencer.miller/Documents/Repos/bayesian_mcmc_paper/paper_files/figure-docx/count_data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At first glance, you might make the following observations about the data:</w:t>
      </w:r>
    </w:p>
    <w:p>
      <w:pPr>
        <w:numPr>
          <w:ilvl w:val="0"/>
          <w:numId w:val="1007"/>
        </w:numPr>
        <w:pStyle w:val="Compact"/>
      </w:pPr>
      <w:r>
        <w:t xml:space="preserve">Since around 1997, there appears to be an upward trend.</w:t>
      </w:r>
    </w:p>
    <w:p>
      <w:pPr>
        <w:numPr>
          <w:ilvl w:val="0"/>
          <w:numId w:val="1007"/>
        </w:numPr>
        <w:pStyle w:val="Compact"/>
      </w:pPr>
      <w:r>
        <w:t xml:space="preserve">Something else.</w:t>
      </w:r>
    </w:p>
    <w:p>
      <w:pPr>
        <w:numPr>
          <w:ilvl w:val="0"/>
          <w:numId w:val="1007"/>
        </w:numPr>
        <w:pStyle w:val="Compact"/>
      </w:pPr>
      <w:r>
        <w:t xml:space="preserve">Something else.</w:t>
      </w:r>
    </w:p>
    <w:p>
      <w:pPr>
        <w:pStyle w:val="FirstParagraph"/>
      </w:pPr>
      <w:r>
        <w:t xml:space="preserve">In the simplest case, an actuary may decide that a straight average of historical counts is the best</w:t>
      </w:r>
      <w:r>
        <w:t xml:space="preserve"> </w:t>
      </w:r>
      <w:r>
        <w:t xml:space="preserve">approximation of future counts. In this case, the average number per year is 156</w:t>
      </w:r>
      <w:r>
        <w:t xml:space="preserve"> </w:t>
      </w:r>
      <w:r>
        <w:t xml:space="preserve">(</w:t>
      </w:r>
      <w:r>
        <w:t xml:space="preserve">“</w:t>
      </w:r>
      <w:r>
        <w:t xml:space="preserve">Method A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However, you might decide that given the recent upward trend, an all-year average might be low.</w:t>
      </w:r>
      <w:r>
        <w:t xml:space="preserve"> </w:t>
      </w:r>
      <w:r>
        <w:t xml:space="preserve">Instead, you opt to use a five-year average of 183 (</w:t>
      </w:r>
      <w:r>
        <w:t xml:space="preserve">“</w:t>
      </w:r>
      <w:r>
        <w:t xml:space="preserve">Method B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Your next logical step might be to add some process risk around your estimate by fitting a</w:t>
      </w:r>
      <w:r>
        <w:t xml:space="preserve"> </w:t>
      </w:r>
      <w:r>
        <w:t xml:space="preserve">distribution to the data. Using the maximum-likelihood-estimates of a few common distributions, you</w:t>
      </w:r>
      <w:r>
        <w:t xml:space="preserve"> </w:t>
      </w:r>
      <w:r>
        <w:t xml:space="preserve">settle on using a Lognormal distribution parameterized using a mean of 183 and</w:t>
      </w:r>
      <w:r>
        <w:t xml:space="preserve"> </w:t>
      </w:r>
      <w:r>
        <w:t xml:space="preserve">coefficient of variation of 15% (based on all year coefficient of variation).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/Users/spencer.miller/Documents/Repos/bayesian_mcmc_paper/paper_files/figure-docx/method_C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running 10,000 simulations with your selected distribution, you’re left with a central</w:t>
      </w:r>
      <w:r>
        <w:t xml:space="preserve"> </w:t>
      </w:r>
      <w:r>
        <w:t xml:space="preserve">estimate of 183 (</w:t>
      </w:r>
      <w:r>
        <w:t xml:space="preserve">“</w:t>
      </w:r>
      <w:r>
        <w:t xml:space="preserve">Method C</w:t>
      </w:r>
      <w:r>
        <w:t xml:space="preserve">”</w:t>
      </w:r>
      <w:r>
        <w:t xml:space="preserve">). But as we discussed earlier, there are a few</w:t>
      </w:r>
      <w:r>
        <w:t xml:space="preserve"> </w:t>
      </w:r>
      <w:r>
        <w:t xml:space="preserve">problems with just relying on our data:</w:t>
      </w:r>
    </w:p>
    <w:p>
      <w:pPr>
        <w:numPr>
          <w:ilvl w:val="0"/>
          <w:numId w:val="1008"/>
        </w:numPr>
        <w:pStyle w:val="Compact"/>
      </w:pPr>
      <w:r>
        <w:t xml:space="preserve">The sample size is on the low end (n = 29).</w:t>
      </w:r>
    </w:p>
    <w:p>
      <w:pPr>
        <w:numPr>
          <w:ilvl w:val="0"/>
          <w:numId w:val="1008"/>
        </w:numPr>
        <w:pStyle w:val="Compact"/>
      </w:pPr>
      <w:r>
        <w:t xml:space="preserve">Regression to the mean.</w:t>
      </w:r>
    </w:p>
    <w:p>
      <w:pPr>
        <w:numPr>
          <w:ilvl w:val="0"/>
          <w:numId w:val="1008"/>
        </w:numPr>
        <w:pStyle w:val="Compact"/>
      </w:pPr>
      <w:r>
        <w:t xml:space="preserve">It might look like there is a</w:t>
      </w:r>
      <w:r>
        <w:t xml:space="preserve"> </w:t>
      </w:r>
      <w:r>
        <w:t xml:space="preserve">“</w:t>
      </w:r>
      <w:r>
        <w:t xml:space="preserve">new normal</w:t>
      </w:r>
      <w:r>
        <w:t xml:space="preserve">”</w:t>
      </w:r>
      <w:r>
        <w:t xml:space="preserve"> </w:t>
      </w:r>
      <w:r>
        <w:t xml:space="preserve">but you could be seeing a trend where there isn’t</w:t>
      </w:r>
      <w:r>
        <w:t xml:space="preserve"> </w:t>
      </w:r>
      <w:r>
        <w:t xml:space="preserve">one.</w:t>
      </w:r>
    </w:p>
    <w:p>
      <w:pPr>
        <w:pStyle w:val="FirstParagraph"/>
      </w:pPr>
      <w:r>
        <w:t xml:space="preserve">So how do we handle these possible biases? That’s where Bayesian MCMC comes in. Our first model will</w:t>
      </w:r>
      <w:r>
        <w:t xml:space="preserve"> </w:t>
      </w:r>
      <w:r>
        <w:t xml:space="preserve">assume a wide prior. We’ll start with our distribution from Method C: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mu</w:t>
      </w:r>
      <w:r>
        <w:t xml:space="preserve"> </w:t>
      </w:r>
      <w:r>
        <w:t xml:space="preserve">~ Normal(5.199, 0.26)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sigma</w:t>
      </w:r>
      <w:r>
        <w:t xml:space="preserve"> </w:t>
      </w:r>
      <w:r>
        <w:t xml:space="preserve">~ Exponential(0.149)</w:t>
      </w:r>
    </w:p>
    <w:p>
      <w:pPr>
        <w:pStyle w:val="FirstParagraph"/>
      </w:pPr>
      <w:r>
        <w:t xml:space="preserve">After running 10,000 simulations with your selected distribution, you’re left with a central</w:t>
      </w:r>
      <w:r>
        <w:t xml:space="preserve"> </w:t>
      </w:r>
      <w:r>
        <w:t xml:space="preserve">estimate of 156 (</w:t>
      </w:r>
      <w:r>
        <w:t xml:space="preserve">“</w:t>
      </w:r>
      <w:r>
        <w:t xml:space="preserve">Method D</w:t>
      </w:r>
      <w:r>
        <w:t xml:space="preserve">”</w:t>
      </w:r>
      <w:r>
        <w:t xml:space="preserve">). Since you used a wide prior, your result will be</w:t>
      </w:r>
      <w:r>
        <w:t xml:space="preserve"> </w:t>
      </w:r>
      <w:r>
        <w:t xml:space="preserve">fairly close to Method A even though you had a much higher prior. That is because the data is</w:t>
      </w:r>
      <w:r>
        <w:t xml:space="preserve"> </w:t>
      </w:r>
      <w:r>
        <w:t xml:space="preserve">overwhelmingly lower, thus a higher estimate is less likely.</w:t>
      </w:r>
    </w:p>
    <w:p>
      <w:pPr>
        <w:pStyle w:val="BodyText"/>
      </w:pPr>
      <w:r>
        <w:t xml:space="preserve">Next, let’s test</w:t>
      </w:r>
      <w:r>
        <w:t xml:space="preserve"> </w:t>
      </w:r>
      <w:r>
        <w:t xml:space="preserve">“</w:t>
      </w:r>
      <w:r>
        <w:t xml:space="preserve">tighter</w:t>
      </w:r>
      <w:r>
        <w:t xml:space="preserve">”</w:t>
      </w:r>
      <w:r>
        <w:t xml:space="preserve"> </w:t>
      </w:r>
      <w:r>
        <w:t xml:space="preserve">our prior. After all, we’re pretty confident of the recent trend. We’ll</w:t>
      </w:r>
      <w:r>
        <w:t xml:space="preserve"> </w:t>
      </w:r>
      <w:r>
        <w:t xml:space="preserve">assume that our Lognormal distribution has the following revised prior distributions: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mu</w:t>
      </w:r>
      <w:r>
        <w:t xml:space="preserve"> </w:t>
      </w:r>
      <w:r>
        <w:t xml:space="preserve">~ Normal(5.199, 0.052)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sigma</w:t>
      </w:r>
      <w:r>
        <w:t xml:space="preserve"> </w:t>
      </w:r>
      <w:r>
        <w:t xml:space="preserve">~ Exponential(6.704)</w:t>
      </w:r>
    </w:p>
    <w:p>
      <w:pPr>
        <w:pStyle w:val="FirstParagraph"/>
      </w:pPr>
      <w:r>
        <w:t xml:space="preserve">Let’s compare each result to the true number of fires that occurred in 2012 (133).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/Users/spencer.miller/Documents/Repos/bayesian_mcmc_paper/paper_files/figure-docx/compar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appears that all four methods severely overestimated the true counts. However, if we look at</w:t>
      </w:r>
      <w:r>
        <w:t xml:space="preserve"> </w:t>
      </w:r>
      <w:r>
        <w:t xml:space="preserve">Method C versus Method D, the true count is approximately equal to the</w:t>
      </w:r>
      <w:r>
        <w:t xml:space="preserve"> </w:t>
      </w:r>
      <w:r>
        <w:t xml:space="preserve">1.7% confidence level of Method C, but the</w:t>
      </w:r>
      <w:r>
        <w:t xml:space="preserve"> </w:t>
      </w:r>
      <w:r>
        <w:t xml:space="preserve">14.4% confidence level of Method D.</w:t>
      </w:r>
    </w:p>
    <w:p>
      <w:pPr>
        <w:pStyle w:val="BodyText"/>
      </w:pPr>
      <w:r>
        <w:t xml:space="preserve">With the benefit of hindsight, let’s see why we overestimated the true counts in all four methods.</w:t>
      </w:r>
      <w:r>
        <w:t xml:space="preserve"> </w:t>
      </w:r>
      <w:r>
        <w:t xml:space="preserve">As it turns out, we fell prey to (at least) two key biases:</w:t>
      </w:r>
    </w:p>
    <w:p>
      <w:pPr>
        <w:numPr>
          <w:ilvl w:val="0"/>
          <w:numId w:val="1011"/>
        </w:numPr>
        <w:pStyle w:val="Compact"/>
      </w:pPr>
      <w:r>
        <w:t xml:space="preserve">Humans just aren’t that great at identifying random processes. For example, a series of coin</w:t>
      </w:r>
      <w:r>
        <w:t xml:space="preserve"> </w:t>
      </w:r>
      <w:r>
        <w:t xml:space="preserve">tosses with all heads is seen as</w:t>
      </w:r>
      <w:r>
        <w:t xml:space="preserve"> </w:t>
      </w:r>
      <w:r>
        <w:t xml:space="preserve">“</w:t>
      </w:r>
      <w:r>
        <w:t xml:space="preserve">less random</w:t>
      </w:r>
      <w:r>
        <w:t xml:space="preserve">”</w:t>
      </w:r>
      <w:r>
        <w:t xml:space="preserve"> </w:t>
      </w:r>
      <w:r>
        <w:t xml:space="preserve">than a series with alternating heads and tails,</w:t>
      </w:r>
      <w:r>
        <w:t xml:space="preserve"> </w:t>
      </w:r>
      <w:r>
        <w:t xml:space="preserve">even though both results are equally likely.</w:t>
      </w:r>
    </w:p>
    <w:p>
      <w:pPr>
        <w:numPr>
          <w:ilvl w:val="0"/>
          <w:numId w:val="1011"/>
        </w:numPr>
        <w:pStyle w:val="Compact"/>
      </w:pPr>
      <w:r>
        <w:t xml:space="preserve">Regression to the mean. As seen in the chart, the high average for 2008-2011 was followed by a</w:t>
      </w:r>
      <w:r>
        <w:t xml:space="preserve"> </w:t>
      </w:r>
      <w:r>
        <w:t xml:space="preserve">low average in 2012-2023. This resulted in the new all-year average (1983-2023) being nearly</w:t>
      </w:r>
      <w:r>
        <w:t xml:space="preserve"> </w:t>
      </w:r>
      <w:r>
        <w:t xml:space="preserve">identical to the all-year average before the rise</w:t>
      </w:r>
      <w:r>
        <w:t xml:space="preserve"> </w:t>
      </w:r>
      <w:r>
        <w:t xml:space="preserve">(1983-2007).</w:t>
      </w:r>
      <w:hyperlink r:id="rId34">
        <w:r>
          <w:rPr>
            <w:rStyle w:val="Hyperlink"/>
          </w:rPr>
          <w:t xml:space="preserve">^1</w:t>
        </w:r>
      </w:hyperlink>
    </w:p>
    <w:p>
      <w:pPr>
        <w:pStyle w:val="FirstParagraph"/>
      </w:pPr>
      <w:r>
        <w:t xml:space="preserve">earthquakes:</w:t>
      </w:r>
      <w:r>
        <w:t xml:space="preserve"> </w:t>
      </w:r>
      <w:hyperlink r:id="rId35">
        <w:r>
          <w:rPr>
            <w:rStyle w:val="Hyperlink"/>
          </w:rPr>
          <w:t xml:space="preserve">From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USGC</w:t>
        </w:r>
      </w:hyperlink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/Users/spencer.miller/Documents/Repos/bayesian_mcmc_paper/paper_files/figure-docx/plot_full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9" w:name="supplemental-information"/>
    <w:p>
      <w:pPr>
        <w:pStyle w:val="Heading1"/>
      </w:pPr>
      <w:r>
        <w:t xml:space="preserve">Supplemental Information</w:t>
      </w:r>
    </w:p>
    <w:bookmarkStart w:id="40" w:name="literature-review"/>
    <w:p>
      <w:pPr>
        <w:pStyle w:val="Heading2"/>
      </w:pPr>
      <w:r>
        <w:t xml:space="preserve">Literature Review</w:t>
      </w:r>
    </w:p>
    <w:p>
      <w:pPr>
        <w:pStyle w:val="FirstParagraph"/>
      </w:pPr>
      <w:r>
        <w:t xml:space="preserve">While our paper focused on the usage of Bayesian MCMC methods for forecasting purposes, the methods</w:t>
      </w:r>
      <w:r>
        <w:t xml:space="preserve"> </w:t>
      </w:r>
      <w:r>
        <w:t xml:space="preserve">can and have been used in other applications. We provide a non-exhaustive list below of papers that</w:t>
      </w:r>
      <w:r>
        <w:t xml:space="preserve"> </w:t>
      </w:r>
      <w:r>
        <w:t xml:space="preserve">utilize these methods to some extent:</w:t>
      </w:r>
    </w:p>
    <w:p>
      <w:pPr>
        <w:numPr>
          <w:ilvl w:val="0"/>
          <w:numId w:val="1012"/>
        </w:numPr>
      </w:pPr>
      <w:r>
        <w:t xml:space="preserve">Reserving</w:t>
      </w:r>
      <w:r>
        <w:rPr>
          <w:vertAlign w:val="superscript"/>
        </w:rPr>
        <w:t xml:space="preserve">2</w:t>
      </w:r>
    </w:p>
    <w:p>
      <w:pPr>
        <w:numPr>
          <w:ilvl w:val="0"/>
          <w:numId w:val="1012"/>
        </w:numPr>
      </w:pPr>
      <w:r>
        <w:t xml:space="preserve">Renewal Functions</w:t>
      </w:r>
      <w:r>
        <w:rPr>
          <w:vertAlign w:val="superscript"/>
        </w:rPr>
        <w:t xml:space="preserve">3</w:t>
      </w:r>
    </w:p>
    <w:p>
      <w:pPr>
        <w:numPr>
          <w:ilvl w:val="0"/>
          <w:numId w:val="1012"/>
        </w:numPr>
      </w:pPr>
      <w:r>
        <w:t xml:space="preserve">Risk Margins</w:t>
      </w:r>
      <w:r>
        <w:rPr>
          <w:vertAlign w:val="superscript"/>
        </w:rPr>
        <w:t xml:space="preserve">4</w:t>
      </w:r>
    </w:p>
    <w:p>
      <w:pPr>
        <w:numPr>
          <w:ilvl w:val="0"/>
          <w:numId w:val="1012"/>
        </w:numPr>
      </w:pPr>
      <w:r>
        <w:t xml:space="preserve">Trends</w:t>
      </w:r>
      <w:r>
        <w:rPr>
          <w:vertAlign w:val="superscript"/>
        </w:rPr>
        <w:t xml:space="preserve">5</w:t>
      </w:r>
    </w:p>
    <w:p>
      <w:pPr>
        <w:pStyle w:val="FirstParagraph"/>
      </w:pPr>
      <w:r>
        <w:t xml:space="preserve">We also believe there are several other possible applications, ranging from the selection of</w:t>
      </w:r>
      <w:r>
        <w:t xml:space="preserve"> </w:t>
      </w:r>
      <w:r>
        <w:t xml:space="preserve">development factors to estimating reserve variability. We leave it to the reader to explore these.</w:t>
      </w:r>
    </w:p>
    <w:bookmarkEnd w:id="40"/>
    <w:bookmarkStart w:id="41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We would like to extend our gratitude to our colleagues for their thoughtful reviews (Rajesh</w:t>
      </w:r>
      <w:r>
        <w:t xml:space="preserve"> </w:t>
      </w:r>
      <w:r>
        <w:t xml:space="preserve">Sahasrabuddhe, Molly Colleary, Alex Taggart, and Chris Schneider).</w:t>
      </w:r>
    </w:p>
    <w:bookmarkEnd w:id="41"/>
    <w:bookmarkStart w:id="42" w:name="biographies-of-the-authors"/>
    <w:p>
      <w:pPr>
        <w:pStyle w:val="Heading2"/>
      </w:pPr>
      <w:r>
        <w:t xml:space="preserve">Biographies of the Authors</w:t>
      </w:r>
    </w:p>
    <w:p>
      <w:pPr>
        <w:pStyle w:val="FirstParagraph"/>
      </w:pPr>
      <w:r>
        <w:t xml:space="preserve">Spencer is a Senior Manager with Oliver Wyman Actuarial Consulting, Inc., located in Philadelphia.</w:t>
      </w:r>
      <w:r>
        <w:t xml:space="preserve"> </w:t>
      </w:r>
      <w:r>
        <w:t xml:space="preserve">He holds a Bachelor of Science from Lebanon Valley College.</w:t>
      </w:r>
    </w:p>
    <w:p>
      <w:pPr>
        <w:pStyle w:val="BodyText"/>
      </w:pPr>
      <w:r>
        <w:t xml:space="preserve">Kenny is a Senior Manager with Oliver Wyman Actuarial Consulting, Inc, located in Chicago. He holds</w:t>
      </w:r>
      <w:r>
        <w:t xml:space="preserve"> </w:t>
      </w:r>
      <w:r>
        <w:t xml:space="preserve">a Bachelor of Science degree in Actuarial Mathematics and Statistics from the University of</w:t>
      </w:r>
      <w:r>
        <w:t xml:space="preserve"> </w:t>
      </w:r>
      <w:r>
        <w:t xml:space="preserve">Pittsburgh.</w:t>
      </w:r>
    </w:p>
    <w:bookmarkEnd w:id="42"/>
    <w:bookmarkStart w:id="43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[1] A. Tversky, and D. Kahneman, Judgment under uncertainty: Heuristics and biases, Science 185,</w:t>
      </w:r>
      <w:r>
        <w:t xml:space="preserve"> </w:t>
      </w:r>
      <w:r>
        <w:t xml:space="preserve">1124–1131 (1974).</w:t>
      </w:r>
    </w:p>
    <w:p>
      <w:pPr>
        <w:pStyle w:val="BodyText"/>
      </w:pPr>
      <w:r>
        <w:t xml:space="preserve">[2] Meyers, G. 2015.</w:t>
      </w:r>
      <w:r>
        <w:t xml:space="preserve"> </w:t>
      </w:r>
      <w:r>
        <w:t xml:space="preserve">“</w:t>
      </w:r>
      <w:r>
        <w:t xml:space="preserve">Stochastic Loss Reserving Using Bayesian MCMC Models.</w:t>
      </w:r>
      <w:r>
        <w:t xml:space="preserve">”</w:t>
      </w:r>
      <w:r>
        <w:t xml:space="preserve"> </w:t>
      </w:r>
      <w:r>
        <w:t xml:space="preserve">CAS Monograph #1.</w:t>
      </w:r>
    </w:p>
    <w:p>
      <w:pPr>
        <w:pStyle w:val="BodyText"/>
      </w:pPr>
      <w:r>
        <w:t xml:space="preserve">[3] Aminzadeh, M.S., and Min Deng. 2022.</w:t>
      </w:r>
      <w:r>
        <w:t xml:space="preserve"> </w:t>
      </w:r>
      <w:r>
        <w:t xml:space="preserve">“</w:t>
      </w:r>
      <w:r>
        <w:t xml:space="preserve">Bayesian Estimation of Renewal Function Based on</w:t>
      </w:r>
      <w:r>
        <w:t xml:space="preserve"> </w:t>
      </w:r>
      <w:r>
        <w:t xml:space="preserve">Pareto-Distributed Inter-Arrival Times via an MCMC Algorithm.</w:t>
      </w:r>
      <w:r>
        <w:t xml:space="preserve">”</w:t>
      </w:r>
      <w:r>
        <w:t xml:space="preserve"> </w:t>
      </w:r>
      <w:r>
        <w:t xml:space="preserve">Variance 15 (2).</w:t>
      </w:r>
    </w:p>
    <w:p>
      <w:pPr>
        <w:pStyle w:val="BodyText"/>
      </w:pPr>
      <w:r>
        <w:t xml:space="preserve">[4] Meyers, G. 2019.</w:t>
      </w:r>
      <w:r>
        <w:t xml:space="preserve"> </w:t>
      </w:r>
      <w:r>
        <w:t xml:space="preserve">“</w:t>
      </w:r>
      <w:r>
        <w:t xml:space="preserve">A Cost-of-Capital Risk Margin Formula for Nonlife Insurance Liabilities.</w:t>
      </w:r>
      <w:r>
        <w:t xml:space="preserve">”</w:t>
      </w:r>
      <w:r>
        <w:t xml:space="preserve"> </w:t>
      </w:r>
      <w:r>
        <w:t xml:space="preserve">Variance 12 (2).</w:t>
      </w:r>
    </w:p>
    <w:p>
      <w:pPr>
        <w:pStyle w:val="BodyText"/>
      </w:pPr>
      <w:r>
        <w:t xml:space="preserve">[5] Schmid, F. 2013.</w:t>
      </w:r>
      <w:r>
        <w:t xml:space="preserve"> </w:t>
      </w:r>
      <w:r>
        <w:t xml:space="preserve">“</w:t>
      </w:r>
      <w:r>
        <w:t xml:space="preserve">Bayesian Trend Selection.</w:t>
      </w:r>
      <w:r>
        <w:t xml:space="preserve">”</w:t>
      </w:r>
      <w:r>
        <w:t xml:space="preserve"> </w:t>
      </w:r>
      <w:r>
        <w:t xml:space="preserve">Casualty Actuarial Society E-Forum, Spring 2013.</w:t>
      </w:r>
    </w:p>
    <w:bookmarkEnd w:id="43"/>
    <w:bookmarkStart w:id="48" w:name="r-packages"/>
    <w:p>
      <w:pPr>
        <w:pStyle w:val="Heading2"/>
      </w:pPr>
      <w:r>
        <w:t xml:space="preserve">R Packages</w:t>
      </w:r>
    </w:p>
    <w:p>
      <w:pPr>
        <w:pStyle w:val="FirstParagraph"/>
      </w:pPr>
      <w:r>
        <w:t xml:space="preserve">Barrett, Tyson, Matt Dowle, Arun Srinivasan, Jan Gorecki, Michael Chirico, Toby Hocking, Benjamin</w:t>
      </w:r>
      <w:r>
        <w:t xml:space="preserve"> </w:t>
      </w:r>
      <w:r>
        <w:t xml:space="preserve">Schwendinger, and Ivan Krylov. 2025.</w:t>
      </w:r>
      <w:r>
        <w:t xml:space="preserve"> </w:t>
      </w:r>
      <w:r>
        <w:t xml:space="preserve">“</w:t>
      </w:r>
      <w:r>
        <w:t xml:space="preserve">Data.table: Extension of ’Data.frame‘.</w:t>
      </w:r>
      <w:r>
        <w:t xml:space="preserve">”</w:t>
      </w:r>
      <w:r>
        <w:t xml:space="preserve"> </w:t>
      </w:r>
      <w:hyperlink r:id="rId44">
        <w:r>
          <w:rPr>
            <w:rStyle w:val="Hyperlink"/>
          </w:rPr>
          <w:t xml:space="preserve">https://CRAN.Rproject.org/package=data.table</w:t>
        </w:r>
      </w:hyperlink>
      <w:r>
        <w:t xml:space="preserve">.</w:t>
      </w:r>
    </w:p>
    <w:p>
      <w:pPr>
        <w:pStyle w:val="BodyText"/>
      </w:pPr>
      <w:r>
        <w:t xml:space="preserve">Dutang, Christophe, and Arthur Charpentier. 2025.</w:t>
      </w:r>
      <w:r>
        <w:t xml:space="preserve"> </w:t>
      </w:r>
      <w:r>
        <w:t xml:space="preserve">“</w:t>
      </w:r>
      <w:r>
        <w:t xml:space="preserve">CASdatasets: Insurance Datasets.</w:t>
      </w:r>
      <w:r>
        <w:t xml:space="preserve">”</w:t>
      </w:r>
      <w:r>
        <w:t xml:space="preserve"> </w:t>
      </w:r>
      <w:hyperlink r:id="rId45">
        <w:r>
          <w:rPr>
            <w:rStyle w:val="Hyperlink"/>
          </w:rPr>
          <w:t xml:space="preserve">https://doi.org/10.57745/P0KHAG</w:t>
        </w:r>
      </w:hyperlink>
      <w:r>
        <w:t xml:space="preserve">.</w:t>
      </w:r>
    </w:p>
    <w:p>
      <w:pPr>
        <w:pStyle w:val="BodyText"/>
      </w:pPr>
      <w:r>
        <w:t xml:space="preserve">Stan Development Team. 2025.</w:t>
      </w:r>
      <w:r>
        <w:t xml:space="preserve"> </w:t>
      </w:r>
      <w:r>
        <w:t xml:space="preserve">“</w:t>
      </w:r>
      <w:r>
        <w:t xml:space="preserve">{RStan}: The {r} Interface to {Stan}.</w:t>
      </w:r>
      <w:r>
        <w:t xml:space="preserve">”</w:t>
      </w:r>
      <w:r>
        <w:t xml:space="preserve"> </w:t>
      </w:r>
      <w:hyperlink r:id="rId46">
        <w:r>
          <w:rPr>
            <w:rStyle w:val="Hyperlink"/>
          </w:rPr>
          <w:t xml:space="preserve">https://mc-stan.org/</w:t>
        </w:r>
      </w:hyperlink>
      <w:r>
        <w:t xml:space="preserve">.</w:t>
      </w:r>
    </w:p>
    <w:p>
      <w:pPr>
        <w:pStyle w:val="BodyText"/>
      </w:pPr>
      <w:r>
        <w:t xml:space="preserve">Wickham, Hadley. 2016.</w:t>
      </w:r>
      <w:r>
        <w:t xml:space="preserve"> </w:t>
      </w:r>
      <w:r>
        <w:t xml:space="preserve">“</w:t>
      </w:r>
      <w:r>
        <w:t xml:space="preserve">Ggplot2: Elegant Graphics for Data Analysis.</w:t>
      </w:r>
      <w:r>
        <w:t xml:space="preserve">”</w:t>
      </w:r>
      <w:r>
        <w:t xml:space="preserve"> </w:t>
      </w:r>
      <w:hyperlink r:id="rId47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hyperlink" Id="rId34" Target="It%20is%20not%20uncommon%20for%20there%20to%20be%20large%20fluctuations%20in%20the%20frequency%20of%20high-maginitude" TargetMode="External" /><Relationship Type="http://schemas.openxmlformats.org/officeDocument/2006/relationships/hyperlink" Id="rId44" Target="https://CRAN.Rproject.org/package=data.table" TargetMode="External" /><Relationship Type="http://schemas.openxmlformats.org/officeDocument/2006/relationships/hyperlink" Id="rId45" Target="https://doi.org/10.57745/P0KHAG" TargetMode="External" /><Relationship Type="http://schemas.openxmlformats.org/officeDocument/2006/relationships/hyperlink" Id="rId47" Target="https://ggplot2.tidyverse.org" TargetMode="External" /><Relationship Type="http://schemas.openxmlformats.org/officeDocument/2006/relationships/hyperlink" Id="rId46" Target="https://mc-stan.org/" TargetMode="External" /><Relationship Type="http://schemas.openxmlformats.org/officeDocument/2006/relationships/hyperlink" Id="rId35" Target="https://www.usgs.gov/faqs/why-are-we-having-so-many-earthquakes-has-naturally-occurring-earthquake-activity-be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It%20is%20not%20uncommon%20for%20there%20to%20be%20large%20fluctuations%20in%20the%20frequency%20of%20high-maginitude" TargetMode="External" /><Relationship Type="http://schemas.openxmlformats.org/officeDocument/2006/relationships/hyperlink" Id="rId44" Target="https://CRAN.Rproject.org/package=data.table" TargetMode="External" /><Relationship Type="http://schemas.openxmlformats.org/officeDocument/2006/relationships/hyperlink" Id="rId45" Target="https://doi.org/10.57745/P0KHAG" TargetMode="External" /><Relationship Type="http://schemas.openxmlformats.org/officeDocument/2006/relationships/hyperlink" Id="rId47" Target="https://ggplot2.tidyverse.org" TargetMode="External" /><Relationship Type="http://schemas.openxmlformats.org/officeDocument/2006/relationships/hyperlink" Id="rId46" Target="https://mc-stan.org/" TargetMode="External" /><Relationship Type="http://schemas.openxmlformats.org/officeDocument/2006/relationships/hyperlink" Id="rId35" Target="https://www.usgs.gov/faqs/why-are-we-having-so-many-earthquakes-has-naturally-occurring-earthquake-activity-be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Practical Guide to the Bayesian Hamiltonian Monte Carlo Method</dc:title>
  <dc:creator> Spencer Miller, fcas, maaa &amp; Kenny Smart, fcas, maaa </dc:creator>
  <cp:keywords/>
  <dcterms:created xsi:type="dcterms:W3CDTF">2025-07-01T14:13:58Z</dcterms:created>
  <dcterms:modified xsi:type="dcterms:W3CDTF">2025-07-01T14:13:58Z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 be completed later.</vt:lpwstr>
  </property>
  <property fmtid="{D5CDD505-2E9C-101B-9397-08002B2CF9AE}" pid="3" name="date">
    <vt:lpwstr>2025-07-01</vt:lpwstr>
  </property>
  <property fmtid="{D5CDD505-2E9C-101B-9397-08002B2CF9AE}" pid="4" name="editor_options">
    <vt:lpwstr/>
  </property>
  <property fmtid="{D5CDD505-2E9C-101B-9397-08002B2CF9AE}" pid="5" name="knit">
    <vt:lpwstr>(function(inputFile, encoding) { rmarkdown::render( inputFile, encoding = encoding, output_dir = ‘./bayesian_mcmc_paper/’, output_format = “all” ) })</vt:lpwstr>
  </property>
  <property fmtid="{D5CDD505-2E9C-101B-9397-08002B2CF9AE}" pid="6" name="output">
    <vt:lpwstr/>
  </property>
</Properties>
</file>