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9D15E" w14:textId="77777777" w:rsidR="008A3C02" w:rsidRPr="008A3C02" w:rsidRDefault="008A3C02" w:rsidP="00C6597B">
      <w:pPr>
        <w:pStyle w:val="Heading1"/>
        <w:jc w:val="center"/>
      </w:pPr>
      <w:r w:rsidRPr="008A3C02">
        <w:t>Fundamental Analysis Cheat Sheet</w:t>
      </w:r>
    </w:p>
    <w:p w14:paraId="5911DFAF" w14:textId="2D4EBB43" w:rsidR="008A3C02" w:rsidRPr="008A3C02" w:rsidRDefault="008A3C02" w:rsidP="00C6597B">
      <w:pPr>
        <w:pStyle w:val="Heading2"/>
        <w:ind w:left="357"/>
      </w:pPr>
      <w:r w:rsidRPr="008A3C02">
        <w:t>Discounted Cash Flow (DCF) Analysis</w:t>
      </w:r>
    </w:p>
    <w:p w14:paraId="1DBF22EE" w14:textId="77777777" w:rsidR="008A3C02" w:rsidRPr="008A3C02" w:rsidRDefault="008A3C02" w:rsidP="00C6597B">
      <w:pPr>
        <w:pStyle w:val="Heading3"/>
        <w:ind w:left="357"/>
      </w:pPr>
      <w:r w:rsidRPr="008A3C02">
        <w:t>1. Free Cash Flow (FCF)</w:t>
      </w:r>
    </w:p>
    <w:p w14:paraId="48ABBC95" w14:textId="77777777" w:rsidR="008A3C02" w:rsidRPr="008A3C02" w:rsidRDefault="008A3C02" w:rsidP="008A3C02">
      <w:pPr>
        <w:numPr>
          <w:ilvl w:val="0"/>
          <w:numId w:val="14"/>
        </w:numPr>
      </w:pPr>
      <w:r w:rsidRPr="008A3C02">
        <w:t>Cash generated by a company after accounting for operating and capital expenses.</w:t>
      </w:r>
    </w:p>
    <w:p w14:paraId="7F6E7BD6" w14:textId="77777777" w:rsidR="008A3C02" w:rsidRPr="008A3C02" w:rsidRDefault="008A3C02" w:rsidP="008A3C02">
      <w:pPr>
        <w:numPr>
          <w:ilvl w:val="0"/>
          <w:numId w:val="14"/>
        </w:numPr>
      </w:pPr>
      <w:r w:rsidRPr="008A3C02">
        <w:t>Represents the cash available for distribution to investors.</w:t>
      </w:r>
    </w:p>
    <w:p w14:paraId="4C91CD88" w14:textId="0C8B5DDD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FCF</m:t>
          </m:r>
          <m:r>
            <w:rPr>
              <w:rFonts w:ascii="Cambria Math" w:hAnsi="Cambria Math"/>
              <w:highlight w:val="yellow"/>
            </w:rPr>
            <m:t xml:space="preserve"> = </m:t>
          </m:r>
          <m:r>
            <w:rPr>
              <w:rFonts w:ascii="Cambria Math" w:hAnsi="Cambria Math" w:cs="Cambria Math"/>
              <w:highlight w:val="yellow"/>
            </w:rPr>
            <m:t>Operating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Cash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Flow</m:t>
          </m:r>
          <m:r>
            <w:rPr>
              <w:rFonts w:ascii="Cambria Math" w:hAnsi="Cambria Math"/>
              <w:highlight w:val="yellow"/>
            </w:rPr>
            <m:t xml:space="preserve"> - </m:t>
          </m:r>
          <m:r>
            <w:rPr>
              <w:rFonts w:ascii="Cambria Math" w:hAnsi="Cambria Math" w:cs="Cambria Math"/>
              <w:highlight w:val="yellow"/>
            </w:rPr>
            <m:t>Capital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Expenditures</m:t>
          </m:r>
        </m:oMath>
      </m:oMathPara>
    </w:p>
    <w:p w14:paraId="1086BFF0" w14:textId="77777777" w:rsidR="008A3C02" w:rsidRPr="008A3C02" w:rsidRDefault="008A3C02" w:rsidP="008A3C02">
      <w:pPr>
        <w:numPr>
          <w:ilvl w:val="0"/>
          <w:numId w:val="14"/>
        </w:numPr>
      </w:pPr>
      <w:r w:rsidRPr="008A3C02">
        <w:rPr>
          <w:b/>
          <w:bCs/>
        </w:rPr>
        <w:t>Usage in Code</w:t>
      </w:r>
      <w:r w:rsidRPr="008A3C02">
        <w:t>: Forms the basis for calculating future cash flows in DCF analysis.</w:t>
      </w:r>
    </w:p>
    <w:p w14:paraId="1C7E1263" w14:textId="77777777" w:rsidR="008A3C02" w:rsidRPr="008A3C02" w:rsidRDefault="008A3C02" w:rsidP="00C6597B">
      <w:pPr>
        <w:pStyle w:val="Heading3"/>
        <w:ind w:left="357"/>
      </w:pPr>
      <w:r w:rsidRPr="008A3C02">
        <w:t>2. Free Cash Flow Growth Rate</w:t>
      </w:r>
    </w:p>
    <w:p w14:paraId="2B941C49" w14:textId="77777777" w:rsidR="008A3C02" w:rsidRPr="008A3C02" w:rsidRDefault="008A3C02" w:rsidP="008A3C02">
      <w:pPr>
        <w:numPr>
          <w:ilvl w:val="0"/>
          <w:numId w:val="15"/>
        </w:numPr>
      </w:pPr>
      <w:r w:rsidRPr="008A3C02">
        <w:t>Rate at which FCF is expected to grow annually.</w:t>
      </w:r>
    </w:p>
    <w:p w14:paraId="6C0DD876" w14:textId="77777777" w:rsidR="008A3C02" w:rsidRPr="008A3C02" w:rsidRDefault="008A3C02" w:rsidP="008A3C02">
      <w:pPr>
        <w:numPr>
          <w:ilvl w:val="0"/>
          <w:numId w:val="15"/>
        </w:numPr>
      </w:pPr>
      <w:r w:rsidRPr="008A3C02">
        <w:t>Calculated using historical FCF values.</w:t>
      </w:r>
    </w:p>
    <w:p w14:paraId="6A360CB1" w14:textId="4534AE1A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FCF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Growth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Rate</m:t>
          </m:r>
          <m:r>
            <w:rPr>
              <w:rFonts w:ascii="Cambria Math" w:hAnsi="Cambria Math"/>
              <w:highlight w:val="yellow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FCF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at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End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of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Period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FCF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at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Start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of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Period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Number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of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Years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highlight w:val="yellow"/>
            </w:rPr>
            <m:t>- 1</m:t>
          </m:r>
        </m:oMath>
      </m:oMathPara>
    </w:p>
    <w:p w14:paraId="3691DCCF" w14:textId="77777777" w:rsidR="008A3C02" w:rsidRPr="008A3C02" w:rsidRDefault="008A3C02" w:rsidP="008A3C02">
      <w:pPr>
        <w:numPr>
          <w:ilvl w:val="0"/>
          <w:numId w:val="15"/>
        </w:numPr>
      </w:pPr>
      <w:r w:rsidRPr="008A3C02">
        <w:rPr>
          <w:b/>
          <w:bCs/>
        </w:rPr>
        <w:t>Usage in Code</w:t>
      </w:r>
      <w:r w:rsidRPr="008A3C02">
        <w:t>: Used in DCF analysis to project future cash flows.</w:t>
      </w:r>
    </w:p>
    <w:p w14:paraId="14D0CA5E" w14:textId="77777777" w:rsidR="008A3C02" w:rsidRPr="008A3C02" w:rsidRDefault="008A3C02" w:rsidP="00C6597B">
      <w:pPr>
        <w:pStyle w:val="Heading3"/>
        <w:ind w:left="357"/>
      </w:pPr>
      <w:r w:rsidRPr="008A3C02">
        <w:t>3. Cost of Equity (CAPM Model)</w:t>
      </w:r>
    </w:p>
    <w:p w14:paraId="28F03178" w14:textId="77777777" w:rsidR="008A3C02" w:rsidRPr="008A3C02" w:rsidRDefault="008A3C02" w:rsidP="008A3C02">
      <w:pPr>
        <w:numPr>
          <w:ilvl w:val="0"/>
          <w:numId w:val="16"/>
        </w:numPr>
      </w:pPr>
      <w:r w:rsidRPr="008A3C02">
        <w:t>Rate of return required by shareholders, accounting for risk.</w:t>
      </w:r>
    </w:p>
    <w:p w14:paraId="21A6A0B6" w14:textId="77777777" w:rsidR="008A3C02" w:rsidRPr="008A3C02" w:rsidRDefault="008A3C02" w:rsidP="008A3C02">
      <w:pPr>
        <w:numPr>
          <w:ilvl w:val="0"/>
          <w:numId w:val="16"/>
        </w:numPr>
      </w:pPr>
      <w:r w:rsidRPr="008A3C02">
        <w:t>Calculated using the Capital Asset Pricing Model (CAPM).</w:t>
      </w:r>
    </w:p>
    <w:p w14:paraId="107030F9" w14:textId="59CA75A8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Cost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of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Equity</m:t>
          </m:r>
          <m:r>
            <w:rPr>
              <w:rFonts w:ascii="Cambria Math" w:hAnsi="Cambria Math"/>
              <w:highlight w:val="yellow"/>
            </w:rPr>
            <m:t xml:space="preserve"> = </m:t>
          </m:r>
          <m:sSub>
            <m:sSubPr>
              <m:ctrlPr>
                <w:rPr>
                  <w:rFonts w:ascii="Cambria Math" w:hAnsi="Cambria Math" w:cs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Cambria Math"/>
                  <w:highlight w:val="yellow"/>
                </w:rPr>
                <m:t>r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hAnsi="Cambria Math" w:cs="Cambria Math"/>
                  <w:highlight w:val="yellow"/>
                </w:rPr>
                <m:t>f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 + </m:t>
          </m:r>
          <m:r>
            <w:rPr>
              <w:rFonts w:ascii="Cambria Math" w:hAnsi="Cambria Math" w:cs="Cambria Math"/>
              <w:highlight w:val="yellow"/>
            </w:rPr>
            <m:t>β</m:t>
          </m:r>
          <m:r>
            <w:rPr>
              <w:rFonts w:ascii="Cambria Math" w:hAnsi="Cambria Math"/>
              <w:highlight w:val="yellow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highlight w:val="yellow"/>
                </w:rPr>
                <m:t>Market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Return</m:t>
              </m:r>
              <m:r>
                <w:rPr>
                  <w:rFonts w:ascii="Cambria Math" w:hAnsi="Cambria Math"/>
                  <w:highlight w:val="yellow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highlight w:val="yellow"/>
                    </w:rPr>
                    <m:t>f</m:t>
                  </m:r>
                </m:sub>
              </m:sSub>
            </m:e>
          </m:d>
        </m:oMath>
      </m:oMathPara>
    </w:p>
    <w:p w14:paraId="3B13858B" w14:textId="77777777" w:rsidR="008A3C02" w:rsidRPr="008A3C02" w:rsidRDefault="008A3C02" w:rsidP="008A3C02">
      <w:pPr>
        <w:numPr>
          <w:ilvl w:val="0"/>
          <w:numId w:val="16"/>
        </w:numPr>
      </w:pPr>
      <w:r w:rsidRPr="008A3C02">
        <w:rPr>
          <w:b/>
          <w:bCs/>
        </w:rPr>
        <w:t>Usage in Code</w:t>
      </w:r>
      <w:r w:rsidRPr="008A3C02">
        <w:t>: Part of WACC calculation, helps estimate the discount rate.</w:t>
      </w:r>
    </w:p>
    <w:p w14:paraId="76F6EB1A" w14:textId="77777777" w:rsidR="008A3C02" w:rsidRPr="008A3C02" w:rsidRDefault="008A3C02" w:rsidP="00C6597B">
      <w:pPr>
        <w:pStyle w:val="Heading3"/>
        <w:ind w:left="357"/>
      </w:pPr>
      <w:r w:rsidRPr="008A3C02">
        <w:t>4. Cost of Debt</w:t>
      </w:r>
    </w:p>
    <w:p w14:paraId="79A63AD4" w14:textId="77777777" w:rsidR="008A3C02" w:rsidRPr="008A3C02" w:rsidRDefault="008A3C02" w:rsidP="008A3C02">
      <w:pPr>
        <w:numPr>
          <w:ilvl w:val="0"/>
          <w:numId w:val="17"/>
        </w:numPr>
      </w:pPr>
      <w:r w:rsidRPr="008A3C02">
        <w:t>Represents the effective rate that a company pays on its borrowed funds.</w:t>
      </w:r>
    </w:p>
    <w:p w14:paraId="792BD6EA" w14:textId="77777777" w:rsidR="008A3C02" w:rsidRPr="008A3C02" w:rsidRDefault="008A3C02" w:rsidP="008A3C02">
      <w:pPr>
        <w:numPr>
          <w:ilvl w:val="0"/>
          <w:numId w:val="17"/>
        </w:numPr>
      </w:pPr>
      <w:r w:rsidRPr="008A3C02">
        <w:t>Calculated using the interest expense and the total debt from financial statements.</w:t>
      </w:r>
    </w:p>
    <w:p w14:paraId="21E0D19C" w14:textId="1A3149C6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Cost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of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Debt</m:t>
          </m:r>
          <m:r>
            <w:rPr>
              <w:rFonts w:ascii="Cambria Math" w:hAnsi="Cambria Math"/>
              <w:highlight w:val="yellow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Cambria Math"/>
                  <w:highlight w:val="yellow"/>
                </w:rPr>
                <m:t>Interest</m:t>
              </m:r>
              <m:r>
                <w:rPr>
                  <w:rFonts w:ascii="Cambria Math" w:hAnsi="Cambria Math" w:cs="Cambria Math"/>
                  <w:highlight w:val="yellow"/>
                </w:rPr>
                <m:t xml:space="preserve"> Expense</m:t>
              </m:r>
            </m:num>
            <m:den>
              <m:r>
                <w:rPr>
                  <w:rFonts w:ascii="Cambria Math" w:hAnsi="Cambria Math" w:cs="Cambria Math"/>
                  <w:highlight w:val="yellow"/>
                </w:rPr>
                <m:t xml:space="preserve">Total </m:t>
              </m:r>
              <m:r>
                <w:rPr>
                  <w:rFonts w:ascii="Cambria Math" w:hAnsi="Cambria Math" w:cs="Cambria Math"/>
                  <w:highlight w:val="yellow"/>
                </w:rPr>
                <m:t>Debt</m:t>
              </m:r>
            </m:den>
          </m:f>
        </m:oMath>
      </m:oMathPara>
    </w:p>
    <w:p w14:paraId="48D6183A" w14:textId="77777777" w:rsidR="008A3C02" w:rsidRPr="008A3C02" w:rsidRDefault="008A3C02" w:rsidP="008A3C02">
      <w:pPr>
        <w:numPr>
          <w:ilvl w:val="0"/>
          <w:numId w:val="17"/>
        </w:numPr>
      </w:pPr>
      <w:r w:rsidRPr="008A3C02">
        <w:rPr>
          <w:b/>
          <w:bCs/>
        </w:rPr>
        <w:lastRenderedPageBreak/>
        <w:t>Usage in Code</w:t>
      </w:r>
      <w:r w:rsidRPr="008A3C02">
        <w:t>: Part of WACC calculation, helps determine the overall cost of capital.</w:t>
      </w:r>
    </w:p>
    <w:p w14:paraId="586C38A5" w14:textId="77777777" w:rsidR="008A3C02" w:rsidRPr="008A3C02" w:rsidRDefault="008A3C02" w:rsidP="00C6597B">
      <w:pPr>
        <w:pStyle w:val="Heading3"/>
        <w:ind w:left="357"/>
      </w:pPr>
      <w:r w:rsidRPr="008A3C02">
        <w:t>5. Weighted Average Cost of Capital (WACC)</w:t>
      </w:r>
    </w:p>
    <w:p w14:paraId="4AC5E809" w14:textId="77777777" w:rsidR="008A3C02" w:rsidRPr="008A3C02" w:rsidRDefault="008A3C02" w:rsidP="008A3C02">
      <w:pPr>
        <w:numPr>
          <w:ilvl w:val="0"/>
          <w:numId w:val="18"/>
        </w:numPr>
      </w:pPr>
      <w:r w:rsidRPr="008A3C02">
        <w:t>Average rate that a company is expected to pay to all its security holders to finance assets.</w:t>
      </w:r>
    </w:p>
    <w:p w14:paraId="25636FCC" w14:textId="77777777" w:rsidR="008A3C02" w:rsidRPr="008A3C02" w:rsidRDefault="008A3C02" w:rsidP="008A3C02">
      <w:pPr>
        <w:numPr>
          <w:ilvl w:val="0"/>
          <w:numId w:val="18"/>
        </w:numPr>
      </w:pPr>
      <w:r w:rsidRPr="008A3C02">
        <w:t>Combines cost of equity and cost of debt, adjusted for tax benefits.</w:t>
      </w:r>
    </w:p>
    <w:p w14:paraId="72C4A65F" w14:textId="3678352C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WACC</m:t>
          </m:r>
          <m:r>
            <w:rPr>
              <w:rFonts w:ascii="Cambria Math" w:hAnsi="Cambria Math"/>
              <w:highlight w:val="yellow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highlight w:val="yellow"/>
                </w:rPr>
                <m:t>E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/>
                <m:den/>
              </m:f>
              <m:r>
                <w:rPr>
                  <w:rFonts w:ascii="Cambria Math" w:hAnsi="Cambria Math" w:cs="Cambria Math"/>
                  <w:highlight w:val="yellow"/>
                </w:rPr>
                <m:t>V</m:t>
              </m:r>
            </m:e>
          </m:d>
          <m:r>
            <w:rPr>
              <w:rFonts w:ascii="Cambria Math" w:hAnsi="Cambria Math"/>
              <w:highlight w:val="yellow"/>
            </w:rPr>
            <m:t xml:space="preserve">× </m:t>
          </m:r>
          <m:r>
            <w:rPr>
              <w:rFonts w:ascii="Cambria Math" w:hAnsi="Cambria Math" w:cs="Cambria Math"/>
              <w:highlight w:val="yellow"/>
            </w:rPr>
            <m:t>Rₑ</m:t>
          </m:r>
          <m:r>
            <w:rPr>
              <w:rFonts w:ascii="Cambria Math" w:hAnsi="Cambria Math"/>
              <w:highlight w:val="yellow"/>
            </w:rPr>
            <m:t xml:space="preserve"> 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highlight w:val="yellow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/>
                <m:den/>
              </m:f>
              <m:r>
                <w:rPr>
                  <w:rFonts w:ascii="Cambria Math" w:hAnsi="Cambria Math" w:cs="Cambria Math"/>
                  <w:highlight w:val="yellow"/>
                </w:rPr>
                <m:t>V</m:t>
              </m:r>
            </m:e>
          </m:d>
          <m:r>
            <w:rPr>
              <w:rFonts w:ascii="Cambria Math" w:hAnsi="Cambria Math"/>
              <w:highlight w:val="yellow"/>
            </w:rPr>
            <m:t xml:space="preserve">× </m:t>
          </m:r>
          <m:r>
            <w:rPr>
              <w:rFonts w:ascii="Cambria Math" w:hAnsi="Cambria Math" w:cs="Cambria Math"/>
              <w:highlight w:val="yellow"/>
            </w:rPr>
            <m:t>R</m:t>
          </m:r>
          <m:r>
            <m:rPr>
              <m:scr m:val="script"/>
            </m:rPr>
            <w:rPr>
              <w:rFonts w:ascii="Cambria Math" w:hAnsi="Cambria Math" w:cs="Cambria Math"/>
              <w:highlight w:val="yellow"/>
            </w:rPr>
            <m:t>d</m:t>
          </m:r>
          <m:r>
            <w:rPr>
              <w:rFonts w:ascii="Cambria Math" w:hAnsi="Cambria Math"/>
              <w:highlight w:val="yellow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 xml:space="preserve">1 - </m:t>
              </m:r>
              <m:r>
                <w:rPr>
                  <w:rFonts w:ascii="Cambria Math" w:hAnsi="Cambria Math" w:cs="Cambria Math"/>
                  <w:highlight w:val="yellow"/>
                </w:rPr>
                <m:t>Tax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Rate</m:t>
              </m:r>
            </m:e>
          </m:d>
        </m:oMath>
      </m:oMathPara>
    </w:p>
    <w:p w14:paraId="7D2F6C5D" w14:textId="77777777" w:rsidR="008A3C02" w:rsidRPr="008A3C02" w:rsidRDefault="008A3C02" w:rsidP="008A3C02">
      <w:pPr>
        <w:numPr>
          <w:ilvl w:val="0"/>
          <w:numId w:val="18"/>
        </w:numPr>
      </w:pPr>
      <w:r w:rsidRPr="008A3C02">
        <w:rPr>
          <w:b/>
          <w:bCs/>
        </w:rPr>
        <w:t>Usage in Code</w:t>
      </w:r>
      <w:r w:rsidRPr="008A3C02">
        <w:t>: Used as the discount rate for DCF analysis.</w:t>
      </w:r>
    </w:p>
    <w:p w14:paraId="1F5D3488" w14:textId="77777777" w:rsidR="008A3C02" w:rsidRPr="008A3C02" w:rsidRDefault="008A3C02" w:rsidP="00C6597B">
      <w:pPr>
        <w:pStyle w:val="Heading3"/>
        <w:ind w:left="357"/>
      </w:pPr>
      <w:r w:rsidRPr="008A3C02">
        <w:t>6. Discount Rate (Cost of Capital)</w:t>
      </w:r>
    </w:p>
    <w:p w14:paraId="55B50BEA" w14:textId="77777777" w:rsidR="008A3C02" w:rsidRPr="008A3C02" w:rsidRDefault="008A3C02" w:rsidP="008A3C02">
      <w:pPr>
        <w:numPr>
          <w:ilvl w:val="0"/>
          <w:numId w:val="19"/>
        </w:numPr>
      </w:pPr>
      <w:r w:rsidRPr="008A3C02">
        <w:t>Represents the rate of return required for an investment, adjusted for risk.</w:t>
      </w:r>
    </w:p>
    <w:p w14:paraId="1D96E6ED" w14:textId="77777777" w:rsidR="008A3C02" w:rsidRPr="008A3C02" w:rsidRDefault="008A3C02" w:rsidP="008A3C02">
      <w:pPr>
        <w:numPr>
          <w:ilvl w:val="0"/>
          <w:numId w:val="19"/>
        </w:numPr>
      </w:pPr>
      <w:r w:rsidRPr="008A3C02">
        <w:t>In this context, it is often equivalent to WACC when used in DCF analysis.</w:t>
      </w:r>
    </w:p>
    <w:p w14:paraId="4125E08C" w14:textId="77777777" w:rsidR="008A3C02" w:rsidRPr="008A3C02" w:rsidRDefault="008A3C02" w:rsidP="008A3C02">
      <w:pPr>
        <w:numPr>
          <w:ilvl w:val="0"/>
          <w:numId w:val="19"/>
        </w:numPr>
      </w:pPr>
      <w:r w:rsidRPr="008A3C02">
        <w:rPr>
          <w:b/>
          <w:bCs/>
        </w:rPr>
        <w:t>Usage in Code</w:t>
      </w:r>
      <w:r w:rsidRPr="008A3C02">
        <w:t>: Applied in DCF analysis to discount projected future cash flows.</w:t>
      </w:r>
    </w:p>
    <w:p w14:paraId="65243B84" w14:textId="77777777" w:rsidR="008A3C02" w:rsidRPr="008A3C02" w:rsidRDefault="008A3C02" w:rsidP="00C6597B">
      <w:pPr>
        <w:pStyle w:val="Heading3"/>
        <w:ind w:left="357"/>
      </w:pPr>
      <w:r w:rsidRPr="008A3C02">
        <w:t>7. Terminal Value</w:t>
      </w:r>
    </w:p>
    <w:p w14:paraId="3A0C1CEE" w14:textId="77777777" w:rsidR="008A3C02" w:rsidRPr="008A3C02" w:rsidRDefault="008A3C02" w:rsidP="008A3C02">
      <w:pPr>
        <w:numPr>
          <w:ilvl w:val="0"/>
          <w:numId w:val="20"/>
        </w:numPr>
      </w:pPr>
      <w:r w:rsidRPr="008A3C02">
        <w:t>Estimates the value of a business beyond the forecast period of a DCF.</w:t>
      </w:r>
    </w:p>
    <w:p w14:paraId="7DBEB877" w14:textId="77777777" w:rsidR="008A3C02" w:rsidRPr="008A3C02" w:rsidRDefault="008A3C02" w:rsidP="008A3C02">
      <w:pPr>
        <w:numPr>
          <w:ilvl w:val="0"/>
          <w:numId w:val="20"/>
        </w:numPr>
      </w:pPr>
      <w:r w:rsidRPr="008A3C02">
        <w:t>Assumes stable growth indefinitely.</w:t>
      </w:r>
    </w:p>
    <w:p w14:paraId="18B79D8D" w14:textId="594BBF1D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Terminal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Value</m:t>
          </m:r>
          <m:r>
            <w:rPr>
              <w:rFonts w:ascii="Cambria Math" w:hAnsi="Cambria Math"/>
              <w:highlight w:val="yellow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Final</m:t>
                  </m:r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highlight w:val="yellow"/>
                    </w:rPr>
                    <m:t>Year</m:t>
                  </m:r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highlight w:val="yellow"/>
                    </w:rPr>
                    <m:t>FCF</m:t>
                  </m:r>
                  <m:r>
                    <w:rPr>
                      <w:rFonts w:ascii="Cambria Math" w:hAnsi="Cambria Math"/>
                      <w:highlight w:val="yellow"/>
                    </w:rPr>
                    <m:t xml:space="preserve"> 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1 +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Terminal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Growth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Rate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Discount</m:t>
                  </m:r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highlight w:val="yellow"/>
                    </w:rPr>
                    <m:t>Rate</m:t>
                  </m:r>
                  <m:r>
                    <w:rPr>
                      <w:rFonts w:ascii="Cambria Math" w:hAnsi="Cambria Math"/>
                      <w:highlight w:val="yellow"/>
                    </w:rPr>
                    <m:t xml:space="preserve"> - </m:t>
                  </m:r>
                  <m:r>
                    <w:rPr>
                      <w:rFonts w:ascii="Cambria Math" w:hAnsi="Cambria Math" w:cs="Cambria Math"/>
                      <w:highlight w:val="yellow"/>
                    </w:rPr>
                    <m:t>Terminal</m:t>
                  </m:r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highlight w:val="yellow"/>
                    </w:rPr>
                    <m:t>Growth</m:t>
                  </m:r>
                  <m:r>
                    <w:rPr>
                      <w:rFonts w:ascii="Cambria Math" w:hAnsi="Cambria Math"/>
                      <w:highlight w:val="yellow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highlight w:val="yellow"/>
                    </w:rPr>
                    <m:t>Rate</m:t>
                  </m:r>
                </m:e>
              </m:d>
            </m:den>
          </m:f>
        </m:oMath>
      </m:oMathPara>
    </w:p>
    <w:p w14:paraId="5723E87D" w14:textId="77777777" w:rsidR="008A3C02" w:rsidRPr="008A3C02" w:rsidRDefault="008A3C02" w:rsidP="008A3C02">
      <w:pPr>
        <w:numPr>
          <w:ilvl w:val="0"/>
          <w:numId w:val="20"/>
        </w:numPr>
      </w:pPr>
      <w:r w:rsidRPr="008A3C02">
        <w:rPr>
          <w:b/>
          <w:bCs/>
        </w:rPr>
        <w:t>Usage in Code</w:t>
      </w:r>
      <w:r w:rsidRPr="008A3C02">
        <w:t>: Used at the end of DCF analysis to value future cash flows after forecasted years.</w:t>
      </w:r>
    </w:p>
    <w:p w14:paraId="179ADB14" w14:textId="77777777" w:rsidR="008A3C02" w:rsidRPr="008A3C02" w:rsidRDefault="008A3C02" w:rsidP="00C6597B">
      <w:pPr>
        <w:pStyle w:val="Heading3"/>
        <w:ind w:left="357"/>
      </w:pPr>
      <w:r w:rsidRPr="008A3C02">
        <w:t>8. Total Enterprise Value (TEV)</w:t>
      </w:r>
    </w:p>
    <w:p w14:paraId="2AD355AD" w14:textId="77777777" w:rsidR="008A3C02" w:rsidRPr="008A3C02" w:rsidRDefault="008A3C02" w:rsidP="008A3C02">
      <w:pPr>
        <w:numPr>
          <w:ilvl w:val="0"/>
          <w:numId w:val="21"/>
        </w:numPr>
      </w:pPr>
      <w:r w:rsidRPr="008A3C02">
        <w:t>Valuation metric used to assess a company's overall value, including debt, preferred stock, and cash.</w:t>
      </w:r>
    </w:p>
    <w:p w14:paraId="088A854C" w14:textId="45DF98FA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TEV</m:t>
          </m:r>
          <m:r>
            <w:rPr>
              <w:rFonts w:ascii="Cambria Math" w:hAnsi="Cambria Math"/>
              <w:highlight w:val="yellow"/>
            </w:rPr>
            <m:t xml:space="preserve"> = </m:t>
          </m:r>
          <m:r>
            <w:rPr>
              <w:rFonts w:ascii="Cambria Math" w:hAnsi="Cambria Math" w:cs="Cambria Math"/>
              <w:highlight w:val="yellow"/>
            </w:rPr>
            <m:t>Market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Capitalization</m:t>
          </m:r>
          <m:r>
            <w:rPr>
              <w:rFonts w:ascii="Cambria Math" w:hAnsi="Cambria Math"/>
              <w:highlight w:val="yellow"/>
            </w:rPr>
            <m:t xml:space="preserve"> + </m:t>
          </m:r>
          <m:r>
            <w:rPr>
              <w:rFonts w:ascii="Cambria Math" w:hAnsi="Cambria Math" w:cs="Cambria Math"/>
              <w:highlight w:val="yellow"/>
            </w:rPr>
            <m:t>Total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Debt</m:t>
          </m:r>
          <m:r>
            <w:rPr>
              <w:rFonts w:ascii="Cambria Math" w:hAnsi="Cambria Math"/>
              <w:highlight w:val="yellow"/>
            </w:rPr>
            <m:t xml:space="preserve"> - </m:t>
          </m:r>
          <m:r>
            <w:rPr>
              <w:rFonts w:ascii="Cambria Math" w:hAnsi="Cambria Math" w:cs="Cambria Math"/>
              <w:highlight w:val="yellow"/>
            </w:rPr>
            <m:t>Cash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and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Cash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Equivalents</m:t>
          </m:r>
        </m:oMath>
      </m:oMathPara>
    </w:p>
    <w:p w14:paraId="452877F8" w14:textId="77777777" w:rsidR="008A3C02" w:rsidRPr="008A3C02" w:rsidRDefault="008A3C02" w:rsidP="008A3C02">
      <w:pPr>
        <w:numPr>
          <w:ilvl w:val="0"/>
          <w:numId w:val="21"/>
        </w:numPr>
      </w:pPr>
      <w:r w:rsidRPr="008A3C02">
        <w:rPr>
          <w:b/>
          <w:bCs/>
        </w:rPr>
        <w:t>Usage in Code</w:t>
      </w:r>
      <w:r w:rsidRPr="008A3C02">
        <w:t>: Used in DCF analysis to derive a company's overall economic value and potential acquisition price.</w:t>
      </w:r>
    </w:p>
    <w:p w14:paraId="3C8F4A3F" w14:textId="1027F3DF" w:rsidR="008A3C02" w:rsidRDefault="008A3C02" w:rsidP="008A3C02">
      <w:pPr>
        <w:pStyle w:val="Heading2"/>
        <w:ind w:left="357"/>
      </w:pPr>
      <w:r w:rsidRPr="008A3C02">
        <w:lastRenderedPageBreak/>
        <w:t>Comparable Company Analysis (CCA)</w:t>
      </w:r>
    </w:p>
    <w:p w14:paraId="00F0EE66" w14:textId="77777777" w:rsidR="008A3C02" w:rsidRPr="008A3C02" w:rsidRDefault="008A3C02" w:rsidP="008A3C02">
      <w:pPr>
        <w:numPr>
          <w:ilvl w:val="0"/>
          <w:numId w:val="26"/>
        </w:numPr>
      </w:pPr>
      <w:r w:rsidRPr="008A3C02">
        <w:t>Valuation approach that compares the metrics of similar companies to assess a company's relative valuation.</w:t>
      </w:r>
    </w:p>
    <w:p w14:paraId="35F68005" w14:textId="77777777" w:rsidR="008A3C02" w:rsidRPr="008A3C02" w:rsidRDefault="008A3C02" w:rsidP="008A3C02">
      <w:pPr>
        <w:numPr>
          <w:ilvl w:val="0"/>
          <w:numId w:val="26"/>
        </w:numPr>
      </w:pPr>
      <w:r w:rsidRPr="008A3C02">
        <w:t xml:space="preserve">Common metrics: </w:t>
      </w:r>
      <w:r w:rsidRPr="008A3C02">
        <w:rPr>
          <w:b/>
          <w:bCs/>
        </w:rPr>
        <w:t>P/E Ratio, P/B Ratio, EV/EBITDA</w:t>
      </w:r>
      <w:r w:rsidRPr="008A3C02">
        <w:t>.</w:t>
      </w:r>
    </w:p>
    <w:p w14:paraId="362D3FAF" w14:textId="3355356C" w:rsidR="008A3C02" w:rsidRPr="008A3C02" w:rsidRDefault="008A3C02" w:rsidP="008A3C02">
      <w:pPr>
        <w:numPr>
          <w:ilvl w:val="0"/>
          <w:numId w:val="26"/>
        </w:numPr>
      </w:pPr>
      <w:r w:rsidRPr="008A3C02">
        <w:rPr>
          <w:b/>
          <w:bCs/>
        </w:rPr>
        <w:t>Usage in Code</w:t>
      </w:r>
      <w:r w:rsidRPr="008A3C02">
        <w:t>: Provides a comparative valuation based on industry peers.</w:t>
      </w:r>
    </w:p>
    <w:p w14:paraId="602034F7" w14:textId="6F93C1E5" w:rsidR="008A3C02" w:rsidRPr="008A3C02" w:rsidRDefault="008A3C02" w:rsidP="008A3C02">
      <w:pPr>
        <w:pStyle w:val="Heading3"/>
        <w:ind w:left="357"/>
      </w:pPr>
      <w:r w:rsidRPr="008A3C02">
        <w:t>1. (P/E Ratio)</w:t>
      </w:r>
      <w:r>
        <w:t xml:space="preserve"> </w:t>
      </w:r>
      <w:r w:rsidRPr="008A3C02">
        <w:t xml:space="preserve">Price-to-Earnings Ratio </w:t>
      </w:r>
    </w:p>
    <w:p w14:paraId="4E9CDF04" w14:textId="77777777" w:rsidR="008A3C02" w:rsidRPr="008A3C02" w:rsidRDefault="008A3C02" w:rsidP="008A3C02">
      <w:pPr>
        <w:numPr>
          <w:ilvl w:val="0"/>
          <w:numId w:val="22"/>
        </w:numPr>
      </w:pPr>
      <w:r w:rsidRPr="008A3C02">
        <w:t>Measures how much investors are willing to pay per dollar of earnings.</w:t>
      </w:r>
    </w:p>
    <w:p w14:paraId="73247CE2" w14:textId="77777777" w:rsidR="008A3C02" w:rsidRPr="008A3C02" w:rsidRDefault="008A3C02" w:rsidP="008A3C02">
      <w:pPr>
        <w:numPr>
          <w:ilvl w:val="0"/>
          <w:numId w:val="22"/>
        </w:numPr>
      </w:pPr>
      <w:r w:rsidRPr="008A3C02">
        <w:t>Used to assess a company's relative value compared to its earnings.</w:t>
      </w:r>
    </w:p>
    <w:p w14:paraId="59D7E189" w14:textId="3AD24319" w:rsidR="008A3C02" w:rsidRPr="008A3C02" w:rsidRDefault="008A3C02" w:rsidP="008A3C02">
      <w:pPr>
        <w:ind w:left="72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  <w:highlight w:val="yellow"/>
                </w:rPr>
                <m:t>P</m:t>
              </m:r>
              <m:ctrlPr>
                <w:rPr>
                  <w:rFonts w:ascii="Cambria Math" w:hAnsi="Cambria Math" w:cs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hAnsi="Cambria Math" w:cs="Cambria Math"/>
                  <w:highlight w:val="yellow"/>
                </w:rPr>
                <m:t>E</m:t>
              </m:r>
            </m:den>
          </m:f>
          <m:r>
            <w:rPr>
              <w:rFonts w:ascii="Cambria Math" w:hAnsi="Cambria Math" w:cs="Cambria Math"/>
              <w:highlight w:val="yellow"/>
            </w:rPr>
            <m:t>Ratio</m:t>
          </m:r>
          <m:r>
            <w:rPr>
              <w:rFonts w:ascii="Cambria Math" w:hAnsi="Cambria Math"/>
              <w:highlight w:val="yellow"/>
            </w:rPr>
            <m:t xml:space="preserve"> = </m:t>
          </m:r>
          <m:r>
            <w:rPr>
              <w:rFonts w:ascii="Cambria Math" w:hAnsi="Cambria Math" w:cs="Cambria Math"/>
              <w:highlight w:val="yellow"/>
            </w:rPr>
            <m:t>Market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Price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per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Share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/>
          </m:f>
          <m:r>
            <w:rPr>
              <w:rFonts w:ascii="Cambria Math" w:hAnsi="Cambria Math" w:cs="Cambria Math"/>
              <w:highlight w:val="yellow"/>
            </w:rPr>
            <m:t>Earnings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per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Share</m:t>
          </m:r>
        </m:oMath>
      </m:oMathPara>
    </w:p>
    <w:p w14:paraId="49F43323" w14:textId="77777777" w:rsidR="008A3C02" w:rsidRPr="008A3C02" w:rsidRDefault="008A3C02" w:rsidP="008A3C02">
      <w:pPr>
        <w:numPr>
          <w:ilvl w:val="0"/>
          <w:numId w:val="22"/>
        </w:numPr>
      </w:pPr>
      <w:r w:rsidRPr="008A3C02">
        <w:rPr>
          <w:b/>
          <w:bCs/>
        </w:rPr>
        <w:t>Usage in Code</w:t>
      </w:r>
      <w:r w:rsidRPr="008A3C02">
        <w:t>: Used in Comparable Company Analysis (CCA) to evaluate relative valuation versus industry peers.</w:t>
      </w:r>
    </w:p>
    <w:p w14:paraId="385AB4E9" w14:textId="4892E527" w:rsidR="008A3C02" w:rsidRPr="008A3C02" w:rsidRDefault="008A3C02" w:rsidP="008A3C02">
      <w:pPr>
        <w:pStyle w:val="Heading3"/>
        <w:ind w:left="357"/>
      </w:pPr>
      <w:r w:rsidRPr="008A3C02">
        <w:t>2. (P/B Ratio)</w:t>
      </w:r>
      <w:r>
        <w:t xml:space="preserve"> </w:t>
      </w:r>
      <w:r w:rsidRPr="008A3C02">
        <w:t xml:space="preserve">Price-to-Book Ratio </w:t>
      </w:r>
    </w:p>
    <w:p w14:paraId="0ADB1767" w14:textId="77777777" w:rsidR="008A3C02" w:rsidRPr="008A3C02" w:rsidRDefault="008A3C02" w:rsidP="008A3C02">
      <w:pPr>
        <w:numPr>
          <w:ilvl w:val="0"/>
          <w:numId w:val="23"/>
        </w:numPr>
      </w:pPr>
      <w:r w:rsidRPr="008A3C02">
        <w:t>Compares a company's market value to its book value, indicating how much investors are willing to pay for net assets.</w:t>
      </w:r>
    </w:p>
    <w:p w14:paraId="121D8C35" w14:textId="77777777" w:rsidR="008A3C02" w:rsidRPr="008A3C02" w:rsidRDefault="008A3C02" w:rsidP="008A3C02">
      <w:pPr>
        <w:numPr>
          <w:ilvl w:val="0"/>
          <w:numId w:val="23"/>
        </w:numPr>
      </w:pPr>
      <w:r w:rsidRPr="008A3C02">
        <w:t>A lower P/B ratio may indicate that a stock is undervalued.</w:t>
      </w:r>
    </w:p>
    <w:p w14:paraId="1298932A" w14:textId="778DCD80" w:rsidR="008A3C02" w:rsidRPr="008A3C02" w:rsidRDefault="008A3C02" w:rsidP="008A3C02">
      <w:pPr>
        <w:ind w:left="72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P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num>
            <m:den>
              <m:r>
                <w:rPr>
                  <w:rFonts w:ascii="Cambria Math" w:hAnsi="Cambria Math"/>
                  <w:highlight w:val="yellow"/>
                </w:rPr>
                <m:t>B</m:t>
              </m:r>
            </m:den>
          </m:f>
          <m:r>
            <w:rPr>
              <w:rFonts w:ascii="Cambria Math" w:hAnsi="Cambria Math"/>
              <w:highlight w:val="yellow"/>
            </w:rPr>
            <m:t>R</m:t>
          </m:r>
          <m:r>
            <w:rPr>
              <w:rFonts w:ascii="Cambria Math" w:hAnsi="Cambria Math" w:cs="Cambria Math"/>
              <w:highlight w:val="yellow"/>
            </w:rPr>
            <m:t>atio</m:t>
          </m:r>
          <m:r>
            <w:rPr>
              <w:rFonts w:ascii="Cambria Math" w:hAnsi="Cambria Math"/>
              <w:highlight w:val="yellow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Cambria Math"/>
                  <w:highlight w:val="yellow"/>
                </w:rPr>
                <m:t>Market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Price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per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Share</m:t>
              </m:r>
            </m:num>
            <m:den>
              <m:r>
                <w:rPr>
                  <w:rFonts w:ascii="Cambria Math" w:hAnsi="Cambria Math" w:cs="Cambria Math"/>
                  <w:highlight w:val="yellow"/>
                </w:rPr>
                <m:t>B</m:t>
              </m:r>
              <m:r>
                <w:rPr>
                  <w:rFonts w:ascii="Cambria Math" w:hAnsi="Cambria Math" w:cs="Cambria Math"/>
                  <w:highlight w:val="yellow"/>
                </w:rPr>
                <m:t>ook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Value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per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Share</m:t>
              </m:r>
            </m:den>
          </m:f>
        </m:oMath>
      </m:oMathPara>
    </w:p>
    <w:p w14:paraId="025277CC" w14:textId="77777777" w:rsidR="008A3C02" w:rsidRPr="008A3C02" w:rsidRDefault="008A3C02" w:rsidP="008A3C02">
      <w:pPr>
        <w:numPr>
          <w:ilvl w:val="0"/>
          <w:numId w:val="23"/>
        </w:numPr>
      </w:pPr>
      <w:r w:rsidRPr="008A3C02">
        <w:rPr>
          <w:b/>
          <w:bCs/>
        </w:rPr>
        <w:t>Usage in Code</w:t>
      </w:r>
      <w:r w:rsidRPr="008A3C02">
        <w:t>: Used in CCA to determine valuation compared to a company’s assets.</w:t>
      </w:r>
    </w:p>
    <w:p w14:paraId="30CA6FCD" w14:textId="607A44A2" w:rsidR="008A3C02" w:rsidRPr="008A3C02" w:rsidRDefault="008A3C02" w:rsidP="008A3C02">
      <w:pPr>
        <w:pStyle w:val="Heading3"/>
        <w:ind w:left="357"/>
      </w:pPr>
      <w:r w:rsidRPr="008A3C02">
        <w:t>3. (EBITDA)</w:t>
      </w:r>
      <w:r>
        <w:t xml:space="preserve"> </w:t>
      </w:r>
      <w:r w:rsidRPr="008A3C02">
        <w:t xml:space="preserve">Earnings Before Interest, Taxes, Depreciation, and Amortization </w:t>
      </w:r>
    </w:p>
    <w:p w14:paraId="612FE922" w14:textId="77777777" w:rsidR="008A3C02" w:rsidRPr="008A3C02" w:rsidRDefault="008A3C02" w:rsidP="008A3C02">
      <w:pPr>
        <w:numPr>
          <w:ilvl w:val="0"/>
          <w:numId w:val="24"/>
        </w:numPr>
      </w:pPr>
      <w:r w:rsidRPr="008A3C02">
        <w:t>Measures profitability excluding financing, accounting, and tax effects.</w:t>
      </w:r>
    </w:p>
    <w:p w14:paraId="060FB025" w14:textId="77777777" w:rsidR="008A3C02" w:rsidRPr="008A3C02" w:rsidRDefault="008A3C02" w:rsidP="008A3C02">
      <w:pPr>
        <w:numPr>
          <w:ilvl w:val="0"/>
          <w:numId w:val="24"/>
        </w:numPr>
      </w:pPr>
      <w:r w:rsidRPr="008A3C02">
        <w:t>Useful for assessing operational performance.</w:t>
      </w:r>
    </w:p>
    <w:p w14:paraId="22E53969" w14:textId="77777777" w:rsidR="008A3C02" w:rsidRPr="008A3C02" w:rsidRDefault="008A3C02" w:rsidP="008A3C02">
      <w:pPr>
        <w:numPr>
          <w:ilvl w:val="0"/>
          <w:numId w:val="24"/>
        </w:numPr>
      </w:pPr>
      <w:r w:rsidRPr="008A3C02">
        <w:rPr>
          <w:b/>
          <w:bCs/>
        </w:rPr>
        <w:t>Usage in Code</w:t>
      </w:r>
      <w:r w:rsidRPr="008A3C02">
        <w:t>: Used in CCA to calculate EV/EBITDA for comparative valuation.</w:t>
      </w:r>
    </w:p>
    <w:p w14:paraId="4ED82CF0" w14:textId="77777777" w:rsidR="008A3C02" w:rsidRPr="008A3C02" w:rsidRDefault="008A3C02" w:rsidP="008A3C02">
      <w:pPr>
        <w:pStyle w:val="Heading3"/>
        <w:ind w:left="357"/>
      </w:pPr>
      <w:r w:rsidRPr="008A3C02">
        <w:lastRenderedPageBreak/>
        <w:t>4. Dividend Yield</w:t>
      </w:r>
    </w:p>
    <w:p w14:paraId="5640CB14" w14:textId="77777777" w:rsidR="008A3C02" w:rsidRPr="008A3C02" w:rsidRDefault="008A3C02" w:rsidP="008A3C02">
      <w:pPr>
        <w:numPr>
          <w:ilvl w:val="0"/>
          <w:numId w:val="25"/>
        </w:numPr>
      </w:pPr>
      <w:r w:rsidRPr="008A3C02">
        <w:t>Measures how much a company pays out in dividends each year relative to its share price.</w:t>
      </w:r>
    </w:p>
    <w:p w14:paraId="0EBB9A95" w14:textId="77777777" w:rsidR="008A3C02" w:rsidRPr="008A3C02" w:rsidRDefault="008A3C02" w:rsidP="008A3C02">
      <w:pPr>
        <w:numPr>
          <w:ilvl w:val="0"/>
          <w:numId w:val="25"/>
        </w:numPr>
      </w:pPr>
      <w:r w:rsidRPr="008A3C02">
        <w:t>Indicates income-generating potential of the stock.</w:t>
      </w:r>
    </w:p>
    <w:p w14:paraId="4E25F136" w14:textId="17EA3210" w:rsidR="008A3C02" w:rsidRPr="008A3C02" w:rsidRDefault="008A3C02" w:rsidP="008A3C02">
      <w:pPr>
        <w:ind w:left="720" w:firstLine="0"/>
      </w:pPr>
      <m:oMathPara>
        <m:oMath>
          <m:r>
            <w:rPr>
              <w:rFonts w:ascii="Cambria Math" w:hAnsi="Cambria Math" w:cs="Cambria Math"/>
              <w:highlight w:val="yellow"/>
            </w:rPr>
            <m:t>Dividend</m:t>
          </m:r>
          <m:r>
            <w:rPr>
              <w:rFonts w:ascii="Cambria Math" w:hAnsi="Cambria Math"/>
              <w:highlight w:val="yellow"/>
            </w:rPr>
            <m:t xml:space="preserve"> </m:t>
          </m:r>
          <m:r>
            <w:rPr>
              <w:rFonts w:ascii="Cambria Math" w:hAnsi="Cambria Math" w:cs="Cambria Math"/>
              <w:highlight w:val="yellow"/>
            </w:rPr>
            <m:t>Yield</m:t>
          </m:r>
          <m:r>
            <w:rPr>
              <w:rFonts w:ascii="Cambria Math" w:hAnsi="Cambria Math"/>
              <w:highlight w:val="yellow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Cambria Math"/>
                  <w:highlight w:val="yellow"/>
                </w:rPr>
                <m:t>A</m:t>
              </m:r>
              <m:r>
                <w:rPr>
                  <w:rFonts w:ascii="Cambria Math" w:hAnsi="Cambria Math" w:cs="Cambria Math"/>
                  <w:highlight w:val="yellow"/>
                </w:rPr>
                <m:t>nnual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Dividend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per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Share</m:t>
              </m:r>
            </m:num>
            <m:den>
              <m:r>
                <w:rPr>
                  <w:rFonts w:ascii="Cambria Math" w:hAnsi="Cambria Math" w:cs="Cambria Math"/>
                  <w:highlight w:val="yellow"/>
                </w:rPr>
                <m:t>Market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Price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per</m:t>
              </m:r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 w:cs="Cambria Math"/>
                  <w:highlight w:val="yellow"/>
                </w:rPr>
                <m:t>Share</m:t>
              </m:r>
            </m:den>
          </m:f>
        </m:oMath>
      </m:oMathPara>
    </w:p>
    <w:p w14:paraId="3DC3A2D2" w14:textId="22C8B356" w:rsidR="008A3C02" w:rsidRPr="008A3C02" w:rsidRDefault="008A3C02" w:rsidP="008A3C02">
      <w:pPr>
        <w:numPr>
          <w:ilvl w:val="0"/>
          <w:numId w:val="25"/>
        </w:numPr>
      </w:pPr>
      <w:r w:rsidRPr="008A3C02">
        <w:rPr>
          <w:b/>
          <w:bCs/>
        </w:rPr>
        <w:t>Usage in Code</w:t>
      </w:r>
      <w:r w:rsidRPr="008A3C02">
        <w:t>: Used in CCA to assess income potential.</w:t>
      </w:r>
    </w:p>
    <w:p w14:paraId="38E703C0" w14:textId="77777777" w:rsidR="008A3C02" w:rsidRDefault="008A3C02" w:rsidP="008A3C02"/>
    <w:sectPr w:rsidR="008A3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5D9A"/>
    <w:multiLevelType w:val="multilevel"/>
    <w:tmpl w:val="2A6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281F"/>
    <w:multiLevelType w:val="multilevel"/>
    <w:tmpl w:val="D274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37BF8"/>
    <w:multiLevelType w:val="multilevel"/>
    <w:tmpl w:val="34F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E1341"/>
    <w:multiLevelType w:val="multilevel"/>
    <w:tmpl w:val="C9F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049D9"/>
    <w:multiLevelType w:val="multilevel"/>
    <w:tmpl w:val="C13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C32BA"/>
    <w:multiLevelType w:val="multilevel"/>
    <w:tmpl w:val="AF9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D3FE0"/>
    <w:multiLevelType w:val="multilevel"/>
    <w:tmpl w:val="6F7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E2C20"/>
    <w:multiLevelType w:val="multilevel"/>
    <w:tmpl w:val="15A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05D75"/>
    <w:multiLevelType w:val="multilevel"/>
    <w:tmpl w:val="535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51789"/>
    <w:multiLevelType w:val="multilevel"/>
    <w:tmpl w:val="50C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275DF"/>
    <w:multiLevelType w:val="multilevel"/>
    <w:tmpl w:val="562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74A9B"/>
    <w:multiLevelType w:val="multilevel"/>
    <w:tmpl w:val="9F9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67F78"/>
    <w:multiLevelType w:val="multilevel"/>
    <w:tmpl w:val="C10C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C7F68"/>
    <w:multiLevelType w:val="multilevel"/>
    <w:tmpl w:val="3FFA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E327F"/>
    <w:multiLevelType w:val="multilevel"/>
    <w:tmpl w:val="D72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A676A"/>
    <w:multiLevelType w:val="multilevel"/>
    <w:tmpl w:val="3C3E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24B16"/>
    <w:multiLevelType w:val="multilevel"/>
    <w:tmpl w:val="C59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10067"/>
    <w:multiLevelType w:val="multilevel"/>
    <w:tmpl w:val="522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63B7F"/>
    <w:multiLevelType w:val="multilevel"/>
    <w:tmpl w:val="4D90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264D5"/>
    <w:multiLevelType w:val="multilevel"/>
    <w:tmpl w:val="189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860CE"/>
    <w:multiLevelType w:val="multilevel"/>
    <w:tmpl w:val="FA6E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F62B0"/>
    <w:multiLevelType w:val="multilevel"/>
    <w:tmpl w:val="A638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C4C6A"/>
    <w:multiLevelType w:val="multilevel"/>
    <w:tmpl w:val="732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E43A6"/>
    <w:multiLevelType w:val="multilevel"/>
    <w:tmpl w:val="DD9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B0595"/>
    <w:multiLevelType w:val="multilevel"/>
    <w:tmpl w:val="B99A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B5697"/>
    <w:multiLevelType w:val="multilevel"/>
    <w:tmpl w:val="5326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84973">
    <w:abstractNumId w:val="11"/>
  </w:num>
  <w:num w:numId="2" w16cid:durableId="891429847">
    <w:abstractNumId w:val="6"/>
  </w:num>
  <w:num w:numId="3" w16cid:durableId="1669365548">
    <w:abstractNumId w:val="7"/>
  </w:num>
  <w:num w:numId="4" w16cid:durableId="856114571">
    <w:abstractNumId w:val="1"/>
  </w:num>
  <w:num w:numId="5" w16cid:durableId="1703555757">
    <w:abstractNumId w:val="13"/>
  </w:num>
  <w:num w:numId="6" w16cid:durableId="259218819">
    <w:abstractNumId w:val="19"/>
  </w:num>
  <w:num w:numId="7" w16cid:durableId="1110319983">
    <w:abstractNumId w:val="16"/>
  </w:num>
  <w:num w:numId="8" w16cid:durableId="328675875">
    <w:abstractNumId w:val="3"/>
  </w:num>
  <w:num w:numId="9" w16cid:durableId="1291084868">
    <w:abstractNumId w:val="9"/>
  </w:num>
  <w:num w:numId="10" w16cid:durableId="115106830">
    <w:abstractNumId w:val="20"/>
  </w:num>
  <w:num w:numId="11" w16cid:durableId="38290851">
    <w:abstractNumId w:val="17"/>
  </w:num>
  <w:num w:numId="12" w16cid:durableId="1271670272">
    <w:abstractNumId w:val="15"/>
  </w:num>
  <w:num w:numId="13" w16cid:durableId="1658150651">
    <w:abstractNumId w:val="2"/>
  </w:num>
  <w:num w:numId="14" w16cid:durableId="577665983">
    <w:abstractNumId w:val="10"/>
  </w:num>
  <w:num w:numId="15" w16cid:durableId="528952428">
    <w:abstractNumId w:val="14"/>
  </w:num>
  <w:num w:numId="16" w16cid:durableId="68506168">
    <w:abstractNumId w:val="23"/>
  </w:num>
  <w:num w:numId="17" w16cid:durableId="1878420755">
    <w:abstractNumId w:val="25"/>
  </w:num>
  <w:num w:numId="18" w16cid:durableId="533202076">
    <w:abstractNumId w:val="18"/>
  </w:num>
  <w:num w:numId="19" w16cid:durableId="2002849998">
    <w:abstractNumId w:val="24"/>
  </w:num>
  <w:num w:numId="20" w16cid:durableId="947349731">
    <w:abstractNumId w:val="21"/>
  </w:num>
  <w:num w:numId="21" w16cid:durableId="311493037">
    <w:abstractNumId w:val="8"/>
  </w:num>
  <w:num w:numId="22" w16cid:durableId="1762531063">
    <w:abstractNumId w:val="0"/>
  </w:num>
  <w:num w:numId="23" w16cid:durableId="99764672">
    <w:abstractNumId w:val="12"/>
  </w:num>
  <w:num w:numId="24" w16cid:durableId="1934050038">
    <w:abstractNumId w:val="4"/>
  </w:num>
  <w:num w:numId="25" w16cid:durableId="316954368">
    <w:abstractNumId w:val="5"/>
  </w:num>
  <w:num w:numId="26" w16cid:durableId="4007150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97"/>
    <w:rsid w:val="000629DD"/>
    <w:rsid w:val="00533CF5"/>
    <w:rsid w:val="006E5EA6"/>
    <w:rsid w:val="00703306"/>
    <w:rsid w:val="008740F4"/>
    <w:rsid w:val="008A3C02"/>
    <w:rsid w:val="00A12848"/>
    <w:rsid w:val="00AC6997"/>
    <w:rsid w:val="00C6597B"/>
    <w:rsid w:val="00CB3D1D"/>
    <w:rsid w:val="00ED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12507"/>
  <w15:chartTrackingRefBased/>
  <w15:docId w15:val="{B35BB712-2151-AF47-85DD-FDF4189B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before="200" w:after="20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99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99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99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997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9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99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69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Love</dc:creator>
  <cp:keywords/>
  <dc:description/>
  <cp:lastModifiedBy>Spencer Love</cp:lastModifiedBy>
  <cp:revision>1</cp:revision>
  <dcterms:created xsi:type="dcterms:W3CDTF">2024-10-17T16:47:00Z</dcterms:created>
  <dcterms:modified xsi:type="dcterms:W3CDTF">2024-10-17T17:10:00Z</dcterms:modified>
</cp:coreProperties>
</file>