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z w:val="40"/>
          <w:szCs w:val="40"/>
        </w:rPr>
        <w:t xml:space="preserve">Enterprise Strategy &amp; Reference Architecture: Securing Autonomous Agents &amp; Non-Human Intelligence (NHI)</w:t>
      </w:r>
    </w:p>
    <w:p>
      <w:pPr>
        <w:spacing w:after="160"/>
      </w:pPr>
      <w:r>
        <w:rPr>
          <w:rFonts w:ascii="Calibri" w:cs="Calibri" w:eastAsia="Calibri" w:hAnsi="Calibri"/>
          <w:b/>
          <w:bCs/>
          <w:sz w:val="22"/>
          <w:szCs w:val="22"/>
        </w:rPr>
        <w:t xml:space="preserve">Document Control: </w:t>
      </w:r>
      <w:r>
        <w:rPr>
          <w:rFonts w:ascii="Calibri" w:cs="Calibri" w:eastAsia="Calibri" w:hAnsi="Calibri"/>
          <w:sz w:val="22"/>
          <w:szCs w:val="22"/>
        </w:rPr>
        <w:t xml:space="preserve">Revision 2.1 — DRAFT (Updated September 10, 2026; supersedes Revision 2.0)</w:t>
      </w:r>
    </w:p>
    <w:p>
      <w:pPr>
        <w:spacing w:after="160"/>
      </w:pPr>
      <w:r>
        <w:rPr>
          <w:rFonts w:ascii="Calibri" w:cs="Calibri" w:eastAsia="Calibri" w:hAnsi="Calibri"/>
          <w:b/>
          <w:bCs/>
          <w:sz w:val="22"/>
          <w:szCs w:val="22"/>
        </w:rPr>
        <w:t xml:space="preserve">Target Readership: </w:t>
      </w:r>
      <w:r>
        <w:rPr>
          <w:rFonts w:ascii="Calibri" w:cs="Calibri" w:eastAsia="Calibri" w:hAnsi="Calibri"/>
          <w:sz w:val="22"/>
          <w:szCs w:val="22"/>
        </w:rPr>
        <w:t xml:space="preserve">Fortune 100 CISOs, Chief AI Officers (CAIOs), Enterprise Security Architects</w:t>
      </w:r>
    </w:p>
    <w:p>
      <w:pPr>
        <w:spacing w:after="160"/>
      </w:pPr>
      <w:r>
        <w:rPr>
          <w:rFonts w:ascii="Calibri" w:cs="Calibri" w:eastAsia="Calibri" w:hAnsi="Calibri"/>
          <w:b/>
          <w:bCs/>
          <w:sz w:val="22"/>
          <w:szCs w:val="22"/>
        </w:rPr>
        <w:t xml:space="preserve">Authoritative Frameworks: </w:t>
      </w:r>
      <w:r>
        <w:rPr>
          <w:rFonts w:ascii="Calibri" w:cs="Calibri" w:eastAsia="Calibri" w:hAnsi="Calibri"/>
          <w:sz w:val="22"/>
          <w:szCs w:val="22"/>
        </w:rPr>
        <w:t xml:space="preserve">CSA MAESTRO, OWASP Top 10 for Agentic Applications (2026 Official ASI01–ASI10), MITRE ATLAS</w:t>
      </w:r>
    </w:p>
    <w:p>
      <w:pPr>
        <w:spacing w:after="160"/>
      </w:pPr>
      <w:r>
        <w:rPr>
          <w:rFonts w:ascii="Calibri" w:cs="Calibri" w:eastAsia="Calibri" w:hAnsi="Calibri"/>
          <w:b/>
          <w:bCs/>
          <w:color w:val="B45309"/>
          <w:sz w:val="22"/>
          <w:szCs w:val="22"/>
        </w:rPr>
        <w:t xml:space="preserve">Draft Status: </w:t>
      </w:r>
      <w:r>
        <w:rPr>
          <w:rFonts w:ascii="Calibri" w:cs="Calibri" w:eastAsia="Calibri" w:hAnsi="Calibri"/>
          <w:i/>
          <w:iCs/>
          <w:color w:val="B45309"/>
          <w:sz w:val="22"/>
          <w:szCs w:val="22"/>
        </w:rPr>
        <w:t xml:space="preserve">This revision was auto-drafted by the daily AI Security Intelligence Briefing routine from newly published, source-cited developments. Additions are marked inline in amber italics and summarized in the Revision Notes (Section 8) for human review before this becomes the approved version of record.</w:t>
      </w:r>
    </w:p>
    <w:p>
      <w:pPr>
        <w:pBdr>
          <w:bottom w:val="single" w:color="999999" w:sz="6" w:space="1"/>
        </w:pBdr>
        <w:spacing w:after="240" w:before="120"/>
      </w:pPr>
      <w:r>
        <w:rPr>
          <w:sz w:val="2"/>
          <w:szCs w:val="2"/>
        </w:rPr>
        <w:t xml:space="preserve"/>
      </w:r>
    </w:p>
    <w:p>
      <w:pPr>
        <w:pStyle w:val="Heading1"/>
        <w:spacing w:after="160" w:before="360"/>
      </w:pPr>
      <w:r>
        <w:rPr>
          <w:rFonts w:ascii="Calibri" w:cs="Calibri" w:eastAsia="Calibri" w:hAnsi="Calibri"/>
          <w:b/>
          <w:bCs/>
          <w:sz w:val="36"/>
          <w:szCs w:val="36"/>
        </w:rPr>
        <w:t xml:space="preserve">1. Executive Summary &amp; Core Paradigm Shift</w:t>
      </w:r>
    </w:p>
    <w:p>
      <w:pPr>
        <w:spacing w:after="160"/>
      </w:pPr>
      <w:r>
        <w:rPr>
          <w:rFonts w:ascii="Calibri" w:cs="Calibri" w:eastAsia="Calibri" w:hAnsi="Calibri"/>
          <w:sz w:val="22"/>
          <w:szCs w:val="22"/>
        </w:rPr>
        <w:t xml:space="preserve">Enterprise AI has transitioned from passive conversational interfaces to autonomous, multi-agent systems. Unlike legacy predictive or generative models, agents possess operational agency: they maintain execution state, decompose goals, invoke enterprise APIs, execute terminal commands, and communicate across network boundaries.</w:t>
      </w:r>
    </w:p>
    <w:p>
      <w:pPr>
        <w:pStyle w:val="Heading3"/>
        <w:spacing w:after="100" w:before="200"/>
      </w:pPr>
      <w:r>
        <w:rPr>
          <w:rFonts w:ascii="Calibri" w:cs="Calibri" w:eastAsia="Calibri" w:hAnsi="Calibri"/>
          <w:b/>
          <w:bCs/>
          <w:sz w:val="24"/>
          <w:szCs w:val="24"/>
        </w:rPr>
        <w:t xml:space="preserve">The Deterministic Enforcement Axiom</w:t>
      </w:r>
    </w:p>
    <w:p>
      <w:pPr>
        <w:pStyle w:val="ListParagraph"/>
        <w:numPr>
          <w:ilvl w:val="0"/>
          <w:numId w:val="2"/>
        </w:numPr>
        <w:spacing w:after="100"/>
      </w:pPr>
      <w:r>
        <w:rPr>
          <w:rFonts w:ascii="Calibri" w:cs="Calibri" w:eastAsia="Calibri" w:hAnsi="Calibri"/>
          <w:b/>
          <w:bCs/>
          <w:sz w:val="22"/>
          <w:szCs w:val="22"/>
        </w:rPr>
        <w:t xml:space="preserve">The Reality: </w:t>
      </w:r>
      <w:r>
        <w:rPr>
          <w:rFonts w:ascii="Calibri" w:cs="Calibri" w:eastAsia="Calibri" w:hAnsi="Calibri"/>
          <w:sz w:val="22"/>
          <w:szCs w:val="22"/>
        </w:rPr>
        <w:t xml:space="preserve">Large Language Models are inherently probabilistic. They cannot provide mathematical or cryptographic guarantees against jailbreaks, deceptive alignment, task drift, or goal-seeking reward bypasses.</w:t>
      </w:r>
    </w:p>
    <w:p>
      <w:pPr>
        <w:pStyle w:val="ListParagraph"/>
        <w:numPr>
          <w:ilvl w:val="0"/>
          <w:numId w:val="2"/>
        </w:numPr>
        <w:spacing w:after="100"/>
      </w:pPr>
      <w:r>
        <w:rPr>
          <w:rFonts w:ascii="Calibri" w:cs="Calibri" w:eastAsia="Calibri" w:hAnsi="Calibri"/>
          <w:b/>
          <w:bCs/>
          <w:sz w:val="22"/>
          <w:szCs w:val="22"/>
        </w:rPr>
        <w:t xml:space="preserve">The Governance Mandate: </w:t>
      </w:r>
      <w:r>
        <w:rPr>
          <w:rFonts w:ascii="Calibri" w:cs="Calibri" w:eastAsia="Calibri" w:hAnsi="Calibri"/>
          <w:sz w:val="22"/>
          <w:szCs w:val="22"/>
        </w:rPr>
        <w:t xml:space="preserve">Never rely on an agent's internal alignment, system prompt instructions, or natural language guardrails as an authoritative security boundary. Security policies cannot be negotiated via natural language.</w:t>
      </w:r>
    </w:p>
    <w:p>
      <w:pPr>
        <w:pStyle w:val="ListParagraph"/>
        <w:numPr>
          <w:ilvl w:val="0"/>
          <w:numId w:val="2"/>
        </w:numPr>
        <w:spacing w:after="100"/>
      </w:pPr>
      <w:r>
        <w:rPr>
          <w:rFonts w:ascii="Calibri" w:cs="Calibri" w:eastAsia="Calibri" w:hAnsi="Calibri"/>
          <w:b/>
          <w:bCs/>
          <w:sz w:val="22"/>
          <w:szCs w:val="22"/>
        </w:rPr>
        <w:t xml:space="preserve">The Architectural Rule: </w:t>
      </w:r>
      <w:r>
        <w:rPr>
          <w:rFonts w:ascii="Calibri" w:cs="Calibri" w:eastAsia="Calibri" w:hAnsi="Calibri"/>
          <w:sz w:val="22"/>
          <w:szCs w:val="22"/>
        </w:rPr>
        <w:t xml:space="preserve">Enclose probabilistic agents within deterministic, non-bypassable controls (hardware microVM isolation, cryptographically signed workload identities, capability-based tool proxies, and strict network egress firewalls). Areas where deterministic controls cannot be applied must be classified as unverified attack surfaces subject to continuous behavioral monitoring and out-of-band circuit breakers.</w:t>
      </w:r>
    </w:p>
    <w:p>
      <w:pPr>
        <w:pStyle w:val="Heading1"/>
        <w:spacing w:after="160" w:before="360"/>
      </w:pPr>
      <w:r>
        <w:rPr>
          <w:rFonts w:ascii="Calibri" w:cs="Calibri" w:eastAsia="Calibri" w:hAnsi="Calibri"/>
          <w:b/>
          <w:bCs/>
          <w:sz w:val="36"/>
          <w:szCs w:val="36"/>
        </w:rPr>
        <w:t xml:space="preserve">2. Attack Surface Mapping: The Triple-Framework Alignment</w:t>
      </w:r>
    </w:p>
    <w:p>
      <w:pPr>
        <w:spacing w:after="160"/>
      </w:pPr>
      <w:r>
        <w:rPr>
          <w:rFonts w:ascii="Calibri" w:cs="Calibri" w:eastAsia="Calibri" w:hAnsi="Calibri"/>
          <w:sz w:val="22"/>
          <w:szCs w:val="22"/>
        </w:rPr>
        <w:t xml:space="preserve">Following OWASP's formalization of the Top 10 for Agentic Applications (ASI01–ASI10) and recent CISA/NSA threat advisories, enterprise defense must align across three synchronized standards:</w:t>
      </w:r>
    </w:p>
    <w:p>
      <w:pPr>
        <w:pStyle w:val="ListParagraph"/>
        <w:numPr>
          <w:ilvl w:val="0"/>
          <w:numId w:val="2"/>
        </w:numPr>
        <w:spacing w:after="100"/>
      </w:pPr>
      <w:r>
        <w:rPr>
          <w:rFonts w:ascii="Calibri" w:cs="Calibri" w:eastAsia="Calibri" w:hAnsi="Calibri"/>
          <w:b/>
          <w:bCs/>
          <w:sz w:val="22"/>
          <w:szCs w:val="22"/>
        </w:rPr>
        <w:t xml:space="preserve">CSA MAESTRO: </w:t>
      </w:r>
      <w:r>
        <w:rPr>
          <w:rFonts w:ascii="Calibri" w:cs="Calibri" w:eastAsia="Calibri" w:hAnsi="Calibri"/>
          <w:sz w:val="22"/>
          <w:szCs w:val="22"/>
        </w:rPr>
        <w:t xml:space="preserve">Deconstructs the agentic operational stack into 7 functional architectural layers.</w:t>
      </w:r>
    </w:p>
    <w:p>
      <w:pPr>
        <w:pStyle w:val="ListParagraph"/>
        <w:numPr>
          <w:ilvl w:val="0"/>
          <w:numId w:val="2"/>
        </w:numPr>
        <w:spacing w:after="100"/>
      </w:pPr>
      <w:r>
        <w:rPr>
          <w:rFonts w:ascii="Calibri" w:cs="Calibri" w:eastAsia="Calibri" w:hAnsi="Calibri"/>
          <w:b/>
          <w:bCs/>
          <w:sz w:val="22"/>
          <w:szCs w:val="22"/>
        </w:rPr>
        <w:t xml:space="preserve">OWASP Top 10 for Agentic Applications (2026): </w:t>
      </w:r>
      <w:r>
        <w:rPr>
          <w:rFonts w:ascii="Calibri" w:cs="Calibri" w:eastAsia="Calibri" w:hAnsi="Calibri"/>
          <w:sz w:val="22"/>
          <w:szCs w:val="22"/>
        </w:rPr>
        <w:t xml:space="preserve">Catalogs structural vulnerabilities unique to autonomous systems with tool access, delegated identities, and multi-step execution paths.</w:t>
      </w:r>
    </w:p>
    <w:p>
      <w:pPr>
        <w:pStyle w:val="ListParagraph"/>
        <w:numPr>
          <w:ilvl w:val="0"/>
          <w:numId w:val="2"/>
        </w:numPr>
        <w:spacing w:after="100"/>
      </w:pPr>
      <w:r>
        <w:rPr>
          <w:rFonts w:ascii="Calibri" w:cs="Calibri" w:eastAsia="Calibri" w:hAnsi="Calibri"/>
          <w:b/>
          <w:bCs/>
          <w:sz w:val="22"/>
          <w:szCs w:val="22"/>
        </w:rPr>
        <w:t xml:space="preserve">MITRE ATLAS: </w:t>
      </w:r>
      <w:r>
        <w:rPr>
          <w:rFonts w:ascii="Calibri" w:cs="Calibri" w:eastAsia="Calibri" w:hAnsi="Calibri"/>
          <w:sz w:val="22"/>
          <w:szCs w:val="22"/>
        </w:rPr>
        <w:t xml:space="preserve">Classifies adversary Tactics, Techniques, and Procedures (TTPs) targeting AI pipelines.</w:t>
      </w:r>
    </w:p>
    <w:p>
      <w:pPr>
        <w:spacing w:after="240" w:before="16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00"/>
      </w:tblGrid>
      <w:tr>
        <w:trPr>
          <w:tblHeader/>
        </w:trPr>
        <w:tc>
          <w:tcPr>
            <w:tcW w:type="dxa" w:w="1800"/>
            <w:shd w:fill="2F5496"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MAESTRO Layer</w:t>
            </w:r>
          </w:p>
        </w:tc>
        <w:tc>
          <w:tcPr>
            <w:tcW w:type="dxa" w:w="2400"/>
            <w:shd w:fill="2F5496"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OWASP Threat Alignment (ASI Standard)</w:t>
            </w:r>
          </w:p>
        </w:tc>
        <w:tc>
          <w:tcPr>
            <w:tcW w:type="dxa" w:w="2400"/>
            <w:shd w:fill="2F5496"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MITRE ATLAS Technique</w:t>
            </w:r>
          </w:p>
        </w:tc>
        <w:tc>
          <w:tcPr>
            <w:tcW w:type="dxa" w:w="2700"/>
            <w:shd w:fill="2F5496"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Enterprise Security Objective</w:t>
            </w:r>
          </w:p>
        </w:tc>
      </w:tr>
      <w:tr>
        <w:tc>
          <w:tcPr>
            <w:tcW w:type="dxa" w:w="18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1. Model</w:t>
            </w:r>
          </w:p>
          <w:p>
            <w:pPr>
              <w:spacing w:after="0"/>
            </w:pPr>
            <w:r>
              <w:rPr>
                <w:rFonts w:ascii="Calibri" w:cs="Calibri" w:eastAsia="Calibri" w:hAnsi="Calibri"/>
                <w:b w:val="false"/>
                <w:bCs w:val="false"/>
                <w:sz w:val="20"/>
                <w:szCs w:val="20"/>
              </w:rPr>
              <w:t xml:space="preserve">(Inbound &amp; Outbound)</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ASI04: Agentic Supply Chain Vulnerabilities</w:t>
            </w:r>
          </w:p>
          <w:p>
            <w:pPr>
              <w:spacing w:after="0"/>
            </w:pPr>
            <w:r>
              <w:rPr>
                <w:rFonts w:ascii="Calibri" w:cs="Calibri" w:eastAsia="Calibri" w:hAnsi="Calibri"/>
                <w:b w:val="false"/>
                <w:bCs w:val="false"/>
                <w:sz w:val="20"/>
                <w:szCs w:val="20"/>
              </w:rPr>
              <w:t xml:space="preserve">LLM05 / LLM10: Model Theft &amp; Extraction</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AML.T0010: ML Supply Chain Compromise</w:t>
            </w:r>
          </w:p>
          <w:p>
            <w:pPr>
              <w:spacing w:after="0"/>
            </w:pPr>
            <w:r>
              <w:rPr>
                <w:rFonts w:ascii="Calibri" w:cs="Calibri" w:eastAsia="Calibri" w:hAnsi="Calibri"/>
                <w:b w:val="false"/>
                <w:bCs w:val="false"/>
                <w:sz w:val="20"/>
                <w:szCs w:val="20"/>
              </w:rPr>
              <w:t xml:space="preserve">AML.T0031: Exfiltration via ML API (Industrial Distillation)</w:t>
            </w:r>
          </w:p>
        </w:tc>
        <w:tc>
          <w:tcPr>
            <w:tcW w:type="dxa" w:w="27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Verify model weight signatures, enforce SBOM/AIBOM integrity, and detect outbound bulk scraping/model theft.</w:t>
            </w:r>
          </w:p>
        </w:tc>
      </w:tr>
      <w:tr>
        <w:tc>
          <w:tcPr>
            <w:tcW w:type="dxa" w:w="18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2. Agent (Planning) &amp; State</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ASI01: Agent Goal Hijack</w:t>
            </w:r>
          </w:p>
          <w:p>
            <w:pPr>
              <w:spacing w:after="0"/>
            </w:pPr>
            <w:r>
              <w:rPr>
                <w:rFonts w:ascii="Calibri" w:cs="Calibri" w:eastAsia="Calibri" w:hAnsi="Calibri"/>
                <w:b w:val="false"/>
                <w:bCs w:val="false"/>
                <w:sz w:val="20"/>
                <w:szCs w:val="20"/>
              </w:rPr>
              <w:t xml:space="preserve">ASI10: Rogue Agents</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AML.T0040: ML Model Evasion</w:t>
            </w:r>
          </w:p>
          <w:p>
            <w:pPr>
              <w:spacing w:after="0"/>
            </w:pPr>
            <w:r>
              <w:rPr>
                <w:rFonts w:ascii="Calibri" w:cs="Calibri" w:eastAsia="Calibri" w:hAnsi="Calibri"/>
                <w:b w:val="false"/>
                <w:bCs w:val="false"/>
                <w:sz w:val="20"/>
                <w:szCs w:val="20"/>
              </w:rPr>
              <w:t xml:space="preserve">AML.T0051: LLM Prompt Injection (Indirect)</w:t>
            </w:r>
          </w:p>
        </w:tc>
        <w:tc>
          <w:tcPr>
            <w:tcW w:type="dxa" w:w="27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Confine planning loops, detect goal deviation, and prevent reward-seeking shortcuts.</w:t>
            </w:r>
          </w:p>
        </w:tc>
      </w:tr>
      <w:tr>
        <w:tc>
          <w:tcPr>
            <w:tcW w:type="dxa" w:w="18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3. Environment &amp; Memory</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ASI06: Memory &amp; Context Poisoning</w:t>
            </w:r>
          </w:p>
          <w:p>
            <w:pPr>
              <w:spacing w:after="0"/>
            </w:pPr>
            <w:r>
              <w:rPr>
                <w:rFonts w:ascii="Calibri" w:cs="Calibri" w:eastAsia="Calibri" w:hAnsi="Calibri"/>
                <w:b w:val="false"/>
                <w:bCs w:val="false"/>
                <w:sz w:val="20"/>
                <w:szCs w:val="20"/>
              </w:rPr>
              <w:t xml:space="preserve">LLM06: Sensitive Info Disclosure</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AML.T0035: LLM Data Poisoning</w:t>
            </w:r>
          </w:p>
          <w:p>
            <w:pPr>
              <w:spacing w:after="0"/>
            </w:pPr>
            <w:r>
              <w:rPr>
                <w:rFonts w:ascii="Calibri" w:cs="Calibri" w:eastAsia="Calibri" w:hAnsi="Calibri"/>
                <w:b w:val="false"/>
                <w:bCs w:val="false"/>
                <w:sz w:val="20"/>
                <w:szCs w:val="20"/>
              </w:rPr>
              <w:t xml:space="preserve">AML.T0031: Exfiltration via ML API</w:t>
            </w:r>
          </w:p>
        </w:tc>
        <w:tc>
          <w:tcPr>
            <w:tcW w:type="dxa" w:w="27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Enforce write-validation on long-term memory, isolate context windows, and prevent cross-session poisoning.</w:t>
            </w:r>
          </w:p>
        </w:tc>
      </w:tr>
      <w:tr>
        <w:tc>
          <w:tcPr>
            <w:tcW w:type="dxa" w:w="18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4. Security &amp; Governance</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ASI09: Human-Agent Trust Exploitation</w:t>
            </w:r>
          </w:p>
          <w:p>
            <w:pPr>
              <w:spacing w:after="0"/>
            </w:pPr>
            <w:r>
              <w:rPr>
                <w:rFonts w:ascii="Calibri" w:cs="Calibri" w:eastAsia="Calibri" w:hAnsi="Calibri"/>
                <w:b w:val="false"/>
                <w:bCs w:val="false"/>
                <w:sz w:val="20"/>
                <w:szCs w:val="20"/>
              </w:rPr>
              <w:t xml:space="preserve">LLM07: System Prompt Leakage</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AML.T0043: Adversarial Data Injection</w:t>
            </w:r>
          </w:p>
          <w:p>
            <w:pPr>
              <w:spacing w:after="0"/>
            </w:pPr>
            <w:r>
              <w:rPr>
                <w:rFonts w:ascii="Calibri" w:cs="Calibri" w:eastAsia="Calibri" w:hAnsi="Calibri"/>
                <w:b w:val="false"/>
                <w:bCs w:val="false"/>
                <w:sz w:val="20"/>
                <w:szCs w:val="20"/>
              </w:rPr>
              <w:t xml:space="preserve">AML.T0029: Denial of Service</w:t>
            </w:r>
          </w:p>
        </w:tc>
        <w:tc>
          <w:tcPr>
            <w:tcW w:type="dxa" w:w="27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Deploy asymmetric out-of-band overseers, activation-steering shims, and cognitive tripwires.</w:t>
            </w:r>
          </w:p>
        </w:tc>
      </w:tr>
      <w:tr>
        <w:tc>
          <w:tcPr>
            <w:tcW w:type="dxa" w:w="18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5. Tools &amp; Skills (MCP)</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ASI02: Tool Misuse &amp; Exploitation</w:t>
            </w:r>
          </w:p>
          <w:p>
            <w:pPr>
              <w:spacing w:after="0"/>
            </w:pPr>
            <w:r>
              <w:rPr>
                <w:rFonts w:ascii="Calibri" w:cs="Calibri" w:eastAsia="Calibri" w:hAnsi="Calibri"/>
                <w:b w:val="false"/>
                <w:bCs w:val="false"/>
                <w:sz w:val="20"/>
                <w:szCs w:val="20"/>
              </w:rPr>
              <w:t xml:space="preserve">ASI03: Identity &amp; Privilege Abuse</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AML.T0053: LLM Plugin / MCP Compromise</w:t>
            </w:r>
          </w:p>
          <w:p>
            <w:pPr>
              <w:spacing w:after="0"/>
            </w:pPr>
            <w:r>
              <w:rPr>
                <w:rFonts w:ascii="Calibri" w:cs="Calibri" w:eastAsia="Calibri" w:hAnsi="Calibri"/>
                <w:b w:val="false"/>
                <w:bCs w:val="false"/>
                <w:sz w:val="20"/>
                <w:szCs w:val="20"/>
              </w:rPr>
              <w:t xml:space="preserve">AML.T0048: Tool Misuse</w:t>
            </w:r>
          </w:p>
        </w:tc>
        <w:tc>
          <w:tcPr>
            <w:tcW w:type="dxa" w:w="27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Enforce capability-based access tokens, JSON schema typing, and continuous proxy vulnerability patching.</w:t>
            </w:r>
          </w:p>
        </w:tc>
      </w:tr>
      <w:tr>
        <w:tc>
          <w:tcPr>
            <w:tcW w:type="dxa" w:w="18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6. Runtime Execution</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ASI05: Unexpected Code Execution (RCE)</w:t>
            </w:r>
          </w:p>
          <w:p>
            <w:pPr>
              <w:spacing w:after="0"/>
            </w:pPr>
            <w:r>
              <w:rPr>
                <w:rFonts w:ascii="Calibri" w:cs="Calibri" w:eastAsia="Calibri" w:hAnsi="Calibri"/>
                <w:b w:val="false"/>
                <w:bCs w:val="false"/>
                <w:sz w:val="20"/>
                <w:szCs w:val="20"/>
              </w:rPr>
              <w:t xml:space="preserve">LLM08: Excessive Agency</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AML.T0047: Sandbox Escape</w:t>
            </w:r>
          </w:p>
          <w:p>
            <w:pPr>
              <w:spacing w:after="0"/>
            </w:pPr>
            <w:r>
              <w:rPr>
                <w:rFonts w:ascii="Calibri" w:cs="Calibri" w:eastAsia="Calibri" w:hAnsi="Calibri"/>
                <w:b w:val="false"/>
                <w:bCs w:val="false"/>
                <w:sz w:val="20"/>
                <w:szCs w:val="20"/>
              </w:rPr>
              <w:t xml:space="preserve">AML.T0042: Resource Flooding</w:t>
            </w:r>
          </w:p>
        </w:tc>
        <w:tc>
          <w:tcPr>
            <w:tcW w:type="dxa" w:w="27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Guarantee hardware-level kernel isolation (microVMs) and patch local pre-execution agent plumbing (CLI).</w:t>
            </w:r>
          </w:p>
        </w:tc>
      </w:tr>
      <w:tr>
        <w:tc>
          <w:tcPr>
            <w:tcW w:type="dxa" w:w="18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7. Operations &amp; Orchestration</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ASI07: Insecure Inter-Agent Communication</w:t>
            </w:r>
          </w:p>
          <w:p>
            <w:pPr>
              <w:spacing w:after="0"/>
            </w:pPr>
            <w:r>
              <w:rPr>
                <w:rFonts w:ascii="Calibri" w:cs="Calibri" w:eastAsia="Calibri" w:hAnsi="Calibri"/>
                <w:b w:val="false"/>
                <w:bCs w:val="false"/>
                <w:sz w:val="20"/>
                <w:szCs w:val="20"/>
              </w:rPr>
              <w:t xml:space="preserve">ASI08: Cascading Failures</w:t>
            </w:r>
          </w:p>
        </w:tc>
        <w:tc>
          <w:tcPr>
            <w:tcW w:type="dxa" w:w="2400"/>
            <w:tcMar>
              <w:top w:type="dxa" w:w="100"/>
              <w:left w:type="dxa" w:w="120"/>
              <w:bottom w:type="dxa" w:w="100"/>
              <w:right w:type="dxa" w:w="120"/>
            </w:tcMar>
            <w:vAlign w:val="top"/>
          </w:tcPr>
          <w:p>
            <w:pPr>
              <w:spacing w:after="80"/>
            </w:pPr>
            <w:r>
              <w:rPr>
                <w:rFonts w:ascii="Calibri" w:cs="Calibri" w:eastAsia="Calibri" w:hAnsi="Calibri"/>
                <w:b w:val="false"/>
                <w:bCs w:val="false"/>
                <w:sz w:val="20"/>
                <w:szCs w:val="20"/>
              </w:rPr>
              <w:t xml:space="preserve">AML.T0015: Lateral Movement</w:t>
            </w:r>
          </w:p>
          <w:p>
            <w:pPr>
              <w:spacing w:after="0"/>
            </w:pPr>
            <w:r>
              <w:rPr>
                <w:rFonts w:ascii="Calibri" w:cs="Calibri" w:eastAsia="Calibri" w:hAnsi="Calibri"/>
                <w:b w:val="false"/>
                <w:bCs w:val="false"/>
                <w:sz w:val="20"/>
                <w:szCs w:val="20"/>
              </w:rPr>
              <w:t xml:space="preserve">AML.T0037: Model Inversion</w:t>
            </w:r>
          </w:p>
        </w:tc>
        <w:tc>
          <w:tcPr>
            <w:tcW w:type="dxa" w:w="2700"/>
            <w:tcMar>
              <w:top w:type="dxa" w:w="100"/>
              <w:left w:type="dxa" w:w="120"/>
              <w:bottom w:type="dxa" w:w="100"/>
              <w:right w:type="dxa" w:w="120"/>
            </w:tcMar>
            <w:vAlign w:val="top"/>
          </w:tcPr>
          <w:p>
            <w:pPr>
              <w:spacing w:after="0"/>
            </w:pPr>
            <w:r>
              <w:rPr>
                <w:rFonts w:ascii="Calibri" w:cs="Calibri" w:eastAsia="Calibri" w:hAnsi="Calibri"/>
                <w:b w:val="false"/>
                <w:bCs w:val="false"/>
                <w:sz w:val="20"/>
                <w:szCs w:val="20"/>
              </w:rPr>
              <w:t xml:space="preserve">Implement mTLS agent-to-agent authentication, capability attenuation, and immutable WORM audit trails.</w:t>
            </w:r>
          </w:p>
        </w:tc>
      </w:tr>
    </w:tbl>
    <w:p>
      <w:r>
        <w:br/>
        <w:t xml:space="preserve"/>
      </w:r>
    </w:p>
    <w:p>
      <w:pPr>
        <w:pStyle w:val="Heading1"/>
        <w:spacing w:after="160" w:before="360"/>
      </w:pPr>
      <w:r>
        <w:rPr>
          <w:rFonts w:ascii="Calibri" w:cs="Calibri" w:eastAsia="Calibri" w:hAnsi="Calibri"/>
          <w:b/>
          <w:bCs/>
          <w:sz w:val="36"/>
          <w:szCs w:val="36"/>
        </w:rPr>
        <w:t xml:space="preserve">3. Layer-by-Layer Strategy &amp; Tooling Reference Matrix</w:t>
      </w:r>
    </w:p>
    <w:p>
      <w:pPr>
        <w:spacing w:after="160"/>
      </w:pPr>
      <w:r>
        <w:rPr>
          <w:rFonts w:ascii="Calibri" w:cs="Calibri" w:eastAsia="Calibri" w:hAnsi="Calibri"/>
          <w:sz w:val="22"/>
          <w:szCs w:val="22"/>
        </w:rPr>
        <w:t xml:space="preserve">To maximize capital efficiency, Fortune 100 enterprises must leverage existing brownfield enterprise platforms before procuring specialized point solutions. </w:t>
      </w:r>
      <w:r>
        <w:rPr>
          <w:rFonts w:ascii="Calibri" w:cs="Calibri" w:eastAsia="Calibri" w:hAnsi="Calibri"/>
          <w:i/>
          <w:iCs/>
          <w:color w:val="B45309"/>
          <w:sz w:val="20"/>
          <w:szCs w:val="20"/>
        </w:rPr>
        <w:t xml:space="preserve">Entries marked in amber italics were added or updated in this draft revision — see Section 8, Revision Notes.</w:t>
      </w:r>
    </w:p>
    <w:p>
      <w:pPr>
        <w:spacing w:after="240" w:before="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600"/>
        <w:gridCol w:w="2900"/>
      </w:tblGrid>
      <w:tr>
        <w:trPr>
          <w:tblHeader/>
        </w:trPr>
        <w:tc>
          <w:tcPr>
            <w:tcW w:type="dxa" w:w="1500"/>
            <w:shd w:fill="2F5496"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MAESTRO Layer</w:t>
            </w:r>
          </w:p>
        </w:tc>
        <w:tc>
          <w:tcPr>
            <w:tcW w:type="dxa" w:w="2900"/>
            <w:shd w:fill="2F5496"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Primary Attack Vectors &amp; Real-World Precedents</w:t>
            </w:r>
          </w:p>
        </w:tc>
        <w:tc>
          <w:tcPr>
            <w:tcW w:type="dxa" w:w="2600"/>
            <w:shd w:fill="2F5496"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Brownfield Enterprise Leverage</w:t>
            </w:r>
          </w:p>
        </w:tc>
        <w:tc>
          <w:tcPr>
            <w:tcW w:type="dxa" w:w="2900"/>
            <w:shd w:fill="2F5496" w:val="clear"/>
            <w:tcMar>
              <w:top w:type="dxa" w:w="100"/>
              <w:left w:type="dxa" w:w="120"/>
              <w:bottom w:type="dxa" w:w="100"/>
              <w:right w:type="dxa" w:w="120"/>
            </w:tcMar>
            <w:vAlign w:val="top"/>
          </w:tcPr>
          <w:p>
            <w:r>
              <w:rPr>
                <w:rFonts w:ascii="Calibri" w:cs="Calibri" w:eastAsia="Calibri" w:hAnsi="Calibri"/>
                <w:b/>
                <w:bCs/>
                <w:color w:val="FFFFFF"/>
                <w:sz w:val="20"/>
                <w:szCs w:val="20"/>
              </w:rPr>
              <w:t xml:space="preserve">Frontier AI Security Tooling</w:t>
            </w:r>
          </w:p>
        </w:tc>
      </w:tr>
      <w:tr>
        <w:tc>
          <w:tcPr>
            <w:tcW w:type="dxa" w:w="1500"/>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1. Model</w:t>
            </w:r>
          </w:p>
        </w:tc>
        <w:tc>
          <w:tcPr>
            <w:tcW w:type="dxa" w:w="2900"/>
            <w:tcMar>
              <w:top w:type="dxa" w:w="100"/>
              <w:left w:type="dxa" w:w="120"/>
              <w:bottom w:type="dxa" w:w="100"/>
              <w:right w:type="dxa" w:w="120"/>
            </w:tcMar>
            <w:vAlign w:val="top"/>
          </w:tcPr>
          <w:p>
            <w:pPr>
              <w:spacing w:after="80"/>
            </w:pPr>
            <w:r>
              <w:rPr>
                <w:rFonts w:ascii="Calibri" w:cs="Calibri" w:eastAsia="Calibri" w:hAnsi="Calibri"/>
                <w:sz w:val="20"/>
                <w:szCs w:val="20"/>
              </w:rPr>
              <w:t xml:space="preserve">Inbound: </w:t>
            </w:r>
            <w:r>
              <w:rPr>
                <w:rFonts w:ascii="Calibri" w:cs="Calibri" w:eastAsia="Calibri" w:hAnsi="Calibri"/>
                <w:sz w:val="20"/>
                <w:szCs w:val="20"/>
              </w:rPr>
              <w:t xml:space="preserve">Weight backdoors.</w:t>
            </w:r>
          </w:p>
          <w:p>
            <w:pPr>
              <w:spacing w:after="80"/>
            </w:pPr>
            <w:r>
              <w:rPr>
                <w:rFonts w:ascii="Calibri" w:cs="Calibri" w:eastAsia="Calibri" w:hAnsi="Calibri"/>
                <w:sz w:val="20"/>
                <w:szCs w:val="20"/>
              </w:rPr>
              <w:t xml:space="preserve">Outbound: </w:t>
            </w:r>
            <w:r>
              <w:rPr>
                <w:rFonts w:ascii="Calibri" w:cs="Calibri" w:eastAsia="Calibri" w:hAnsi="Calibri"/>
                <w:sz w:val="20"/>
                <w:szCs w:val="20"/>
              </w:rPr>
              <w:t xml:space="preserve">Industrial-scale distillation (e.g., September 2026 NSA/CISA/FBI joint advisory naming six adversarial firms systematically siphoning frontier model weights via bulk API transfer stations).</w:t>
            </w:r>
          </w:p>
        </w:tc>
        <w:tc>
          <w:tcPr>
            <w:tcW w:type="dxa" w:w="2600"/>
            <w:tcMar>
              <w:top w:type="dxa" w:w="100"/>
              <w:left w:type="dxa" w:w="120"/>
              <w:bottom w:type="dxa" w:w="100"/>
              <w:right w:type="dxa" w:w="120"/>
            </w:tcMar>
            <w:vAlign w:val="top"/>
          </w:tcPr>
          <w:p>
            <w:pPr>
              <w:spacing w:after="80"/>
            </w:pPr>
            <w:r>
              <w:rPr>
                <w:rFonts w:ascii="Calibri" w:cs="Calibri" w:eastAsia="Calibri" w:hAnsi="Calibri"/>
                <w:sz w:val="20"/>
                <w:szCs w:val="20"/>
              </w:rPr>
              <w:t xml:space="preserve">CrowdStrike Falcon / Microsoft Defender for Cloud: Compute posture.</w:t>
            </w:r>
          </w:p>
          <w:p>
            <w:pPr>
              <w:spacing w:after="80"/>
            </w:pPr>
            <w:r>
              <w:rPr>
                <w:rFonts w:ascii="Calibri" w:cs="Calibri" w:eastAsia="Calibri" w:hAnsi="Calibri"/>
                <w:sz w:val="20"/>
                <w:szCs w:val="20"/>
              </w:rPr>
              <w:t xml:space="preserve">F5 / Cloudflare / Akamai: API rate limiting, bot detection, behavioral egress fingerprinting.</w:t>
            </w:r>
          </w:p>
        </w:tc>
        <w:tc>
          <w:tcPr>
            <w:tcW w:type="dxa" w:w="2900"/>
            <w:tcMar>
              <w:top w:type="dxa" w:w="100"/>
              <w:left w:type="dxa" w:w="120"/>
              <w:bottom w:type="dxa" w:w="100"/>
              <w:right w:type="dxa" w:w="120"/>
            </w:tcMar>
            <w:vAlign w:val="top"/>
          </w:tcPr>
          <w:p>
            <w:pPr>
              <w:spacing w:after="80"/>
            </w:pPr>
            <w:r>
              <w:rPr>
                <w:rFonts w:ascii="Calibri" w:cs="Calibri" w:eastAsia="Calibri" w:hAnsi="Calibri"/>
                <w:sz w:val="20"/>
                <w:szCs w:val="20"/>
              </w:rPr>
              <w:t xml:space="preserve">Hugging Face ModelScan: Safe tensor serialization.</w:t>
            </w:r>
          </w:p>
          <w:p>
            <w:pPr>
              <w:spacing w:after="80"/>
            </w:pPr>
            <w:r>
              <w:rPr>
                <w:rFonts w:ascii="Calibri" w:cs="Calibri" w:eastAsia="Calibri" w:hAnsi="Calibri"/>
                <w:sz w:val="20"/>
                <w:szCs w:val="20"/>
              </w:rPr>
              <w:t xml:space="preserve">Sigstore / Cosign: AIBOM signing.</w:t>
            </w:r>
          </w:p>
          <w:p>
            <w:pPr>
              <w:spacing w:after="80"/>
            </w:pPr>
            <w:r>
              <w:rPr>
                <w:rFonts w:ascii="Calibri" w:cs="Calibri" w:eastAsia="Calibri" w:hAnsi="Calibri"/>
                <w:sz w:val="20"/>
                <w:szCs w:val="20"/>
              </w:rPr>
              <w:t xml:space="preserve">Dynamic Honeypotting: Quietly degrade/poison responses to suspect distillation scrapers.</w:t>
            </w:r>
          </w:p>
        </w:tc>
      </w:tr>
      <w:tr>
        <w:tc>
          <w:tcPr>
            <w:tcW w:type="dxa" w:w="1500"/>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2. Agent &amp; State</w:t>
            </w:r>
          </w:p>
        </w:tc>
        <w:tc>
          <w:tcPr>
            <w:tcW w:type="dxa" w:w="2900"/>
            <w:tcMar>
              <w:top w:type="dxa" w:w="100"/>
              <w:left w:type="dxa" w:w="120"/>
              <w:bottom w:type="dxa" w:w="100"/>
              <w:right w:type="dxa" w:w="120"/>
            </w:tcMar>
            <w:vAlign w:val="top"/>
          </w:tcPr>
          <w:p>
            <w:pPr>
              <w:spacing w:after="80"/>
            </w:pPr>
            <w:r>
              <w:rPr>
                <w:rFonts w:ascii="Calibri" w:cs="Calibri" w:eastAsia="Calibri" w:hAnsi="Calibri"/>
                <w:sz w:val="22"/>
                <w:szCs w:val="22"/>
              </w:rPr>
              <w:t xml:space="preserve">Goal hijack (ASI01), indirect prompt injection through web/repo data, planning loop drift.</w:t>
            </w:r>
          </w:p>
        </w:tc>
        <w:tc>
          <w:tcPr>
            <w:tcW w:type="dxa" w:w="2600"/>
            <w:tcMar>
              <w:top w:type="dxa" w:w="100"/>
              <w:left w:type="dxa" w:w="120"/>
              <w:bottom w:type="dxa" w:w="100"/>
              <w:right w:type="dxa" w:w="120"/>
            </w:tcMar>
            <w:vAlign w:val="top"/>
          </w:tcPr>
          <w:p>
            <w:pPr>
              <w:spacing w:after="80"/>
            </w:pPr>
            <w:r>
              <w:rPr>
                <w:rFonts w:ascii="Calibri" w:cs="Calibri" w:eastAsia="Calibri" w:hAnsi="Calibri"/>
                <w:sz w:val="20"/>
                <w:szCs w:val="20"/>
              </w:rPr>
              <w:t xml:space="preserve">Okta / Microsoft Entra ID: Ephemeral machine workload identities.</w:t>
            </w:r>
          </w:p>
          <w:p>
            <w:pPr>
              <w:spacing w:after="80"/>
            </w:pPr>
            <w:r>
              <w:rPr>
                <w:rFonts w:ascii="Calibri" w:cs="Calibri" w:eastAsia="Calibri" w:hAnsi="Calibri"/>
                <w:sz w:val="20"/>
                <w:szCs w:val="20"/>
              </w:rPr>
              <w:t xml:space="preserve">CyberArk / HashiCorp Vault: Dynamic credential rotation.</w:t>
            </w:r>
          </w:p>
        </w:tc>
        <w:tc>
          <w:tcPr>
            <w:tcW w:type="dxa" w:w="2900"/>
            <w:tcMar>
              <w:top w:type="dxa" w:w="100"/>
              <w:left w:type="dxa" w:w="120"/>
              <w:bottom w:type="dxa" w:w="100"/>
              <w:right w:type="dxa" w:w="120"/>
            </w:tcMar>
            <w:vAlign w:val="top"/>
          </w:tcPr>
          <w:p>
            <w:pPr>
              <w:spacing w:after="80"/>
            </w:pPr>
            <w:r>
              <w:rPr>
                <w:rFonts w:ascii="Calibri" w:cs="Calibri" w:eastAsia="Calibri" w:hAnsi="Calibri"/>
                <w:sz w:val="20"/>
                <w:szCs w:val="20"/>
              </w:rPr>
              <w:t xml:space="preserve">Aembit / Oasis Security: Non-Human Identity (NHI) governance.</w:t>
            </w:r>
          </w:p>
          <w:p>
            <w:pPr>
              <w:spacing w:after="80"/>
            </w:pPr>
            <w:r>
              <w:rPr>
                <w:rFonts w:ascii="Calibri" w:cs="Calibri" w:eastAsia="Calibri" w:hAnsi="Calibri"/>
                <w:sz w:val="20"/>
                <w:szCs w:val="20"/>
              </w:rPr>
              <w:t xml:space="preserve">SPIFFE / SPIRE: Cryptographic mTLS workload identity.</w:t>
            </w:r>
          </w:p>
        </w:tc>
      </w:tr>
      <w:tr>
        <w:tc>
          <w:tcPr>
            <w:tcW w:type="dxa" w:w="1500"/>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3. Environment &amp; Memory</w:t>
            </w:r>
          </w:p>
        </w:tc>
        <w:tc>
          <w:tcPr>
            <w:tcW w:type="dxa" w:w="2900"/>
            <w:tcMar>
              <w:top w:type="dxa" w:w="100"/>
              <w:left w:type="dxa" w:w="120"/>
              <w:bottom w:type="dxa" w:w="100"/>
              <w:right w:type="dxa" w:w="120"/>
            </w:tcMar>
            <w:vAlign w:val="top"/>
          </w:tcPr>
          <w:p>
            <w:pPr>
              <w:spacing w:after="80"/>
            </w:pPr>
            <w:r>
              <w:rPr>
                <w:rFonts w:ascii="Calibri" w:cs="Calibri" w:eastAsia="Calibri" w:hAnsi="Calibri"/>
                <w:sz w:val="22"/>
                <w:szCs w:val="22"/>
              </w:rPr>
              <w:t xml:space="preserve">Persistent memory poisoning (ASI06), RAG retrieval contamination, cross-tenant vector bleeding.</w:t>
            </w:r>
          </w:p>
        </w:tc>
        <w:tc>
          <w:tcPr>
            <w:tcW w:type="dxa" w:w="2600"/>
            <w:tcMar>
              <w:top w:type="dxa" w:w="100"/>
              <w:left w:type="dxa" w:w="120"/>
              <w:bottom w:type="dxa" w:w="100"/>
              <w:right w:type="dxa" w:w="120"/>
            </w:tcMar>
            <w:vAlign w:val="top"/>
          </w:tcPr>
          <w:p>
            <w:pPr>
              <w:spacing w:after="80"/>
            </w:pPr>
            <w:r>
              <w:rPr>
                <w:rFonts w:ascii="Calibri" w:cs="Calibri" w:eastAsia="Calibri" w:hAnsi="Calibri"/>
                <w:sz w:val="20"/>
                <w:szCs w:val="20"/>
              </w:rPr>
              <w:t xml:space="preserve">Symantec DLP / Microsoft Purview / Netskope: Extended to intercept RAG pipelines, vector embeddings, and prompt egress.</w:t>
            </w:r>
          </w:p>
        </w:tc>
        <w:tc>
          <w:tcPr>
            <w:tcW w:type="dxa" w:w="2900"/>
            <w:tcMar>
              <w:top w:type="dxa" w:w="100"/>
              <w:left w:type="dxa" w:w="120"/>
              <w:bottom w:type="dxa" w:w="100"/>
              <w:right w:type="dxa" w:w="120"/>
            </w:tcMar>
            <w:vAlign w:val="top"/>
          </w:tcPr>
          <w:p>
            <w:pPr>
              <w:spacing w:after="80"/>
            </w:pPr>
            <w:r>
              <w:rPr>
                <w:rFonts w:ascii="Calibri" w:cs="Calibri" w:eastAsia="Calibri" w:hAnsi="Calibri"/>
                <w:sz w:val="20"/>
                <w:szCs w:val="20"/>
              </w:rPr>
              <w:t xml:space="preserve">Arize Phoenix / OpenLineage: Data-lineage validation.</w:t>
            </w:r>
          </w:p>
          <w:p>
            <w:pPr>
              <w:spacing w:after="80"/>
            </w:pPr>
            <w:r>
              <w:rPr>
                <w:rFonts w:ascii="Calibri" w:cs="Calibri" w:eastAsia="Calibri" w:hAnsi="Calibri"/>
                <w:sz w:val="20"/>
                <w:szCs w:val="20"/>
              </w:rPr>
              <w:t xml:space="preserve">Cryptographic Memory Signatures: Enforce write-validation gates on vector DBs (Pinecone, Qdrant).</w:t>
            </w:r>
          </w:p>
        </w:tc>
      </w:tr>
      <w:tr>
        <w:tc>
          <w:tcPr>
            <w:tcW w:type="dxa" w:w="1500"/>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4. Security &amp; Governance</w:t>
            </w:r>
          </w:p>
        </w:tc>
        <w:tc>
          <w:tcPr>
            <w:tcW w:type="dxa" w:w="2900"/>
            <w:tcMar>
              <w:top w:type="dxa" w:w="100"/>
              <w:left w:type="dxa" w:w="120"/>
              <w:bottom w:type="dxa" w:w="100"/>
              <w:right w:type="dxa" w:w="120"/>
            </w:tcMar>
            <w:vAlign w:val="top"/>
          </w:tcPr>
          <w:p>
            <w:pPr>
              <w:spacing w:after="80"/>
            </w:pPr>
            <w:r>
              <w:rPr>
                <w:rFonts w:ascii="Calibri" w:cs="Calibri" w:eastAsia="Calibri" w:hAnsi="Calibri"/>
                <w:sz w:val="22"/>
                <w:szCs w:val="22"/>
              </w:rPr>
              <w:t xml:space="preserve">Deceptive planning, hidden rationalizations, unfaithful scratchpads.</w:t>
            </w:r>
          </w:p>
        </w:tc>
        <w:tc>
          <w:tcPr>
            <w:tcW w:type="dxa" w:w="2600"/>
            <w:tcMar>
              <w:top w:type="dxa" w:w="100"/>
              <w:left w:type="dxa" w:w="120"/>
              <w:bottom w:type="dxa" w:w="100"/>
              <w:right w:type="dxa" w:w="120"/>
            </w:tcMar>
            <w:vAlign w:val="top"/>
          </w:tcPr>
          <w:p>
            <w:pPr>
              <w:spacing w:after="80"/>
            </w:pPr>
            <w:r>
              <w:rPr>
                <w:rFonts w:ascii="Calibri" w:cs="Calibri" w:eastAsia="Calibri" w:hAnsi="Calibri"/>
                <w:sz w:val="20"/>
                <w:szCs w:val="20"/>
              </w:rPr>
              <w:t xml:space="preserve">Splunk / Datadog: SIEM event correlation.</w:t>
            </w:r>
          </w:p>
          <w:p>
            <w:pPr>
              <w:spacing w:after="80"/>
            </w:pPr>
            <w:r>
              <w:rPr>
                <w:rFonts w:ascii="Calibri" w:cs="Calibri" w:eastAsia="Calibri" w:hAnsi="Calibri"/>
                <w:sz w:val="20"/>
                <w:szCs w:val="20"/>
              </w:rPr>
              <w:t xml:space="preserve">Palo Alto Networks / Zscaler: In-line API gateway egress inspection.</w:t>
            </w:r>
          </w:p>
        </w:tc>
        <w:tc>
          <w:tcPr>
            <w:tcW w:type="dxa" w:w="2900"/>
            <w:tcMar>
              <w:top w:type="dxa" w:w="100"/>
              <w:left w:type="dxa" w:w="120"/>
              <w:bottom w:type="dxa" w:w="100"/>
              <w:right w:type="dxa" w:w="120"/>
            </w:tcMar>
            <w:vAlign w:val="top"/>
          </w:tcPr>
          <w:p>
            <w:pPr>
              <w:spacing w:after="80"/>
            </w:pPr>
            <w:r>
              <w:rPr>
                <w:rFonts w:ascii="Calibri" w:cs="Calibri" w:eastAsia="Calibri" w:hAnsi="Calibri"/>
                <w:sz w:val="20"/>
                <w:szCs w:val="20"/>
              </w:rPr>
              <w:t xml:space="preserve">Asymmetric Overseer Models: Lightweight LLMs auditing scratchpads.</w:t>
            </w:r>
          </w:p>
          <w:p>
            <w:pPr>
              <w:spacing w:after="80"/>
            </w:pPr>
            <w:r>
              <w:rPr>
                <w:rFonts w:ascii="Calibri" w:cs="Calibri" w:eastAsia="Calibri" w:hAnsi="Calibri"/>
                <w:sz w:val="20"/>
                <w:szCs w:val="20"/>
              </w:rPr>
              <w:t xml:space="preserve">NeMo Guardrails / Lakera Guard: Real-time semantic gating.</w:t>
            </w:r>
          </w:p>
        </w:tc>
      </w:tr>
      <w:tr>
        <w:tc>
          <w:tcPr>
            <w:tcW w:type="dxa" w:w="1500"/>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5. Tools &amp; Skills (MCP)</w:t>
            </w:r>
          </w:p>
        </w:tc>
        <w:tc>
          <w:tcPr>
            <w:tcW w:type="dxa" w:w="2900"/>
            <w:tcMar>
              <w:top w:type="dxa" w:w="100"/>
              <w:left w:type="dxa" w:w="120"/>
              <w:bottom w:type="dxa" w:w="100"/>
              <w:right w:type="dxa" w:w="120"/>
            </w:tcMar>
            <w:vAlign w:val="top"/>
          </w:tcPr>
          <w:p>
            <w:pPr>
              <w:spacing w:after="80"/>
            </w:pPr>
            <w:r>
              <w:rPr>
                <w:rFonts w:ascii="Calibri" w:cs="Calibri" w:eastAsia="Calibri" w:hAnsi="Calibri"/>
                <w:sz w:val="22"/>
                <w:szCs w:val="22"/>
              </w:rPr>
              <w:t xml:space="preserve">Unauthorized tool invocation, auth bypasses in tool gateways (e.g., CVE-2026-59822 in LiteLLM added to CISA KEV; CVSS 8.8).</w:t>
            </w:r>
          </w:p>
        </w:tc>
        <w:tc>
          <w:tcPr>
            <w:tcW w:type="dxa" w:w="2600"/>
            <w:tcMar>
              <w:top w:type="dxa" w:w="100"/>
              <w:left w:type="dxa" w:w="120"/>
              <w:bottom w:type="dxa" w:w="100"/>
              <w:right w:type="dxa" w:w="120"/>
            </w:tcMar>
            <w:vAlign w:val="top"/>
          </w:tcPr>
          <w:p>
            <w:pPr>
              <w:spacing w:after="80"/>
            </w:pPr>
            <w:r>
              <w:rPr>
                <w:rFonts w:ascii="Calibri" w:cs="Calibri" w:eastAsia="Calibri" w:hAnsi="Calibri"/>
                <w:sz w:val="20"/>
                <w:szCs w:val="20"/>
              </w:rPr>
              <w:t xml:space="preserve">Kong / Apigee / MuleSoft: Gateway schema enforcement.</w:t>
            </w:r>
          </w:p>
          <w:p>
            <w:pPr>
              <w:spacing w:after="80"/>
            </w:pPr>
            <w:r>
              <w:rPr>
                <w:rFonts w:ascii="Calibri" w:cs="Calibri" w:eastAsia="Calibri" w:hAnsi="Calibri"/>
                <w:sz w:val="20"/>
                <w:szCs w:val="20"/>
              </w:rPr>
              <w:t xml:space="preserve">Open Policy Agent (OPA) / AWS Verified Permissions: Cedar policy checks.</w:t>
            </w:r>
          </w:p>
        </w:tc>
        <w:tc>
          <w:tcPr>
            <w:tcW w:type="dxa" w:w="2900"/>
            <w:tcMar>
              <w:top w:type="dxa" w:w="100"/>
              <w:left w:type="dxa" w:w="120"/>
              <w:bottom w:type="dxa" w:w="100"/>
              <w:right w:type="dxa" w:w="120"/>
            </w:tcMar>
            <w:vAlign w:val="top"/>
          </w:tcPr>
          <w:p>
            <w:pPr>
              <w:spacing w:after="80"/>
            </w:pPr>
            <w:r>
              <w:rPr>
                <w:rFonts w:ascii="Calibri" w:cs="Calibri" w:eastAsia="Calibri" w:hAnsi="Calibri"/>
                <w:sz w:val="20"/>
                <w:szCs w:val="20"/>
              </w:rPr>
              <w:t xml:space="preserve">MCP Tool Proxies: Model Context Protocol schema interceptors.</w:t>
            </w:r>
          </w:p>
          <w:p>
            <w:pPr>
              <w:spacing w:after="80"/>
            </w:pPr>
            <w:r>
              <w:rPr>
                <w:rFonts w:ascii="Calibri" w:cs="Calibri" w:eastAsia="Calibri" w:hAnsi="Calibri"/>
                <w:sz w:val="20"/>
                <w:szCs w:val="20"/>
              </w:rPr>
              <w:t xml:space="preserve">Mandatory Patch SLAs: Vulnerability scanning on AI gateway proxies.</w:t>
            </w:r>
          </w:p>
          <w:p>
            <w:pPr>
              <w:spacing w:after="80"/>
            </w:pPr>
            <w:r>
              <w:rPr>
                <w:rFonts w:ascii="Calibri" w:cs="Calibri" w:eastAsia="Calibri" w:hAnsi="Calibri"/>
                <w:sz w:val="20"/>
                <w:szCs w:val="20"/>
              </w:rPr>
              <w:t xml:space="preserve">CrowdStrike Falcon Guardian — AI Gateway module: </w:t>
            </w:r>
            <w:r>
              <w:rPr>
                <w:rFonts w:ascii="Calibri" w:cs="Calibri" w:eastAsia="Calibri" w:hAnsi="Calibri"/>
                <w:sz w:val="20"/>
                <w:szCs w:val="20"/>
              </w:rPr>
              <w:t xml:space="preserve">centralized policy/visibility control point for AI traffic incl. MCP. </w:t>
            </w:r>
            <w:r>
              <w:rPr>
                <w:rFonts w:ascii="Calibri" w:cs="Calibri" w:eastAsia="Calibri" w:hAnsi="Calibri"/>
                <w:i/>
                <w:iCs/>
                <w:color w:val="B45309"/>
                <w:sz w:val="20"/>
                <w:szCs w:val="20"/>
              </w:rPr>
              <w:t xml:space="preserve">[Added — launched Sept 1, 2026; product launch, not yet independently validated. See Revision Notes.]</w:t>
            </w:r>
          </w:p>
        </w:tc>
      </w:tr>
      <w:tr>
        <w:tc>
          <w:tcPr>
            <w:tcW w:type="dxa" w:w="1500"/>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6. Runtime Execution</w:t>
            </w:r>
          </w:p>
        </w:tc>
        <w:tc>
          <w:tcPr>
            <w:tcW w:type="dxa" w:w="2900"/>
            <w:tcMar>
              <w:top w:type="dxa" w:w="100"/>
              <w:left w:type="dxa" w:w="120"/>
              <w:bottom w:type="dxa" w:w="100"/>
              <w:right w:type="dxa" w:w="120"/>
            </w:tcMar>
            <w:vAlign w:val="top"/>
          </w:tcPr>
          <w:p>
            <w:pPr>
              <w:spacing w:after="80"/>
            </w:pPr>
            <w:r>
              <w:rPr>
                <w:rFonts w:ascii="Calibri" w:cs="Calibri" w:eastAsia="Calibri" w:hAnsi="Calibri"/>
                <w:sz w:val="22"/>
                <w:szCs w:val="22"/>
              </w:rPr>
              <w:t xml:space="preserve">Zero-click execution via agent plumbing (e.g., GitSpawn — .git/config abusing core.fsmonitor), container breakout.</w:t>
            </w:r>
          </w:p>
          <w:p>
            <w:pPr>
              <w:spacing w:after="80"/>
            </w:pPr>
            <w:r>
              <w:rPr>
                <w:rFonts w:ascii="Calibri" w:cs="Calibri" w:eastAsia="Calibri" w:hAnsi="Calibri"/>
                <w:sz w:val="20"/>
                <w:szCs w:val="20"/>
              </w:rPr>
              <w:t xml:space="preserve">Amazon Kiro “Kiro Powers” — hidden text on a webpage triggers auto-running VS Code tasks to exfiltrate data / execute code (disclosed Aug 27, 2026; AWS acknowledged, no CVE assigned). </w:t>
            </w:r>
            <w:r>
              <w:rPr>
                <w:rFonts w:ascii="Calibri" w:cs="Calibri" w:eastAsia="Calibri" w:hAnsi="Calibri"/>
                <w:i/>
                <w:iCs/>
                <w:color w:val="B45309"/>
                <w:sz w:val="20"/>
                <w:szCs w:val="20"/>
              </w:rPr>
              <w:t xml:space="preserve">[Added — second independent precedent for this failure class. See Revision Notes.]</w:t>
            </w:r>
          </w:p>
        </w:tc>
        <w:tc>
          <w:tcPr>
            <w:tcW w:type="dxa" w:w="2600"/>
            <w:tcMar>
              <w:top w:type="dxa" w:w="100"/>
              <w:left w:type="dxa" w:w="120"/>
              <w:bottom w:type="dxa" w:w="100"/>
              <w:right w:type="dxa" w:w="120"/>
            </w:tcMar>
            <w:vAlign w:val="top"/>
          </w:tcPr>
          <w:p>
            <w:pPr>
              <w:spacing w:after="80"/>
            </w:pPr>
            <w:r>
              <w:rPr>
                <w:rFonts w:ascii="Calibri" w:cs="Calibri" w:eastAsia="Calibri" w:hAnsi="Calibri"/>
                <w:sz w:val="20"/>
                <w:szCs w:val="20"/>
              </w:rPr>
              <w:t xml:space="preserve">VMware ESXi / KVM: Hypervisor infrastructure.</w:t>
            </w:r>
          </w:p>
          <w:p>
            <w:pPr>
              <w:spacing w:after="80"/>
            </w:pPr>
            <w:r>
              <w:rPr>
                <w:rFonts w:ascii="Calibri" w:cs="Calibri" w:eastAsia="Calibri" w:hAnsi="Calibri"/>
                <w:sz w:val="20"/>
                <w:szCs w:val="20"/>
              </w:rPr>
              <w:t xml:space="preserve">CrowdStrike Falcon Guardian </w:t>
            </w:r>
            <w:r>
              <w:rPr>
                <w:rFonts w:ascii="Calibri" w:cs="Calibri" w:eastAsia="Calibri" w:hAnsi="Calibri"/>
                <w:sz w:val="20"/>
                <w:szCs w:val="20"/>
              </w:rPr>
              <w:t xml:space="preserve">(AI Detection &amp; Response — supersedes prior generic “Falcon Sensor” reference): endpoint-level agent access controls and runtime detection/containment for AI agent activity. </w:t>
            </w:r>
            <w:r>
              <w:rPr>
                <w:rFonts w:ascii="Calibri" w:cs="Calibri" w:eastAsia="Calibri" w:hAnsi="Calibri"/>
                <w:i/>
                <w:iCs/>
                <w:color w:val="B45309"/>
                <w:sz w:val="20"/>
                <w:szCs w:val="20"/>
              </w:rPr>
              <w:t xml:space="preserve">[Updated — named product launched Sept 1, 2026, pending independent validation. See Revision Notes.]</w:t>
            </w:r>
          </w:p>
        </w:tc>
        <w:tc>
          <w:tcPr>
            <w:tcW w:type="dxa" w:w="2900"/>
            <w:tcMar>
              <w:top w:type="dxa" w:w="100"/>
              <w:left w:type="dxa" w:w="120"/>
              <w:bottom w:type="dxa" w:w="100"/>
              <w:right w:type="dxa" w:w="120"/>
            </w:tcMar>
            <w:vAlign w:val="top"/>
          </w:tcPr>
          <w:p>
            <w:pPr>
              <w:spacing w:after="80"/>
            </w:pPr>
            <w:r>
              <w:rPr>
                <w:rFonts w:ascii="Calibri" w:cs="Calibri" w:eastAsia="Calibri" w:hAnsi="Calibri"/>
                <w:sz w:val="20"/>
                <w:szCs w:val="20"/>
              </w:rPr>
              <w:t xml:space="preserve">AWS Firecracker microVMs: Hardware-isolated guest kernels.</w:t>
            </w:r>
          </w:p>
          <w:p>
            <w:pPr>
              <w:spacing w:after="80"/>
            </w:pPr>
            <w:r>
              <w:rPr>
                <w:rFonts w:ascii="Calibri" w:cs="Calibri" w:eastAsia="Calibri" w:hAnsi="Calibri"/>
                <w:sz w:val="20"/>
                <w:szCs w:val="20"/>
              </w:rPr>
              <w:t xml:space="preserve">Dev Workstation Pre-Exec Hooks: Disabling ambient git configs (core.fsmonitor=false).</w:t>
            </w:r>
          </w:p>
        </w:tc>
      </w:tr>
      <w:tr>
        <w:tc>
          <w:tcPr>
            <w:tcW w:type="dxa" w:w="1500"/>
            <w:tcMar>
              <w:top w:type="dxa" w:w="100"/>
              <w:left w:type="dxa" w:w="120"/>
              <w:bottom w:type="dxa" w:w="100"/>
              <w:right w:type="dxa" w:w="120"/>
            </w:tcMar>
            <w:vAlign w:val="top"/>
          </w:tcPr>
          <w:p>
            <w:pPr>
              <w:spacing w:after="0"/>
            </w:pPr>
            <w:r>
              <w:rPr>
                <w:rFonts w:ascii="Calibri" w:cs="Calibri" w:eastAsia="Calibri" w:hAnsi="Calibri"/>
                <w:b/>
                <w:bCs/>
                <w:sz w:val="20"/>
                <w:szCs w:val="20"/>
              </w:rPr>
              <w:t xml:space="preserve">7. Operations &amp; Orchestration</w:t>
            </w:r>
          </w:p>
        </w:tc>
        <w:tc>
          <w:tcPr>
            <w:tcW w:type="dxa" w:w="2900"/>
            <w:tcMar>
              <w:top w:type="dxa" w:w="100"/>
              <w:left w:type="dxa" w:w="120"/>
              <w:bottom w:type="dxa" w:w="100"/>
              <w:right w:type="dxa" w:w="120"/>
            </w:tcMar>
            <w:vAlign w:val="top"/>
          </w:tcPr>
          <w:p>
            <w:pPr>
              <w:spacing w:after="80"/>
            </w:pPr>
            <w:r>
              <w:rPr>
                <w:rFonts w:ascii="Calibri" w:cs="Calibri" w:eastAsia="Calibri" w:hAnsi="Calibri"/>
                <w:sz w:val="22"/>
                <w:szCs w:val="22"/>
              </w:rPr>
              <w:t xml:space="preserve">Inter-agent privilege escalation (ASI07), unmonitored agent collusion, cascading failures.</w:t>
            </w:r>
          </w:p>
        </w:tc>
        <w:tc>
          <w:tcPr>
            <w:tcW w:type="dxa" w:w="2600"/>
            <w:tcMar>
              <w:top w:type="dxa" w:w="100"/>
              <w:left w:type="dxa" w:w="120"/>
              <w:bottom w:type="dxa" w:w="100"/>
              <w:right w:type="dxa" w:w="120"/>
            </w:tcMar>
            <w:vAlign w:val="top"/>
          </w:tcPr>
          <w:p>
            <w:pPr>
              <w:spacing w:after="80"/>
            </w:pPr>
            <w:r>
              <w:rPr>
                <w:rFonts w:ascii="Calibri" w:cs="Calibri" w:eastAsia="Calibri" w:hAnsi="Calibri"/>
                <w:sz w:val="20"/>
                <w:szCs w:val="20"/>
              </w:rPr>
              <w:t xml:space="preserve">ServiceNow: Human-in-the-loop (HITL) escalations.</w:t>
            </w:r>
          </w:p>
          <w:p>
            <w:pPr>
              <w:spacing w:after="80"/>
            </w:pPr>
            <w:r>
              <w:rPr>
                <w:rFonts w:ascii="Calibri" w:cs="Calibri" w:eastAsia="Calibri" w:hAnsi="Calibri"/>
                <w:sz w:val="20"/>
                <w:szCs w:val="20"/>
              </w:rPr>
              <w:t xml:space="preserve">Dynatrace / AppDynamics: Distributed APM transaction tracing.</w:t>
            </w:r>
          </w:p>
        </w:tc>
        <w:tc>
          <w:tcPr>
            <w:tcW w:type="dxa" w:w="2900"/>
            <w:tcMar>
              <w:top w:type="dxa" w:w="100"/>
              <w:left w:type="dxa" w:w="120"/>
              <w:bottom w:type="dxa" w:w="100"/>
              <w:right w:type="dxa" w:w="120"/>
            </w:tcMar>
            <w:vAlign w:val="top"/>
          </w:tcPr>
          <w:p>
            <w:pPr>
              <w:spacing w:after="80"/>
            </w:pPr>
            <w:r>
              <w:rPr>
                <w:rFonts w:ascii="Calibri" w:cs="Calibri" w:eastAsia="Calibri" w:hAnsi="Calibri"/>
                <w:sz w:val="20"/>
                <w:szCs w:val="20"/>
              </w:rPr>
              <w:t xml:space="preserve">Langfuse / LangSmith / OpenLLMetry: Telemetry &amp; spans.</w:t>
            </w:r>
          </w:p>
          <w:p>
            <w:pPr>
              <w:spacing w:after="80"/>
            </w:pPr>
            <w:r>
              <w:rPr>
                <w:rFonts w:ascii="Calibri" w:cs="Calibri" w:eastAsia="Calibri" w:hAnsi="Calibri"/>
                <w:sz w:val="20"/>
                <w:szCs w:val="20"/>
              </w:rPr>
              <w:t xml:space="preserve">WORM Storage: Immutable cryptographic agent audit trails.</w:t>
            </w:r>
          </w:p>
        </w:tc>
      </w:tr>
    </w:tbl>
    <w:p>
      <w:r>
        <w:br/>
        <w:t xml:space="preserve"/>
      </w:r>
    </w:p>
    <w:p>
      <w:pPr>
        <w:pStyle w:val="Heading1"/>
        <w:spacing w:after="160" w:before="360"/>
      </w:pPr>
      <w:r>
        <w:rPr>
          <w:rFonts w:ascii="Calibri" w:cs="Calibri" w:eastAsia="Calibri" w:hAnsi="Calibri"/>
          <w:b/>
          <w:bCs/>
          <w:sz w:val="36"/>
          <w:szCs w:val="36"/>
        </w:rPr>
        <w:t xml:space="preserve">4. Agentic Communications, Data Provenance, and Non-Human Identity (NHI)</w:t>
      </w:r>
    </w:p>
    <w:p>
      <w:pPr>
        <w:spacing w:after="160"/>
      </w:pPr>
      <w:r>
        <w:rPr>
          <w:rFonts w:ascii="Calibri" w:cs="Calibri" w:eastAsia="Calibri" w:hAnsi="Calibri"/>
          <w:sz w:val="22"/>
          <w:szCs w:val="22"/>
        </w:rPr>
        <w:t xml:space="preserve">When Agent A delegates tasks to Agent B, perimeter assumptions fail. Systems must enforce cryptographic chain-of-custody across all inter-agent traffic:</w:t>
      </w:r>
    </w:p>
    <w:p>
      <w:pPr>
        <w:pStyle w:val="ListParagraph"/>
        <w:numPr>
          <w:ilvl w:val="0"/>
          <w:numId w:val="2"/>
        </w:numPr>
        <w:spacing w:after="100"/>
      </w:pPr>
      <w:r>
        <w:rPr>
          <w:rFonts w:ascii="Calibri" w:cs="Calibri" w:eastAsia="Calibri" w:hAnsi="Calibri"/>
          <w:b/>
          <w:bCs/>
          <w:sz w:val="22"/>
          <w:szCs w:val="22"/>
        </w:rPr>
        <w:t xml:space="preserve">Cryptographic Identity (No Ambient Authority): </w:t>
      </w:r>
      <w:r>
        <w:rPr>
          <w:rFonts w:ascii="Calibri" w:cs="Calibri" w:eastAsia="Calibri" w:hAnsi="Calibri"/>
          <w:sz w:val="22"/>
          <w:szCs w:val="22"/>
        </w:rPr>
        <w:t xml:space="preserve">Every agent runtime receives a transient workload certificate using SPIFFE/SPIRE or Okta Workload Identity Federation. Static API keys stored in environment variables are strictly prohibited.</w:t>
      </w:r>
    </w:p>
    <w:p>
      <w:pPr>
        <w:pStyle w:val="ListParagraph"/>
        <w:numPr>
          <w:ilvl w:val="0"/>
          <w:numId w:val="2"/>
        </w:numPr>
        <w:spacing w:after="100"/>
      </w:pPr>
      <w:r>
        <w:rPr>
          <w:rFonts w:ascii="Calibri" w:cs="Calibri" w:eastAsia="Calibri" w:hAnsi="Calibri"/>
          <w:b/>
          <w:bCs/>
          <w:sz w:val="22"/>
          <w:szCs w:val="22"/>
        </w:rPr>
        <w:t xml:space="preserve">Capability-Based Attenuation: </w:t>
      </w:r>
      <w:r>
        <w:rPr>
          <w:rFonts w:ascii="Calibri" w:cs="Calibri" w:eastAsia="Calibri" w:hAnsi="Calibri"/>
          <w:sz w:val="22"/>
          <w:szCs w:val="22"/>
        </w:rPr>
        <w:t xml:space="preserve">When delegating to sub-agents, permissions must strictly narrow. Tokens must be cryptographically attenuated (e.g., Macaroons) containing single-use action scopes with a Time-to-Live (TTL) under 120 seconds.</w:t>
      </w:r>
    </w:p>
    <w:p>
      <w:pPr>
        <w:pStyle w:val="ListParagraph"/>
        <w:numPr>
          <w:ilvl w:val="0"/>
          <w:numId w:val="2"/>
        </w:numPr>
        <w:spacing w:after="100"/>
      </w:pPr>
      <w:r>
        <w:rPr>
          <w:rFonts w:ascii="Calibri" w:cs="Calibri" w:eastAsia="Calibri" w:hAnsi="Calibri"/>
          <w:b/>
          <w:bCs/>
          <w:sz w:val="22"/>
          <w:szCs w:val="22"/>
        </w:rPr>
        <w:t xml:space="preserve">Data Provenance &amp; MCP Signatures: </w:t>
      </w:r>
      <w:r>
        <w:rPr>
          <w:rFonts w:ascii="Calibri" w:cs="Calibri" w:eastAsia="Calibri" w:hAnsi="Calibri"/>
          <w:sz w:val="22"/>
          <w:szCs w:val="22"/>
        </w:rPr>
        <w:t xml:space="preserve">All tool outputs passed into an agent's context window must be signed with a SHA-256 HMAC by the enterprise tool proxy. If an agent hallucinates, forges, or alters a database response in its scratchpad, the signature check fails and halts the execution pipeline.</w:t>
      </w:r>
    </w:p>
    <w:p>
      <w:pPr>
        <w:pStyle w:val="ListParagraph"/>
        <w:numPr>
          <w:ilvl w:val="0"/>
          <w:numId w:val="2"/>
        </w:numPr>
        <w:spacing w:after="100"/>
      </w:pPr>
      <w:r>
        <w:rPr>
          <w:rFonts w:ascii="Calibri" w:cs="Calibri" w:eastAsia="Calibri" w:hAnsi="Calibri"/>
          <w:b/>
          <w:bCs/>
          <w:sz w:val="22"/>
          <w:szCs w:val="22"/>
        </w:rPr>
        <w:t xml:space="preserve">AI Gateway Patch Governance: </w:t>
      </w:r>
      <w:r>
        <w:rPr>
          <w:rFonts w:ascii="Calibri" w:cs="Calibri" w:eastAsia="Calibri" w:hAnsi="Calibri"/>
          <w:sz w:val="22"/>
          <w:szCs w:val="22"/>
        </w:rPr>
        <w:t xml:space="preserve">Deploying an MCP proxy is an asset liability, not a static control. Organizations must mandate a 7-day critical patch SLA for all AI proxy layers (e.g., LiteLLM, LangGraph Server) to prevent unauthenticated access to attached enterprise tools.</w:t>
      </w:r>
    </w:p>
    <w:p>
      <w:pPr>
        <w:pStyle w:val="Heading1"/>
        <w:spacing w:after="160" w:before="360"/>
      </w:pPr>
      <w:r>
        <w:rPr>
          <w:rFonts w:ascii="Calibri" w:cs="Calibri" w:eastAsia="Calibri" w:hAnsi="Calibri"/>
          <w:b/>
          <w:bCs/>
          <w:sz w:val="36"/>
          <w:szCs w:val="36"/>
        </w:rPr>
        <w:t xml:space="preserve">5. Architectural Blueprint: The Enterprise Agent Gateway</w:t>
      </w:r>
    </w:p>
    <w:p>
      <w:pPr>
        <w:spacing w:after="160"/>
      </w:pPr>
      <w:r>
        <w:rPr>
          <w:rFonts w:ascii="Calibri" w:cs="Calibri" w:eastAsia="Calibri" w:hAnsi="Calibri"/>
          <w:sz w:val="22"/>
          <w:szCs w:val="22"/>
        </w:rPr>
        <w:t xml:space="preserve">To prevent bypasses like GitSpawn—where an innocent-looking git status or git diff triggered arbitrary attacker code before workspace approval—the Risk Evaluation Engine removes “read operations” from auto-approval lists if they invoke external subshells or environment-configured tooling.</w:t>
      </w:r>
    </w:p>
    <w:p>
      <w:pPr>
        <w:shd w:fill="F2F2F2" w:val="clear"/>
        <w:spacing w:after="160"/>
      </w:pPr>
      <w:r>
        <w:rPr>
          <w:rFonts w:ascii="Consolas" w:cs="Consolas" w:eastAsia="Consolas" w:hAnsi="Consolas"/>
          <w:sz w:val="18"/>
          <w:szCs w:val="18"/>
        </w:rPr>
        <w:t xml:space="preserve">[ Ingress / Prompt Layer ] │ User / API Call passes through Enterprise DLP (Purview / Netskope) ▼ [ Agent Reasoning Core (Untrusted) ] │ Agent generates CoT Scratchpad + Tool Payload ▼ [ Revised Risk Evaluation Engine ] ├── SAFE INTERNAL READ (In-memory AST, isolated file buffer) ──► Pass-Through └── RISKY / SUBPROCESS ACTION (Git, Shell, MCP tool, Network) │ ▼ Route to [ Asymmetric Overseer Model ] ├── Verify Intent Alignment against Root Goal ├── Check for Reward Hacking / Deceptive Obfuscation └── Sanitize Subprocess Environment Flags (e.g., -c core.fsmonitor=false) │ (Approved) ▼ [ Tool &amp; Identity Proxy (LiteLLM / Kong / OPA) ] │ Enforce Patched Gateway SLA (e.g., CVE-2026-59822 mitigation) │ Validate SPIFFE mTLS Workload Certificate &amp; Capability Token ▼ [ Deterministic Isolation Sandbox ] │ Developer Edge: Pre-execution git hooks &amp; workspace jails │ Cloud/Backend: AWS Firecracker microVM (Dedicated Guest Kernel) │ Ephemeral Storage &amp; Default-Deny Network Egress Proxy</w:t>
      </w:r>
    </w:p>
    <w:p>
      <w:pPr>
        <w:pStyle w:val="Heading1"/>
        <w:spacing w:after="160" w:before="360"/>
      </w:pPr>
      <w:r>
        <w:rPr>
          <w:rFonts w:ascii="Calibri" w:cs="Calibri" w:eastAsia="Calibri" w:hAnsi="Calibri"/>
          <w:b/>
          <w:bCs/>
          <w:sz w:val="36"/>
          <w:szCs w:val="36"/>
        </w:rPr>
        <w:t xml:space="preserve">6. Enterprise Phased Implementation Roadmap</w:t>
      </w:r>
    </w:p>
    <w:p>
      <w:pPr>
        <w:pStyle w:val="Heading2"/>
        <w:spacing w:after="120" w:before="280"/>
      </w:pPr>
      <w:r>
        <w:rPr>
          <w:rFonts w:ascii="Calibri" w:cs="Calibri" w:eastAsia="Calibri" w:hAnsi="Calibri"/>
          <w:b/>
          <w:bCs/>
          <w:sz w:val="28"/>
          <w:szCs w:val="28"/>
        </w:rPr>
        <w:t xml:space="preserve">Phase 1: Discovery, NHI Inventory &amp; Outbound Protection (Weeks 1–4)</w:t>
      </w:r>
    </w:p>
    <w:p>
      <w:pPr>
        <w:pStyle w:val="ListParagraph"/>
        <w:numPr>
          <w:ilvl w:val="0"/>
          <w:numId w:val="2"/>
        </w:numPr>
        <w:spacing w:after="100"/>
      </w:pPr>
      <w:r>
        <w:rPr>
          <w:rFonts w:ascii="Calibri" w:cs="Calibri" w:eastAsia="Calibri" w:hAnsi="Calibri"/>
          <w:b/>
          <w:bCs/>
          <w:sz w:val="22"/>
          <w:szCs w:val="22"/>
        </w:rPr>
        <w:t xml:space="preserve">Audit Shadow Agent Workflows: </w:t>
      </w:r>
      <w:r>
        <w:rPr>
          <w:rFonts w:ascii="Calibri" w:cs="Calibri" w:eastAsia="Calibri" w:hAnsi="Calibri"/>
          <w:sz w:val="22"/>
          <w:szCs w:val="22"/>
        </w:rPr>
        <w:t xml:space="preserve">Deploy EDR sensors (CrowdStrike/Defender) to catalog local CLI agents (Claude Code, Cursor, Aider, Windsurf) across developer workstations.</w:t>
      </w:r>
    </w:p>
    <w:p>
      <w:pPr>
        <w:pStyle w:val="ListParagraph"/>
        <w:numPr>
          <w:ilvl w:val="0"/>
          <w:numId w:val="2"/>
        </w:numPr>
        <w:spacing w:after="100"/>
      </w:pPr>
      <w:r>
        <w:rPr>
          <w:rFonts w:ascii="Calibri" w:cs="Calibri" w:eastAsia="Calibri" w:hAnsi="Calibri"/>
          <w:b/>
          <w:bCs/>
          <w:sz w:val="22"/>
          <w:szCs w:val="22"/>
        </w:rPr>
        <w:t xml:space="preserve">Outbound Distillation Defense: </w:t>
      </w:r>
      <w:r>
        <w:rPr>
          <w:rFonts w:ascii="Calibri" w:cs="Calibri" w:eastAsia="Calibri" w:hAnsi="Calibri"/>
          <w:sz w:val="22"/>
          <w:szCs w:val="22"/>
        </w:rPr>
        <w:t xml:space="preserve">Implement API usage anomaly models on external enterprise endpoints (Cloudflare/Akamai). Detect high-frequency, systematically structured prompt extraction campaigns and route suspect accounts to degraded/tarpit responses.</w:t>
      </w:r>
    </w:p>
    <w:p>
      <w:pPr>
        <w:pStyle w:val="ListParagraph"/>
        <w:numPr>
          <w:ilvl w:val="0"/>
          <w:numId w:val="2"/>
        </w:numPr>
        <w:spacing w:after="100"/>
      </w:pPr>
      <w:r>
        <w:rPr>
          <w:rFonts w:ascii="Calibri" w:cs="Calibri" w:eastAsia="Calibri" w:hAnsi="Calibri"/>
          <w:b/>
          <w:bCs/>
          <w:sz w:val="22"/>
          <w:szCs w:val="22"/>
        </w:rPr>
        <w:t xml:space="preserve">Inventory Non-Human Identities (NHI): </w:t>
      </w:r>
      <w:r>
        <w:rPr>
          <w:rFonts w:ascii="Calibri" w:cs="Calibri" w:eastAsia="Calibri" w:hAnsi="Calibri"/>
          <w:sz w:val="22"/>
          <w:szCs w:val="22"/>
        </w:rPr>
        <w:t xml:space="preserve">Deprecate all static API keys in favor of short-lived (1-hour max) workload credentials.</w:t>
      </w:r>
    </w:p>
    <w:p>
      <w:pPr>
        <w:pStyle w:val="ListParagraph"/>
        <w:numPr>
          <w:ilvl w:val="0"/>
          <w:numId w:val="2"/>
        </w:numPr>
        <w:spacing w:after="100"/>
      </w:pPr>
      <w:r>
        <w:rPr>
          <w:rFonts w:ascii="Calibri" w:cs="Calibri" w:eastAsia="Calibri" w:hAnsi="Calibri"/>
          <w:b/>
          <w:bCs/>
          <w:sz w:val="22"/>
          <w:szCs w:val="22"/>
        </w:rPr>
        <w:t xml:space="preserve">Extend Enterprise DLP: </w:t>
      </w:r>
      <w:r>
        <w:rPr>
          <w:rFonts w:ascii="Calibri" w:cs="Calibri" w:eastAsia="Calibri" w:hAnsi="Calibri"/>
          <w:sz w:val="22"/>
          <w:szCs w:val="22"/>
        </w:rPr>
        <w:t xml:space="preserve">Apply regex and embedding classifiers to RAG vector ingestion pipelines and outbound prompt streams.</w:t>
      </w:r>
    </w:p>
    <w:p>
      <w:pPr>
        <w:pStyle w:val="Heading2"/>
        <w:spacing w:after="120" w:before="280"/>
      </w:pPr>
      <w:r>
        <w:rPr>
          <w:rFonts w:ascii="Calibri" w:cs="Calibri" w:eastAsia="Calibri" w:hAnsi="Calibri"/>
          <w:b/>
          <w:bCs/>
          <w:sz w:val="28"/>
          <w:szCs w:val="28"/>
        </w:rPr>
        <w:t xml:space="preserve">Phase 2: Boundary Enforcement &amp; Developer Edge Hardening (Weeks 5–12)</w:t>
      </w:r>
    </w:p>
    <w:p>
      <w:pPr>
        <w:pStyle w:val="ListParagraph"/>
        <w:numPr>
          <w:ilvl w:val="0"/>
          <w:numId w:val="2"/>
        </w:numPr>
        <w:spacing w:after="100"/>
      </w:pPr>
      <w:r>
        <w:rPr>
          <w:rFonts w:ascii="Calibri" w:cs="Calibri" w:eastAsia="Calibri" w:hAnsi="Calibri"/>
          <w:b/>
          <w:bCs/>
          <w:sz w:val="22"/>
          <w:szCs w:val="22"/>
        </w:rPr>
        <w:t xml:space="preserve">Patch the Developer Edge: </w:t>
      </w:r>
      <w:r>
        <w:rPr>
          <w:rFonts w:ascii="Calibri" w:cs="Calibri" w:eastAsia="Calibri" w:hAnsi="Calibri"/>
          <w:sz w:val="22"/>
          <w:szCs w:val="22"/>
        </w:rPr>
        <w:t xml:space="preserve">Remediate CLI agent plumbing vulnerabilities (such as GitSpawn). Force enterprise global git configs via MDM (git config --global core.fsmonitor false) and mandate containerized CLI sandboxes for local agent execution.</w:t>
      </w:r>
    </w:p>
    <w:p>
      <w:pPr>
        <w:pStyle w:val="ListParagraph"/>
        <w:numPr>
          <w:ilvl w:val="0"/>
          <w:numId w:val="2"/>
        </w:numPr>
        <w:spacing w:after="100"/>
      </w:pPr>
      <w:r>
        <w:rPr>
          <w:rFonts w:ascii="Calibri" w:cs="Calibri" w:eastAsia="Calibri" w:hAnsi="Calibri"/>
          <w:b/>
          <w:bCs/>
          <w:sz w:val="22"/>
          <w:szCs w:val="22"/>
        </w:rPr>
        <w:t xml:space="preserve">Cloud Sandboxing: </w:t>
      </w:r>
      <w:r>
        <w:rPr>
          <w:rFonts w:ascii="Calibri" w:cs="Calibri" w:eastAsia="Calibri" w:hAnsi="Calibri"/>
          <w:sz w:val="22"/>
          <w:szCs w:val="22"/>
        </w:rPr>
        <w:t xml:space="preserve">Require all server-side autonomous agent code execution to run inside ephemeral AWS Firecracker microVMs or gVisor runtimes.</w:t>
      </w:r>
    </w:p>
    <w:p>
      <w:pPr>
        <w:pStyle w:val="ListParagraph"/>
        <w:numPr>
          <w:ilvl w:val="0"/>
          <w:numId w:val="2"/>
        </w:numPr>
        <w:spacing w:after="100"/>
      </w:pPr>
      <w:r>
        <w:rPr>
          <w:rFonts w:ascii="Calibri" w:cs="Calibri" w:eastAsia="Calibri" w:hAnsi="Calibri"/>
          <w:b/>
          <w:bCs/>
          <w:sz w:val="22"/>
          <w:szCs w:val="22"/>
        </w:rPr>
        <w:t xml:space="preserve">Deploy Deterministic MCP Proxies: </w:t>
      </w:r>
      <w:r>
        <w:rPr>
          <w:rFonts w:ascii="Calibri" w:cs="Calibri" w:eastAsia="Calibri" w:hAnsi="Calibri"/>
          <w:sz w:val="22"/>
          <w:szCs w:val="22"/>
        </w:rPr>
        <w:t xml:space="preserve">Route all Model Context Protocol calls through hardened, vulnerability-scanned proxies (enforcing a 7-day patch SLA against CISA KEV entries).</w:t>
      </w:r>
    </w:p>
    <w:p>
      <w:pPr>
        <w:pStyle w:val="ListParagraph"/>
        <w:numPr>
          <w:ilvl w:val="0"/>
          <w:numId w:val="2"/>
        </w:numPr>
        <w:spacing w:after="100"/>
      </w:pPr>
      <w:r>
        <w:rPr>
          <w:rFonts w:ascii="Calibri" w:cs="Calibri" w:eastAsia="Calibri" w:hAnsi="Calibri"/>
          <w:b/>
          <w:bCs/>
          <w:sz w:val="22"/>
          <w:szCs w:val="22"/>
        </w:rPr>
        <w:t xml:space="preserve">Egress Lockdown: </w:t>
      </w:r>
      <w:r>
        <w:rPr>
          <w:rFonts w:ascii="Calibri" w:cs="Calibri" w:eastAsia="Calibri" w:hAnsi="Calibri"/>
          <w:sz w:val="22"/>
          <w:szCs w:val="22"/>
        </w:rPr>
        <w:t xml:space="preserve">Default-deny all network egress from agent sandboxes, allowing only explicitly allowlisted enterprise APIs.</w:t>
      </w:r>
    </w:p>
    <w:p>
      <w:pPr>
        <w:pStyle w:val="Heading2"/>
        <w:spacing w:after="120" w:before="280"/>
      </w:pPr>
      <w:r>
        <w:rPr>
          <w:rFonts w:ascii="Calibri" w:cs="Calibri" w:eastAsia="Calibri" w:hAnsi="Calibri"/>
          <w:b/>
          <w:bCs/>
          <w:sz w:val="28"/>
          <w:szCs w:val="28"/>
        </w:rPr>
        <w:t xml:space="preserve">Phase 3: Cognitive Telemetry &amp; Continuous Ingestion (Weeks 13+)</w:t>
      </w:r>
    </w:p>
    <w:p>
      <w:pPr>
        <w:pStyle w:val="ListParagraph"/>
        <w:numPr>
          <w:ilvl w:val="0"/>
          <w:numId w:val="2"/>
        </w:numPr>
        <w:spacing w:after="100"/>
      </w:pPr>
      <w:r>
        <w:rPr>
          <w:rFonts w:ascii="Calibri" w:cs="Calibri" w:eastAsia="Calibri" w:hAnsi="Calibri"/>
          <w:b/>
          <w:bCs/>
          <w:sz w:val="22"/>
          <w:szCs w:val="22"/>
        </w:rPr>
        <w:t xml:space="preserve">Deploy Asymmetric Overseers: </w:t>
      </w:r>
      <w:r>
        <w:rPr>
          <w:rFonts w:ascii="Calibri" w:cs="Calibri" w:eastAsia="Calibri" w:hAnsi="Calibri"/>
          <w:sz w:val="22"/>
          <w:szCs w:val="22"/>
        </w:rPr>
        <w:t xml:space="preserve">Implement risk-gated secondary inspection on agent intermediate scratchpads for all high-privilege tool execution paths.</w:t>
      </w:r>
    </w:p>
    <w:p>
      <w:pPr>
        <w:pStyle w:val="ListParagraph"/>
        <w:numPr>
          <w:ilvl w:val="0"/>
          <w:numId w:val="2"/>
        </w:numPr>
        <w:spacing w:after="100"/>
      </w:pPr>
      <w:r>
        <w:rPr>
          <w:rFonts w:ascii="Calibri" w:cs="Calibri" w:eastAsia="Calibri" w:hAnsi="Calibri"/>
          <w:b/>
          <w:bCs/>
          <w:sz w:val="22"/>
          <w:szCs w:val="22"/>
        </w:rPr>
        <w:t xml:space="preserve">Memory Write Gates (ASI06): </w:t>
      </w:r>
      <w:r>
        <w:rPr>
          <w:rFonts w:ascii="Calibri" w:cs="Calibri" w:eastAsia="Calibri" w:hAnsi="Calibri"/>
          <w:sz w:val="22"/>
          <w:szCs w:val="22"/>
        </w:rPr>
        <w:t xml:space="preserve">Enforce human approval or overseer validation before an agent can write to persistent long-term vector memory stores.</w:t>
      </w:r>
    </w:p>
    <w:p>
      <w:pPr>
        <w:pStyle w:val="ListParagraph"/>
        <w:numPr>
          <w:ilvl w:val="0"/>
          <w:numId w:val="2"/>
        </w:numPr>
        <w:spacing w:after="100"/>
      </w:pPr>
      <w:r>
        <w:rPr>
          <w:rFonts w:ascii="Calibri" w:cs="Calibri" w:eastAsia="Calibri" w:hAnsi="Calibri"/>
          <w:b/>
          <w:bCs/>
          <w:sz w:val="22"/>
          <w:szCs w:val="22"/>
        </w:rPr>
        <w:t xml:space="preserve">Automated Threat Intelligence Ingestion: </w:t>
      </w:r>
      <w:r>
        <w:rPr>
          <w:rFonts w:ascii="Calibri" w:cs="Calibri" w:eastAsia="Calibri" w:hAnsi="Calibri"/>
          <w:sz w:val="22"/>
          <w:szCs w:val="22"/>
        </w:rPr>
        <w:t xml:space="preserve">Integrate an automated monitoring agent that ingests updates from MITRE ATLAS, the OWASP Agentic AI Project (ASI series), and national cybersecurity advisories, automatically opening pull requests to update internal detection rules, git flags, and tool schemas.</w:t>
      </w:r>
    </w:p>
    <w:p>
      <w:r>
        <w:br/>
        <w:t xml:space="preserve"/>
      </w:r>
    </w:p>
    <w:p>
      <w:pPr>
        <w:pStyle w:val="Heading1"/>
        <w:spacing w:after="160" w:before="360"/>
      </w:pPr>
      <w:r>
        <w:rPr>
          <w:rFonts w:ascii="Calibri" w:cs="Calibri" w:eastAsia="Calibri" w:hAnsi="Calibri"/>
          <w:b/>
          <w:bCs/>
          <w:sz w:val="36"/>
          <w:szCs w:val="36"/>
        </w:rPr>
        <w:t xml:space="preserve">7. Regulatory &amp; Compliance Dependencies</w:t>
      </w:r>
    </w:p>
    <w:p>
      <w:pPr>
        <w:spacing w:after="160"/>
      </w:pPr>
      <w:r>
        <w:rPr>
          <w:rFonts w:ascii="Calibri" w:cs="Calibri" w:eastAsia="Calibri" w:hAnsi="Calibri"/>
          <w:i/>
          <w:iCs/>
          <w:color w:val="B45309"/>
          <w:sz w:val="20"/>
          <w:szCs w:val="20"/>
        </w:rPr>
        <w:t xml:space="preserve">[New section — added in this draft revision. See Revision Notes.]</w:t>
      </w:r>
    </w:p>
    <w:p>
      <w:pPr>
        <w:spacing w:after="160"/>
      </w:pPr>
      <w:r>
        <w:rPr>
          <w:rFonts w:ascii="Calibri" w:cs="Calibri" w:eastAsia="Calibri" w:hAnsi="Calibri"/>
          <w:sz w:val="22"/>
          <w:szCs w:val="22"/>
        </w:rPr>
        <w:t xml:space="preserve">Enterprise AI risk is no longer bounded by internal architecture alone: it now includes exposure to the regulatory obligations of upstream frontier model providers. A provider's regulatory filings, risk designations, and any resulting mandated mitigations can flow downstream into enterprise contracts and model behavior with little advance notice.</w:t>
      </w:r>
    </w:p>
    <w:p>
      <w:pPr>
        <w:pStyle w:val="Heading3"/>
        <w:spacing w:after="100" w:before="200"/>
      </w:pPr>
      <w:r>
        <w:rPr>
          <w:rFonts w:ascii="Calibri" w:cs="Calibri" w:eastAsia="Calibri" w:hAnsi="Calibri"/>
          <w:b/>
          <w:bCs/>
          <w:sz w:val="24"/>
          <w:szCs w:val="24"/>
        </w:rPr>
        <w:t xml:space="preserve">EU AI Act — General-Purpose AI (GPAI) Systemic-Risk Obligations</w:t>
      </w:r>
    </w:p>
    <w:p>
      <w:pPr>
        <w:pStyle w:val="ListParagraph"/>
        <w:numPr>
          <w:ilvl w:val="0"/>
          <w:numId w:val="2"/>
        </w:numPr>
        <w:spacing w:after="100"/>
      </w:pPr>
      <w:r>
        <w:rPr>
          <w:rFonts w:ascii="Calibri" w:cs="Calibri" w:eastAsia="Calibri" w:hAnsi="Calibri"/>
          <w:b/>
          <w:bCs/>
          <w:sz w:val="22"/>
          <w:szCs w:val="22"/>
        </w:rPr>
        <w:t xml:space="preserve">Filing Deadline: </w:t>
      </w:r>
      <w:r>
        <w:rPr>
          <w:rFonts w:ascii="Calibri" w:cs="Calibri" w:eastAsia="Calibri" w:hAnsi="Calibri"/>
          <w:sz w:val="22"/>
          <w:szCs w:val="22"/>
        </w:rPr>
        <w:t xml:space="preserve">Providers of general-purpose AI models trained above the 10²⁵ FLOPs threshold must submit their first formal systemic-risk evaluations to the EU AI Office by September 15, 2026.</w:t>
      </w:r>
    </w:p>
    <w:p>
      <w:pPr>
        <w:pStyle w:val="ListParagraph"/>
        <w:numPr>
          <w:ilvl w:val="0"/>
          <w:numId w:val="2"/>
        </w:numPr>
        <w:spacing w:after="100"/>
      </w:pPr>
      <w:r>
        <w:rPr>
          <w:rFonts w:ascii="Calibri" w:cs="Calibri" w:eastAsia="Calibri" w:hAnsi="Calibri"/>
          <w:b/>
          <w:bCs/>
          <w:sz w:val="22"/>
          <w:szCs w:val="22"/>
        </w:rPr>
        <w:t xml:space="preserve">Enforcement Posture: </w:t>
      </w:r>
      <w:r>
        <w:rPr>
          <w:rFonts w:ascii="Calibri" w:cs="Calibri" w:eastAsia="Calibri" w:hAnsi="Calibri"/>
          <w:sz w:val="22"/>
          <w:szCs w:val="22"/>
        </w:rPr>
        <w:t xml:space="preserve">The AI Office handles general-purpose AI models directly — with power to request technical documentation, run evaluations, demand corrective steps, and issue fines — and has added roughly 40 new enforcement staff. Transparency rules (AI-generated content labeling, disclosure that a user is interacting with AI) began enforcement August 2, 2026. The Act's “high-risk system” rules remain delayed to December 2027.</w:t>
      </w:r>
    </w:p>
    <w:p>
      <w:pPr>
        <w:pStyle w:val="ListParagraph"/>
        <w:numPr>
          <w:ilvl w:val="0"/>
          <w:numId w:val="2"/>
        </w:numPr>
        <w:spacing w:after="100"/>
      </w:pPr>
      <w:r>
        <w:rPr>
          <w:rFonts w:ascii="Calibri" w:cs="Calibri" w:eastAsia="Calibri" w:hAnsi="Calibri"/>
          <w:b/>
          <w:bCs/>
          <w:sz w:val="22"/>
          <w:szCs w:val="22"/>
        </w:rPr>
        <w:t xml:space="preserve">Enterprise Action: </w:t>
      </w:r>
      <w:r>
        <w:rPr>
          <w:rFonts w:ascii="Calibri" w:cs="Calibri" w:eastAsia="Calibri" w:hAnsi="Calibri"/>
          <w:sz w:val="22"/>
          <w:szCs w:val="22"/>
        </w:rPr>
        <w:t xml:space="preserve">Confirm which frontier model providers used in-house or via API are subject to the GPAI threshold, and whether they have filed on time. Add a standing vendor-management item: a provider's systemic-risk designation, and any EU-mandated mitigation that follows, is a governance dependency for any client operating in or serving the EU — not solely a legal/contracts concern.</w:t>
      </w:r>
    </w:p>
    <w:p>
      <w:r>
        <w:br/>
        <w:t xml:space="preserve"/>
      </w:r>
    </w:p>
    <w:p>
      <w:pPr>
        <w:pStyle w:val="Heading1"/>
        <w:spacing w:after="160" w:before="360"/>
      </w:pPr>
      <w:r>
        <w:rPr>
          <w:rFonts w:ascii="Calibri" w:cs="Calibri" w:eastAsia="Calibri" w:hAnsi="Calibri"/>
          <w:b/>
          <w:bCs/>
          <w:sz w:val="36"/>
          <w:szCs w:val="36"/>
        </w:rPr>
        <w:t xml:space="preserve">8. Revision Notes</w:t>
      </w:r>
    </w:p>
    <w:p>
      <w:pPr>
        <w:spacing w:after="160"/>
      </w:pPr>
      <w:r>
        <w:rPr>
          <w:rFonts w:ascii="Calibri" w:cs="Calibri" w:eastAsia="Calibri" w:hAnsi="Calibri"/>
          <w:sz w:val="22"/>
          <w:szCs w:val="22"/>
        </w:rPr>
        <w:t xml:space="preserve">Revision 2.1 — DRAFT, prepared </w:t>
      </w:r>
      <w:r>
        <w:rPr>
          <w:rFonts w:ascii="Calibri" w:cs="Calibri" w:eastAsia="Calibri" w:hAnsi="Calibri"/>
          <w:b/>
          <w:bCs/>
          <w:sz w:val="22"/>
          <w:szCs w:val="22"/>
        </w:rPr>
        <w:t xml:space="preserve">September 10, 2026</w:t>
      </w:r>
      <w:r>
        <w:rPr>
          <w:rFonts w:ascii="Calibri" w:cs="Calibri" w:eastAsia="Calibri" w:hAnsi="Calibri"/>
          <w:sz w:val="22"/>
          <w:szCs w:val="22"/>
        </w:rPr>
        <w:t xml:space="preserve"> by the daily AI Security Intelligence Briefing routine. This document has not yet been approved; review the amber-flagged items below before adopting as the version of record. No prior content was removed.</w:t>
      </w:r>
    </w:p>
    <w:p>
      <w:pPr>
        <w:pStyle w:val="ListParagraph"/>
        <w:numPr>
          <w:ilvl w:val="0"/>
          <w:numId w:val="2"/>
        </w:numPr>
        <w:spacing w:after="100"/>
      </w:pPr>
      <w:r>
        <w:rPr>
          <w:rFonts w:ascii="Calibri" w:cs="Calibri" w:eastAsia="Calibri" w:hAnsi="Calibri"/>
          <w:b/>
          <w:bCs/>
          <w:sz w:val="22"/>
          <w:szCs w:val="22"/>
        </w:rPr>
        <w:t xml:space="preserve">Added Section 7 (Regulatory &amp; Compliance Dependencies): </w:t>
      </w:r>
      <w:r>
        <w:rPr>
          <w:rFonts w:ascii="Calibri" w:cs="Calibri" w:eastAsia="Calibri" w:hAnsi="Calibri"/>
          <w:sz w:val="22"/>
          <w:szCs w:val="22"/>
        </w:rPr>
        <w:t xml:space="preserve">the document previously had no regulatory/compliance dimension. Trigger: EU AI Act GPAI systemic-risk filing deadline, Sept 15, 2026. Source: European Commission, Digital Strategy — digital-strategy.ec.europa.eu/en/policies/enforcement-ai-act.</w:t>
      </w:r>
    </w:p>
    <w:p>
      <w:pPr>
        <w:pStyle w:val="ListParagraph"/>
        <w:numPr>
          <w:ilvl w:val="0"/>
          <w:numId w:val="2"/>
        </w:numPr>
        <w:spacing w:after="100"/>
      </w:pPr>
      <w:r>
        <w:rPr>
          <w:rFonts w:ascii="Calibri" w:cs="Calibri" w:eastAsia="Calibri" w:hAnsi="Calibri"/>
          <w:b/>
          <w:bCs/>
          <w:sz w:val="22"/>
          <w:szCs w:val="22"/>
        </w:rPr>
        <w:t xml:space="preserve">Section 3, Row 6 (Runtime Execution) — added precedent: </w:t>
      </w:r>
      <w:r>
        <w:rPr>
          <w:rFonts w:ascii="Calibri" w:cs="Calibri" w:eastAsia="Calibri" w:hAnsi="Calibri"/>
          <w:sz w:val="22"/>
          <w:szCs w:val="22"/>
        </w:rPr>
        <w:t xml:space="preserve">Amazon Kiro “Kiro Powers” hidden-webpage-text RCE/exfiltration disclosure (Aug 27, 2026), as a second independent example of the zero-click agent-plumbing failure class alongside GitSpawn. Source: The Hacker News — thehackernews.com/2026/08/amazon-kiro-prompt-injection-can.html.</w:t>
      </w:r>
    </w:p>
    <w:p>
      <w:pPr>
        <w:pStyle w:val="ListParagraph"/>
        <w:numPr>
          <w:ilvl w:val="0"/>
          <w:numId w:val="2"/>
        </w:numPr>
        <w:spacing w:after="100"/>
      </w:pPr>
      <w:r>
        <w:rPr>
          <w:rFonts w:ascii="Calibri" w:cs="Calibri" w:eastAsia="Calibri" w:hAnsi="Calibri"/>
          <w:b/>
          <w:bCs/>
          <w:sz w:val="22"/>
          <w:szCs w:val="22"/>
        </w:rPr>
        <w:t xml:space="preserve">Section 3, Row 6 (Runtime Execution) — updated tooling: </w:t>
      </w:r>
      <w:r>
        <w:rPr>
          <w:rFonts w:ascii="Calibri" w:cs="Calibri" w:eastAsia="Calibri" w:hAnsi="Calibri"/>
          <w:sz w:val="22"/>
          <w:szCs w:val="22"/>
        </w:rPr>
        <w:t xml:space="preserve">named CrowdStrike Falcon Guardian (AIDR) specifically in place of the generic “Falcon Sensor” reference. Falcon Guardian launched Sept 1, 2026 at Fal.Con — treat as launch-stage until independently validated in the field. Source: crowdstrike.com/en-us/press-releases/crowdstrike-unveils-falcon-guardian-ai-agent-security/.</w:t>
      </w:r>
    </w:p>
    <w:p>
      <w:pPr>
        <w:pStyle w:val="ListParagraph"/>
        <w:numPr>
          <w:ilvl w:val="0"/>
          <w:numId w:val="2"/>
        </w:numPr>
        <w:spacing w:after="100"/>
      </w:pPr>
      <w:r>
        <w:rPr>
          <w:rFonts w:ascii="Calibri" w:cs="Calibri" w:eastAsia="Calibri" w:hAnsi="Calibri"/>
          <w:b/>
          <w:bCs/>
          <w:sz w:val="22"/>
          <w:szCs w:val="22"/>
        </w:rPr>
        <w:t xml:space="preserve">Section 3, Row 5 (Tools &amp; Skills / MCP) — added tooling note: </w:t>
      </w:r>
      <w:r>
        <w:rPr>
          <w:rFonts w:ascii="Calibri" w:cs="Calibri" w:eastAsia="Calibri" w:hAnsi="Calibri"/>
          <w:sz w:val="22"/>
          <w:szCs w:val="22"/>
        </w:rPr>
        <w:t xml:space="preserve">Falcon Guardian's “AI Gateway” module (centralized AI traffic policy incl. MCP), same launch and same validation caveat as above.</w:t>
      </w:r>
    </w:p>
    <w:p>
      <w:pPr>
        <w:pStyle w:val="ListParagraph"/>
        <w:numPr>
          <w:ilvl w:val="0"/>
          <w:numId w:val="2"/>
        </w:numPr>
        <w:spacing w:after="100"/>
      </w:pPr>
      <w:r>
        <w:rPr>
          <w:rFonts w:ascii="Calibri" w:cs="Calibri" w:eastAsia="Calibri" w:hAnsi="Calibri"/>
          <w:b/>
          <w:bCs/>
          <w:sz w:val="22"/>
          <w:szCs w:val="22"/>
        </w:rPr>
        <w:t xml:space="preserve">Not changed — already current: </w:t>
      </w:r>
      <w:r>
        <w:rPr>
          <w:rFonts w:ascii="Calibri" w:cs="Calibri" w:eastAsia="Calibri" w:hAnsi="Calibri"/>
          <w:sz w:val="22"/>
          <w:szCs w:val="22"/>
        </w:rPr>
        <w:t xml:space="preserve">NSA/CISA/FBI distillation advisory (AA26-251A, Sept 8, 2026) and Okta/Entra Workload Identity Federation were both already reflected accurately in Revision 2.0 (Section 3, Row 1 and Row 2 respectively); no edit made.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2026-09-10T20:23:33.981Z</dcterms:created>
  <dcterms:modified xsi:type="dcterms:W3CDTF">2026-09-10T20:23:33.982Z</dcterms:modified>
</cp:coreProperties>
</file>

<file path=docProps/custom.xml><?xml version="1.0" encoding="utf-8"?>
<Properties xmlns="http://schemas.openxmlformats.org/officeDocument/2006/custom-properties" xmlns:vt="http://schemas.openxmlformats.org/officeDocument/2006/docPropsVTypes"/>
</file>