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p>
    <w:bookmarkEnd w:id="22"/>
    <w:bookmarkStart w:id="43" w:name="sec:physiology"/>
    <w:p>
      <w:pPr>
        <w:pStyle w:val="Heading1"/>
      </w:pPr>
      <w:r>
        <w:rPr>
          <w:rStyle w:val="SectionNumber"/>
        </w:rPr>
        <w:t xml:space="preserve">2</w:t>
      </w:r>
      <w:r>
        <w:tab/>
      </w:r>
      <w:r>
        <w:t xml:space="preserve">Physiology of the Motor System</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As our hope is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Specifically, we can use results from prior physiological investigations to ground our perspective on the computations relevant to skilled hand movements. The dexterous solutions produced by the human motor system rely on a incredibly complex architecture. Specifically, we believe that this system’s spectrum of modularity paired with its redundancy in the space of feedback controllers are crucial for its dexterity.</w:t>
      </w:r>
    </w:p>
    <w:bookmarkStart w:id="23"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The number of MUs and their innervation ratios each range from tens to thousands per muscle.</w:t>
      </w:r>
    </w:p>
    <w:p>
      <w:pPr>
        <w:pStyle w:val="BodyText"/>
      </w:pPr>
      <w:r>
        <w:t xml:space="preserve">The motor unit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motor units combine to generate a range of forces</w:t>
      </w:r>
      <w:hyperlink w:anchor="Xfa6370ebd0dadc4bc8befaa8bdaf259a580ed09">
        <w:r>
          <w:rPr>
            <w:rStyle w:val="Hyperlink"/>
            <w:vertAlign w:val="superscript"/>
          </w:rPr>
          <w:t xml:space="preserve">7</w:t>
        </w:r>
      </w:hyperlink>
      <w:r>
        <w:t xml:space="preserve">. Since the innervation ratios of muscles in the forearm and hand are relatively small, the logarithmic recruitment and redundancy of motor units enables the hand to produce movements with very fine spatiotemporal resolution. Paradoxically, however, the well-known signal-dependent noise in models of motor output is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joints of each digit. The fingers are flexed by two muscles, the flexor digitorum superficialis (FDS) and the flexor digitorum profundus (FDP). Like the ED, these muscles produce four tendons, one to each finger from each of their four compartments. Thus, one must coactivate these agonist and antagonist muscles in order to move only a single finger in isolation</w:t>
      </w:r>
      <w:hyperlink w:anchor="Xfa6370ebd0dadc4bc8befaa8bdaf259a580ed09">
        <w:r>
          <w:rPr>
            <w:rStyle w:val="Hyperlink"/>
            <w:vertAlign w:val="superscript"/>
          </w:rPr>
          <w:t xml:space="preserve">7</w:t>
        </w:r>
      </w:hyperlink>
      <w:r>
        <w:t xml:space="preserve">.</w:t>
      </w:r>
    </w:p>
    <w:p>
      <w:pPr>
        <w:pStyle w:val="BodyText"/>
      </w:pPr>
      <w:r>
        <w:t xml:space="preserve">In total, the human hand, thumb, and forearm system contains more than 30 muscles and at least 20 degrees of freedom are theoretically able to be actuated. Nineteen of these muscles are intrinsic, having their origin and insertion points within the hand itself</w:t>
      </w:r>
      <w:hyperlink w:anchor="ref-vanduinenConstraintsControlHuman2011">
        <w:r>
          <w:rPr>
            <w:rStyle w:val="Hyperlink"/>
            <w:vertAlign w:val="superscript"/>
          </w:rPr>
          <w:t xml:space="preserve">9</w:t>
        </w:r>
      </w:hyperlink>
      <w:r>
        <w:t xml:space="preserve">. Due to biomechanical coupling, the effective degrees of freedom is less 20, though an exact count is difficult due to the complexity of the anatomical structure of the hand’s tendon network. One study showed that tendons of the fingers are arranged in such a way as to perform a kind of logical computation which expands the mechanical capabilities of the appendage by sharing force across its tendons</w:t>
      </w:r>
      <w:hyperlink w:anchor="ref-Valero-Cuevas2007">
        <w:r>
          <w:rPr>
            <w:rStyle w:val="Hyperlink"/>
            <w:vertAlign w:val="superscript"/>
          </w:rPr>
          <w:t xml:space="preserve">10</w:t>
        </w:r>
      </w:hyperlink>
      <w:r>
        <w:t xml:space="preserve">.</w:t>
      </w:r>
    </w:p>
    <w:p>
      <w:pPr>
        <w:pStyle w:val="BodyText"/>
      </w:pPr>
      <w:r>
        <w:t xml:space="preserve">Studies have attempted to quantify the number of effective degrees of freedom of the hand with various methods. This has primarily been taken to mean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11</w:t>
        </w:r>
      </w:hyperlink>
      <w:r>
        <w:rPr>
          <w:vertAlign w:val="superscript"/>
        </w:rPr>
        <w:t xml:space="preserve">,</w:t>
      </w:r>
      <w:hyperlink w:anchor="ref-yanUnexpectedComplexityEveryday2020">
        <w:r>
          <w:rPr>
            <w:rStyle w:val="Hyperlink"/>
            <w:vertAlign w:val="superscript"/>
          </w:rPr>
          <w:t xml:space="preserve">12</w:t>
        </w:r>
      </w:hyperlink>
      <w:r>
        <w:t xml:space="preserve">. These methods have resulted in various interpretations between 2 and 8 fundamental hand features. Overall, however, there is agreement in the literally that the effective number of degrees of freedom is markedly less than the theoretical maximum number. Whether this is due to hardwired upstream constraints or evidence of a motor control strategy remains debated.</w:t>
      </w:r>
    </w:p>
    <w:p>
      <w:pPr>
        <w:pStyle w:val="BodyText"/>
      </w:pPr>
      <w:r>
        <w:t xml:space="preserve">From our brief tour of the anatomy, we have seen how the motor system is highly distributed. We believe this structure exists in order to facilitate the adaptation and learning of new movements in a range of contexts. We don’t take the fact that there are a small number of linear features of joint angles and velocities across behaviors to mean that humans are not capable of learning a wide range of motor outputs given the requisite feedback and training. The production of this variety lies in the motor system’s ability to wield muscle coactivations, hardwired or not, as well as its ability to individuate movements in specific instances which require it.</w:t>
      </w:r>
    </w:p>
    <w:p>
      <w:pPr>
        <w:pStyle w:val="BodyText"/>
      </w:pPr>
      <w:r>
        <w:t xml:space="preserve">For example, skilled piano performers have been found to exhibit a higher degree of independent movement among the fingers compared to control participants. Control groups displayed a hierarchical, presumably low-dimensional, organization of finger movement patterns, while pianists showed distinct but individuated movement patterns</w:t>
      </w:r>
      <w:hyperlink w:anchor="X4dc00dedced9f9ba3323772d0f56701b6c4a75d">
        <w:r>
          <w:rPr>
            <w:rStyle w:val="Hyperlink"/>
            <w:vertAlign w:val="superscript"/>
          </w:rPr>
          <w:t xml:space="preserve">13</w:t>
        </w:r>
      </w:hyperlink>
      <w:r>
        <w:t xml:space="preserve"> </w:t>
      </w:r>
      <w:r>
        <w:t xml:space="preserve">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Of course, this could imply a development lateralization, but use-dependent plasticity due to greater precision grip behavior of the dominant hand is a viable explanation</w:t>
      </w:r>
      <w:hyperlink w:anchor="Xfa6370ebd0dadc4bc8befaa8bdaf259a580ed09">
        <w:r>
          <w:rPr>
            <w:rStyle w:val="Hyperlink"/>
            <w:vertAlign w:val="superscript"/>
          </w:rPr>
          <w:t xml:space="preserve">7</w:t>
        </w:r>
      </w:hyperlink>
      <w:r>
        <w:t xml:space="preserve">.</w:t>
      </w:r>
    </w:p>
    <w:p>
      <w:pPr>
        <w:pStyle w:val="BodyText"/>
      </w:pPr>
      <w:r>
        <w:t xml:space="preserve">Overall, we are interested in investigating…</w:t>
      </w:r>
    </w:p>
    <w:bookmarkEnd w:id="23"/>
    <w:bookmarkStart w:id="26" w:name="the-redundancy-problem"/>
    <w:p>
      <w:pPr>
        <w:pStyle w:val="Heading2"/>
      </w:pPr>
      <w:r>
        <w:rPr>
          <w:rStyle w:val="SectionNumber"/>
        </w:rPr>
        <w:t xml:space="preserve">2.2</w:t>
      </w:r>
      <w:r>
        <w:tab/>
      </w:r>
      <w:r>
        <w:t xml:space="preserve">The Redundancy Problem</w:t>
      </w:r>
    </w:p>
    <w:p>
      <w:pPr>
        <w:pStyle w:val="FirstParagraph"/>
      </w:pPr>
      <w:r>
        <w:t xml:space="preserve">Just as many fibers may be innervated by a single AMN, many supraspinal neurons act on single AMNs, either directly through corticomotoneuronal connections or through a variety of spinal interneuron circuits.</w:t>
      </w:r>
    </w:p>
    <w:p>
      <w:pPr>
        <w:pStyle w:val="BodyText"/>
      </w:pPr>
      <w:r>
        <w:t xml:space="preserve">The spinal cord’s neuronal organization is based on relatively rigid muscular synergies, and a mechanism to fractionate this is of particular importance for the muscles of the hands and digits which may need to be employed in a variety of flexible associations during voluntary movements. Corticomotoneuronal connections offers the primate motor system a method of such fractionating.</w:t>
      </w:r>
    </w:p>
    <w:p>
      <w:pPr>
        <w:pStyle w:val="BodyText"/>
      </w:pPr>
      <w:r>
        <w:t xml:space="preserve">Rathelot and Strick have found subdivisions of primary motor cortex</w:t>
      </w:r>
    </w:p>
    <w:bookmarkStart w:id="24" w:name="synergies"/>
    <w:p>
      <w:pPr>
        <w:pStyle w:val="Heading3"/>
      </w:pPr>
      <w:r>
        <w:rPr>
          <w:rStyle w:val="SectionNumber"/>
        </w:rPr>
        <w:t xml:space="preserve">2.2.1</w:t>
      </w:r>
      <w:r>
        <w:tab/>
      </w:r>
      <w:r>
        <w:t xml:space="preserve">Synergies</w:t>
      </w:r>
    </w:p>
    <w:p>
      <w:pPr>
        <w:pStyle w:val="BlockText"/>
      </w:pPr>
      <w:r>
        <w:t xml:space="preserve">We have some idea as to the intricate design of the puppet and the puppet strings, but we lack insight into the mind of the puppeteer. (Bizzi and Ajemian 2020)</w:t>
      </w:r>
    </w:p>
    <w:p>
      <w:pPr>
        <w:pStyle w:val="FirstParagraph"/>
      </w:pPr>
      <w:r>
        <w:t xml:space="preserve">A considerable amount of research has focused on the existence of synergies as a simplifying structure in the motor system. While we do not deny the existence of synergistic muscle coactivation and constraints existent in the architecture of the hand and its control system, we believe that the concept of synergies is often attributed to the process of motor control as opposed to a straightforward structural constraint.</w:t>
      </w:r>
    </w:p>
    <w:p>
      <w:pPr>
        <w:pStyle w:val="BodyText"/>
      </w:pPr>
      <w:r>
        <w:t xml:space="preserve">In one study,</w:t>
      </w:r>
      <w:r>
        <w:t xml:space="preserve"> </w:t>
      </w:r>
      <w:r>
        <w:t xml:space="preserve">“</w:t>
      </w:r>
      <w:r>
        <w:t xml:space="preserve">synergies</w:t>
      </w:r>
      <w:r>
        <w:t xml:space="preserve">”</w:t>
      </w:r>
      <w:r>
        <w:t xml:space="preserve"> </w:t>
      </w:r>
      <w:r>
        <w:t xml:space="preserve">changed over the course of the experiment as subjects adapted to the novel perturbation. This is very promising.</w:t>
      </w:r>
    </w:p>
    <w:p>
      <w:pPr>
        <w:pStyle w:val="BodyText"/>
      </w:pPr>
      <w:r>
        <w:t xml:space="preserve">Our definition of synergy is simply a sequence of coordinated muscle activations. It has been shown that this arises spontaneously through an optimal feeback control system which contains redundancy.</w:t>
      </w:r>
    </w:p>
    <w:bookmarkEnd w:id="24"/>
    <w:bookmarkStart w:id="25" w:name="motor-maps"/>
    <w:p>
      <w:pPr>
        <w:pStyle w:val="Heading3"/>
      </w:pPr>
      <w:r>
        <w:rPr>
          <w:rStyle w:val="SectionNumber"/>
        </w:rPr>
        <w:t xml:space="preserve">2.2.2</w:t>
      </w:r>
      <w:r>
        <w:tab/>
      </w:r>
      <w:r>
        <w:t xml:space="preserve">Motor Maps</w:t>
      </w:r>
    </w:p>
    <w:p>
      <w:pPr>
        <w:pStyle w:val="FirstParagraph"/>
      </w:pPr>
      <w:r>
        <w:rPr>
          <w:bCs/>
          <w:b/>
        </w:rPr>
        <w:t xml:space="preserve">A traditional view of the neuronal machinery of movement control is that activity at a site in motor cortex propagates down a fixed pathway through the spinal cord, activating a set of muscles. Based on our stimulation results, however, the underlying mechanism seems to be less of a simple feed-forward pathway and more of a network. The effect of the network is to create a specific class of mapping from the cortex to the muscles, a mapping that can change continuously on the basis of feedback about the state of the periphery. If the periphery is relatively still, the mapping from cortex to muscles appears fixed and resembles the traditional view. But once the state of the periphery is allowed to vary as in natural movement, the mapping from cortex to muscles becomes somewhat fluid in a manner that facilitates complex movement control.</w:t>
      </w:r>
      <w:r>
        <w:t xml:space="preserve"> </w:t>
      </w:r>
      <w:r>
        <w:t xml:space="preserve">(Graziano 2010)</w:t>
      </w:r>
    </w:p>
    <w:bookmarkEnd w:id="25"/>
    <w:bookmarkEnd w:id="26"/>
    <w:bookmarkStart w:id="42" w:name="bibliography"/>
    <w:p>
      <w:pPr>
        <w:pStyle w:val="Heading2"/>
      </w:pPr>
      <w:r>
        <w:t xml:space="preserve">Bibliography</w:t>
      </w:r>
    </w:p>
    <w:bookmarkStart w:id="41" w:name="refs"/>
    <w:bookmarkStart w:id="27"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27"/>
    <w:bookmarkStart w:id="28"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28"/>
    <w:bookmarkStart w:id="29"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29"/>
    <w:bookmarkStart w:id="31"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30">
        <w:r>
          <w:rPr>
            <w:rStyle w:val="Hyperlink"/>
          </w:rPr>
          <w:t xml:space="preserve">10.1038/s41586-019-1869-9</w:t>
        </w:r>
      </w:hyperlink>
      <w:r>
        <w:t xml:space="preserve">.</w:t>
      </w:r>
    </w:p>
    <w:bookmarkEnd w:id="31"/>
    <w:bookmarkStart w:id="32"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32"/>
    <w:bookmarkStart w:id="33"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33"/>
    <w:bookmarkStart w:id="34"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34"/>
    <w:bookmarkStart w:id="35"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35"/>
    <w:bookmarkStart w:id="36"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36"/>
    <w:bookmarkStart w:id="37"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37"/>
    <w:bookmarkStart w:id="38" w:name="ref-Ingram2009"/>
    <w:p>
      <w:pPr>
        <w:pStyle w:val="Bibliography"/>
      </w:pPr>
      <w:r>
        <w:t xml:space="preserve">11.</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38"/>
    <w:bookmarkStart w:id="39" w:name="ref-yanUnexpectedComplexityEveryday2020"/>
    <w:p>
      <w:pPr>
        <w:pStyle w:val="Bibliography"/>
      </w:pPr>
      <w:r>
        <w:t xml:space="preserve">12.</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39"/>
    <w:bookmarkStart w:id="40" w:name="X4dc00dedced9f9ba3323772d0f56701b6c4a75d"/>
    <w:p>
      <w:pPr>
        <w:pStyle w:val="Bibliography"/>
      </w:pPr>
      <w:r>
        <w:t xml:space="preserve">13.</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38/s41586-019-1869-9"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38/s41586-019-18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2021-01-27T18:36:46Z</dcterms:created>
  <dcterms:modified xsi:type="dcterms:W3CDTF">2021-01-27T18:36:46Z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../assets/bibliography.bib</vt:lpwstr>
  </property>
  <property fmtid="{D5CDD505-2E9C-101B-9397-08002B2CF9AE}" pid="3" name="csl">
    <vt:lpwstr>../assets/nature.csl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