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0E038E">
        <w:rPr>
          <w:lang w:val="en-GB"/>
        </w:rPr>
        <w:t>contrasts</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93075D" w:rsidRPr="00EB1B98">
        <w:rPr>
          <w:i w:val="0"/>
          <w:iCs/>
          <w:lang w:val="en-GB"/>
        </w:rPr>
        <w:t xml:space="preserve"> Subwoofer</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End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366457" w:rsidRPr="00366457">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End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366457" w:rsidRPr="00366457">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F842B8" w:rsidP="00092EB2">
      <w:pPr>
        <w:pStyle w:val="BodyText"/>
        <w:spacing w:line="12pt" w:lineRule="auto"/>
        <w:contextualSpacing/>
        <w:rPr>
          <w:lang w:val="en-GB"/>
        </w:rPr>
      </w:pPr>
      <w:r>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feedback loop. </w:t>
      </w:r>
      <w:r w:rsidR="009E3023">
        <w:rPr>
          <w:lang w:val="en-GB"/>
        </w:rPr>
        <w:t>Some parameters can be measured from the subwoofer as it operates and controlled against the input signal to try to make the subwoofer’s performance track the input signal as closely as possible</w:t>
      </w:r>
      <w:r w:rsidR="00431426">
        <w:rPr>
          <w:lang w:val="en-GB"/>
        </w:rPr>
        <w:t>.</w:t>
      </w:r>
    </w:p>
    <w:p w:rsidR="00000506" w:rsidRDefault="00000506" w:rsidP="00000506">
      <w:pPr>
        <w:pStyle w:val="BodyText"/>
        <w:spacing w:line="12pt" w:lineRule="auto"/>
        <w:contextualSpacing/>
        <w:rPr>
          <w:lang w:val="en-GB"/>
        </w:rPr>
      </w:pPr>
      <w:r w:rsidRPr="00DC6052">
        <w:rPr>
          <w:noProof/>
          <w:color w:val="FF0000"/>
        </w:rPr>
        <w:drawing>
          <wp:anchor distT="0" distB="0" distL="114300" distR="114300" simplePos="0" relativeHeight="251659264" behindDoc="0" locked="0" layoutInCell="1" allowOverlap="1" wp14:anchorId="7A86CB8F" wp14:editId="203C1DF1">
            <wp:simplePos x="0" y="0"/>
            <wp:positionH relativeFrom="column">
              <wp:posOffset>-87292</wp:posOffset>
            </wp:positionH>
            <wp:positionV relativeFrom="paragraph">
              <wp:posOffset>451241</wp:posOffset>
            </wp:positionV>
            <wp:extent cx="3152775" cy="107823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078230"/>
                      <a:chOff x="10667" y="-105756"/>
                      <a:chExt cx="5563175" cy="1902642"/>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1902642"/>
                          <a:chOff x="10667" y="-105756"/>
                          <a:chExt cx="5563175" cy="1902642"/>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1902642"/>
                            <a:chOff x="-3435" y="-34743"/>
                            <a:chExt cx="3281792" cy="1123157"/>
                          </a:xfrm>
                        </wp:grpSpPr>
                        <wp:wsp>
                          <wp:cNvPr id="242" name="Text Box 242"/>
                          <wp:cNvSpPr txBox="1"/>
                          <wp:spPr>
                            <a:xfrm>
                              <a:off x="929786" y="-34743"/>
                              <a:ext cx="328816" cy="345323"/>
                            </a:xfrm>
                            <a:prstGeom prst="rect">
                              <a:avLst/>
                            </a:prstGeom>
                            <a:noFill/>
                            <a:ln w="9525">
                              <a:noFill/>
                            </a:ln>
                          </wp:spPr>
                          <wp:txbx>
                            <wne:txbxContent>
                              <w:p w:rsidR="006B4930" w:rsidRPr="006B4930" w:rsidRDefault="00D2208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6B4930" w:rsidRPr="006B4930" w:rsidRDefault="00D2208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6B4930" w:rsidRPr="006B4930" w:rsidRDefault="00D2208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6B4930" w:rsidRPr="006B4930" w:rsidRDefault="006B4930"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856892"/>
                              <a:ext cx="3260972" cy="231522"/>
                            </a:xfrm>
                            <a:prstGeom prst="rect">
                              <a:avLst/>
                            </a:prstGeom>
                            <a:noFill/>
                            <a:ln w="9525">
                              <a:noFill/>
                            </a:ln>
                          </wp:spPr>
                          <wp:txbx>
                            <wne:txbxContent>
                              <w:p w:rsidR="006B4930" w:rsidRPr="006B4930" w:rsidRDefault="006B4930" w:rsidP="006B4930">
                                <w:pPr>
                                  <w:rPr>
                                    <w:sz w:val="16"/>
                                    <w:szCs w:val="16"/>
                                  </w:rPr>
                                </w:pPr>
                                <w:r w:rsidRPr="006B4930">
                                  <w:rPr>
                                    <w:sz w:val="16"/>
                                    <w:szCs w:val="16"/>
                                  </w:rPr>
                                  <w:t xml:space="preserve">Fig. </w:t>
                                </w:r>
                                <w:r w:rsidR="00A126B7">
                                  <w:rPr>
                                    <w:sz w:val="16"/>
                                    <w:szCs w:val="16"/>
                                  </w:rPr>
                                  <w:t>1</w:t>
                                </w:r>
                                <w:r w:rsidRPr="006B4930">
                                  <w:rPr>
                                    <w:sz w:val="16"/>
                                    <w:szCs w:val="16"/>
                                  </w:rPr>
                                  <w:t xml:space="preserve"> </w:t>
                                </w:r>
                                <w:r w:rsidR="00431426">
                                  <w:rPr>
                                    <w:sz w:val="16"/>
                                    <w:szCs w:val="16"/>
                                  </w:rPr>
                                  <w:t>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6B4930" w:rsidRPr="006B4930" w:rsidRDefault="00D22088"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6B4930" w:rsidRPr="006B4930" w:rsidRDefault="00D22088"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6B4930" w:rsidRPr="006B4930" w:rsidRDefault="00D22088"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6B4930" w:rsidRPr="006B4930" w:rsidRDefault="00D22088"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6B4930" w:rsidRPr="006B4930" w:rsidRDefault="00D22088"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45732F">
        <w:rPr>
          <w:lang w:val="en-GB"/>
        </w:rPr>
        <w:t xml:space="preserve">Using electronic controllers is much cheaper for manufacturers to design and build, as controllers can be simulated easily and quickly compared to </w:t>
      </w:r>
      <w:r w:rsidR="000B7E33">
        <w:rPr>
          <w:lang w:val="en-GB"/>
        </w:rPr>
        <w:t xml:space="preserve">iterating through </w:t>
      </w:r>
      <w:r w:rsidR="000B7E33">
        <w:rPr>
          <w:lang w:val="en-GB"/>
        </w:rPr>
        <w:t xml:space="preserve">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Loudspeaker Theory</w:t>
      </w:r>
    </w:p>
    <w:p w:rsidR="009303D9" w:rsidRPr="005C48CD" w:rsidRDefault="00DF01FC" w:rsidP="00092EB2">
      <w:pPr>
        <w:pStyle w:val="Heading2"/>
        <w:contextualSpacing/>
        <w:rPr>
          <w:noProof w:val="0"/>
          <w:lang w:val="en-GB"/>
        </w:rPr>
      </w:pPr>
      <w:r>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The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Pr="00AB7ADB">
        <w:rPr>
          <w:lang w:val="en-GB"/>
        </w:rPr>
        <w:t xml:space="preserve">. The mechanical circuit represents the mass of the cone and air, the spring property of the 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End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366457">
            <w:rPr>
              <w:noProof/>
              <w:lang w:val="en-GB"/>
            </w:rPr>
            <w:t xml:space="preserve"> </w:t>
          </w:r>
          <w:r w:rsidR="00366457" w:rsidRPr="00366457">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CB6028"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m:t>
              </m:r>
              <m:r>
                <w:rPr>
                  <w:rFonts w:ascii="Cambria Math" w:hAnsi="Cambria Math"/>
                  <w:lang w:val="en-GB"/>
                </w:rPr>
                <m:t xml:space="preserve"> </m:t>
              </m:r>
              <m:r>
                <w:rPr>
                  <w:rFonts w:ascii="Cambria Math" w:hAnsi="Cambria Math"/>
                  <w:lang w:val="en-GB"/>
                </w:rPr>
                <m:t>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000506" w:rsidRDefault="00AB7ADB" w:rsidP="00000506">
      <w:pPr>
        <w:pStyle w:val="BodyText"/>
        <w:spacing w:line="12pt" w:lineRule="auto"/>
        <w:contextualSpacing/>
        <w:rPr>
          <w:lang w:val="en-GB"/>
        </w:rPr>
      </w:pPr>
      <w:r w:rsidRPr="00AB7ADB">
        <w:rPr>
          <w:lang w:val="en-GB"/>
        </w:rPr>
        <w:t xml:space="preserve">An enclosure represents an additional mechanical resistance </w:t>
      </w:r>
      <w:r w:rsidRPr="00E82A78">
        <w:rPr>
          <w:i/>
          <w:iCs/>
          <w:lang w:val="en-GB"/>
        </w:rPr>
        <w:t>R</w:t>
      </w:r>
      <w:r w:rsidRPr="00E82A78">
        <w:rPr>
          <w:i/>
          <w:iCs/>
          <w:vertAlign w:val="subscript"/>
          <w:lang w:val="en-GB"/>
        </w:rPr>
        <w:t>B</w:t>
      </w:r>
      <w:r w:rsidRPr="00AB7ADB">
        <w:rPr>
          <w:lang w:val="en-GB"/>
        </w:rPr>
        <w:t xml:space="preserve">, since the loudspeaker is now affixed to a non-moving mounting face. The compression of air behind the speaker that the box stiffens the cone suspension, thereby decreasing compliance, which is represented as an additional equivalent </w:t>
      </w:r>
      <w:r w:rsidR="00E357A4">
        <w:rPr>
          <w:lang w:val="en-GB"/>
        </w:rPr>
        <w:t xml:space="preserve">parallel </w:t>
      </w:r>
      <w:r w:rsidRPr="00AB7ADB">
        <w:rPr>
          <w:lang w:val="en-GB"/>
        </w:rPr>
        <w:t xml:space="preserve">inductance </w:t>
      </w:r>
      <w:r w:rsidRPr="00E82A78">
        <w:rPr>
          <w:i/>
          <w:iCs/>
          <w:lang w:val="en-GB"/>
        </w:rPr>
        <w:t>C</w:t>
      </w:r>
      <w:r w:rsidRPr="00E82A78">
        <w:rPr>
          <w:i/>
          <w:iCs/>
          <w:vertAlign w:val="subscript"/>
          <w:lang w:val="en-GB"/>
        </w:rPr>
        <w:t>B</w:t>
      </w:r>
      <w:r w:rsidR="00E357A4">
        <w:rPr>
          <w:lang w:val="en-GB"/>
        </w:rPr>
        <w:t xml:space="preserve"> (adding inductors together in parallel decreases the total inductance)</w:t>
      </w:r>
      <w:r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Pr="00EA34EA">
        <w:rPr>
          <w:lang w:val="en-GB"/>
        </w:rPr>
        <w:t>r</w:t>
      </w:r>
      <w:r w:rsidRPr="00AB7ADB">
        <w:rPr>
          <w:lang w:val="en-GB"/>
        </w:rPr>
        <w:t>epresents the final add</w:t>
      </w:r>
      <w:r w:rsidR="003667C4">
        <w:rPr>
          <w:lang w:val="en-GB"/>
        </w:rPr>
        <w:t>i</w:t>
      </w:r>
      <w:r w:rsidRPr="00AB7ADB">
        <w:rPr>
          <w:lang w:val="en-GB"/>
        </w:rPr>
        <w:t>tions to the equivalent electromechanical circuit that are relevant from a design perspective</w:t>
      </w:r>
      <w:r w:rsidR="00393719">
        <w:rPr>
          <w:lang w:val="en-GB"/>
        </w:rPr>
        <w:t xml:space="preserve">. </w:t>
      </w:r>
      <w:r w:rsidRPr="00AB7ADB">
        <w:rPr>
          <w:lang w:val="en-GB"/>
        </w:rPr>
        <w:t xml:space="preserve">Fig. </w:t>
      </w:r>
      <w:r w:rsidR="00815E9B">
        <w:rPr>
          <w:lang w:val="en-GB"/>
        </w:rPr>
        <w:t>1</w:t>
      </w:r>
      <w:r w:rsidRPr="00AB7ADB">
        <w:rPr>
          <w:lang w:val="en-GB"/>
        </w:rPr>
        <w:t xml:space="preserve"> </w:t>
      </w:r>
      <w:sdt>
        <w:sdtPr>
          <w:rPr>
            <w:lang w:val="en-GB"/>
          </w:rPr>
          <w:id w:val="1657331019"/>
          <w:citation/>
        </w:sdtPr>
        <w:sdtEnd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366457" w:rsidRPr="00366457">
            <w:rPr>
              <w:noProof/>
              <w:lang w:val="en-GB"/>
            </w:rPr>
            <w:t>[5]</w:t>
          </w:r>
          <w:r w:rsidR="00815E9B">
            <w:rPr>
              <w:lang w:val="en-GB"/>
            </w:rPr>
            <w:fldChar w:fldCharType="end"/>
          </w:r>
        </w:sdtContent>
      </w:sdt>
      <w:r w:rsidR="00815E9B">
        <w:rPr>
          <w:lang w:val="en-GB"/>
        </w:rPr>
        <w:t xml:space="preserve"> </w:t>
      </w:r>
      <w:r w:rsidRPr="00AB7ADB">
        <w:rPr>
          <w:lang w:val="en-GB"/>
        </w:rPr>
        <w:t>shows the final equivalent circuit used for the project</w:t>
      </w:r>
      <w:r w:rsidR="00815E9B">
        <w:rPr>
          <w:lang w:val="en-GB"/>
        </w:rPr>
        <w:t>.</w:t>
      </w:r>
    </w:p>
    <w:p w:rsidR="00924DAC" w:rsidRPr="00924DAC" w:rsidRDefault="00C666D3" w:rsidP="00000506">
      <w:pPr>
        <w:pStyle w:val="Heading2"/>
        <w:contextualSpacing/>
        <w:rPr>
          <w:noProof w:val="0"/>
          <w:lang w:val="en-GB"/>
        </w:rPr>
      </w:pPr>
      <w:r>
        <w:rPr>
          <w:noProof w:val="0"/>
          <w:lang w:val="en-GB"/>
        </w:rPr>
        <w:t>System Diagram and Classification</w:t>
      </w:r>
    </w:p>
    <w:p w:rsidR="003E678A" w:rsidRDefault="00CE41E2" w:rsidP="00D96E65">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EndPr/>
        <w:sdtContent>
          <w:r>
            <w:rPr>
              <w:lang w:val="en-GB"/>
            </w:rPr>
            <w:fldChar w:fldCharType="begin"/>
          </w:r>
          <w:r>
            <w:rPr>
              <w:lang w:val="en-GB"/>
            </w:rPr>
            <w:instrText xml:space="preserve">CITATION Cat85 \l en-GB </w:instrText>
          </w:r>
          <w:r>
            <w:rPr>
              <w:lang w:val="en-GB"/>
            </w:rPr>
            <w:fldChar w:fldCharType="separate"/>
          </w:r>
          <w:r w:rsidR="00366457" w:rsidRPr="00366457">
            <w:rPr>
              <w:noProof/>
              <w:lang w:val="en-GB"/>
            </w:rPr>
            <w:t>[6]</w:t>
          </w:r>
          <w:r>
            <w:rPr>
              <w:lang w:val="en-GB"/>
            </w:rPr>
            <w:fldChar w:fldCharType="end"/>
          </w:r>
        </w:sdtContent>
      </w:sdt>
      <w:sdt>
        <w:sdtPr>
          <w:rPr>
            <w:lang w:val="en-GB"/>
          </w:rPr>
          <w:id w:val="-222762497"/>
          <w:citation/>
        </w:sdtPr>
        <w:sdtEndPr/>
        <w:sdtContent>
          <w:r>
            <w:rPr>
              <w:lang w:val="en-GB"/>
            </w:rPr>
            <w:fldChar w:fldCharType="begin"/>
          </w:r>
          <w:r>
            <w:rPr>
              <w:lang w:val="en-GB"/>
            </w:rPr>
            <w:instrText xml:space="preserve"> CITATION Yay05 \l en-GB </w:instrText>
          </w:r>
          <w:r>
            <w:rPr>
              <w:lang w:val="en-GB"/>
            </w:rPr>
            <w:fldChar w:fldCharType="separate"/>
          </w:r>
          <w:r w:rsidR="00366457">
            <w:rPr>
              <w:noProof/>
              <w:lang w:val="en-GB"/>
            </w:rPr>
            <w:t xml:space="preserve"> </w:t>
          </w:r>
          <w:r w:rsidR="00366457" w:rsidRPr="00366457">
            <w:rPr>
              <w:noProof/>
              <w:lang w:val="en-GB"/>
            </w:rPr>
            <w:t>[7]</w:t>
          </w:r>
          <w:r>
            <w:rPr>
              <w:lang w:val="en-GB"/>
            </w:rPr>
            <w:fldChar w:fldCharType="end"/>
          </w:r>
        </w:sdtContent>
      </w:sdt>
      <w:r>
        <w:rPr>
          <w:lang w:val="en-GB"/>
        </w:rPr>
        <w:t xml:space="preserve">. </w:t>
      </w:r>
      <w:r w:rsidR="00AB7ADB" w:rsidRPr="00AB7ADB">
        <w:rPr>
          <w:lang w:val="en-GB"/>
        </w:rPr>
        <w:t xml:space="preserve">The electrical system forms a low-pass filter, whose cut-off frequency will lie above the frequency of </w:t>
      </w:r>
      <w:r w:rsidR="007A42C9">
        <w:rPr>
          <w:lang w:val="en-GB"/>
        </w:rPr>
        <w:lastRenderedPageBreak/>
        <w:drawing>
          <wp:anchor distT="0" distB="0" distL="114300" distR="114300" simplePos="0" relativeHeight="251667456" behindDoc="0" locked="0" layoutInCell="1" allowOverlap="1">
            <wp:simplePos x="0" y="0"/>
            <wp:positionH relativeFrom="column">
              <wp:posOffset>91565</wp:posOffset>
            </wp:positionH>
            <wp:positionV relativeFrom="paragraph">
              <wp:posOffset>0</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393719" w:rsidRPr="00393719" w:rsidRDefault="00D22088"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393719" w:rsidRPr="00393719" w:rsidRDefault="00D22088"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393719" w:rsidRPr="0081706E" w:rsidRDefault="00D22088"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2283" y="14784"/>
                                          <a:ext cx="362585"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393719" w:rsidRPr="004D169C" w:rsidRDefault="00D22088"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41767" y="585227"/>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393719" w:rsidRPr="004D169C" w:rsidRDefault="00393719"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393719" w:rsidRPr="004D169C" w:rsidRDefault="00393719"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393719" w:rsidRPr="004D169C" w:rsidRDefault="00393719" w:rsidP="00393719">
                              <w:pPr>
                                <w:rPr>
                                  <w:sz w:val="16"/>
                                  <w:szCs w:val="16"/>
                                </w:rPr>
                              </w:pPr>
                              <w:r w:rsidRPr="004D169C">
                                <w:rPr>
                                  <w:sz w:val="16"/>
                                  <w:szCs w:val="16"/>
                                </w:rPr>
                                <w:t xml:space="preserve">Fig. </w:t>
                              </w:r>
                              <w:r w:rsidR="00545389">
                                <w:rPr>
                                  <w:sz w:val="16"/>
                                  <w:szCs w:val="16"/>
                                </w:rPr>
                                <w:t>2</w:t>
                              </w:r>
                              <w:r w:rsidR="006C7C76">
                                <w:rPr>
                                  <w:sz w:val="16"/>
                                  <w:szCs w:val="16"/>
                                </w:rPr>
                                <w:t xml:space="preserve">: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677C17" w:rsidRPr="004D169C" w:rsidRDefault="00677C17"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B90EA8" w:rsidRPr="004D169C" w:rsidRDefault="00B90EA8"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End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366457" w:rsidRPr="00366457">
            <w:rPr>
              <w:noProof/>
              <w:lang w:val="en-GB"/>
            </w:rPr>
            <w:t>[5]</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3C4765"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End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366457">
            <w:rPr>
              <w:noProof/>
              <w:lang w:val="en-GB"/>
            </w:rPr>
            <w:t xml:space="preserve"> </w:t>
          </w:r>
          <w:r w:rsidR="00366457" w:rsidRPr="00366457">
            <w:rPr>
              <w:noProof/>
              <w:lang w:val="en-GB"/>
            </w:rPr>
            <w:t>[8]</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r w:rsidR="009256F4" w:rsidRPr="009256F4">
        <w:rPr>
          <w:lang w:val="en-GB"/>
        </w:rPr>
        <w:t xml:space="preserve"> </w:t>
      </w:r>
    </w:p>
    <w:p w:rsidR="005530D0" w:rsidRPr="005530D0" w:rsidRDefault="005530D0" w:rsidP="00A54730">
      <w:pPr>
        <w:pStyle w:val="BodyText"/>
        <w:spacing w:line="12pt" w:lineRule="auto"/>
        <w:contextualSpacing/>
        <w:rPr>
          <w:lang w:val="en-GB"/>
        </w:rPr>
      </w:pPr>
      <w:r>
        <w:rPr>
          <w:lang w:val="en-GB"/>
        </w:rPr>
        <w:t xml:space="preserve">An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ies in the cone suspension will become much more impactful against the quality of sound, and in extreme cases, the cone could become blown out from the rest of the driver.</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sdt>
        <w:sdtPr>
          <w:rPr>
            <w:lang w:val="en-GB"/>
          </w:rPr>
          <w:id w:val="293564807"/>
          <w:citation/>
        </w:sdtPr>
        <w:sdtEndPr/>
        <w:sdtContent>
          <w:r w:rsidR="00D11F07">
            <w:rPr>
              <w:lang w:val="en-GB"/>
            </w:rPr>
            <w:fldChar w:fldCharType="begin"/>
          </w:r>
          <w:r w:rsidR="00D74139">
            <w:rPr>
              <w:lang w:val="en-GB"/>
            </w:rPr>
            <w:instrText>CITATION Mal20 \l</w:instrText>
          </w:r>
          <w:r w:rsidR="00475D11">
            <w:rPr>
              <w:lang w:val="en-GB"/>
            </w:rPr>
            <w:instrText xml:space="preserve"> en-GB </w:instrText>
          </w:r>
          <w:r w:rsidR="00D11F07">
            <w:rPr>
              <w:lang w:val="en-GB"/>
            </w:rPr>
            <w:fldChar w:fldCharType="separate"/>
          </w:r>
          <w:r w:rsidR="00366457">
            <w:rPr>
              <w:noProof/>
              <w:lang w:val="en-GB"/>
            </w:rPr>
            <w:t xml:space="preserve"> </w:t>
          </w:r>
          <w:r w:rsidR="00366457" w:rsidRPr="00366457">
            <w:rPr>
              <w:noProof/>
              <w:lang w:val="en-GB"/>
            </w:rPr>
            <w:t>[9]</w:t>
          </w:r>
          <w:r w:rsidR="00D11F07">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r w:rsidR="00FF3648">
        <w:rPr>
          <w:lang w:val="en-GB"/>
        </w:rPr>
        <w:t xml:space="preserve">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driver, the Pyle PLPW6D, reflects these aims, with its small form factor and low cost [8].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t>Enclosure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76102E"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m:t>
                          </m:r>
                          <m:r>
                            <w:rPr>
                              <w:rFonts w:ascii="Cambria Math" w:hAnsi="Cambria Math"/>
                              <w:lang w:val="en-GB"/>
                            </w:rPr>
                            <m:t>π</m:t>
                          </m:r>
                          <m:r>
                            <w:rPr>
                              <w:rFonts w:ascii="Cambria Math" w:hAnsi="Cambria Math"/>
                              <w:lang w:val="en-GB"/>
                            </w:rPr>
                            <m:t>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m:t>
              </m:r>
              <m:r>
                <w:rPr>
                  <w:rFonts w:ascii="Cambria Math" w:hAnsi="Cambria Math"/>
                  <w:lang w:val="en-GB"/>
                </w:rPr>
                <m:t>(</m:t>
              </m:r>
              <m:r>
                <w:rPr>
                  <w:rFonts w:ascii="Cambria Math" w:hAnsi="Cambria Math"/>
                  <w:lang w:val="en-GB"/>
                </w:rPr>
                <m:t>2</m:t>
              </m:r>
              <m:r>
                <w:rPr>
                  <w:rFonts w:ascii="Cambria Math" w:hAnsi="Cambria Math"/>
                  <w:lang w:val="en-GB"/>
                </w:rPr>
                <m:t>)</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proofErr w:type="spellStart"/>
      <w:r w:rsidR="00DE68EF">
        <w:rPr>
          <w:i/>
          <w:iCs/>
          <w:lang w:val="en-GB"/>
        </w:rPr>
        <w:t>I</w:t>
      </w:r>
      <w:r w:rsidR="00DE68EF">
        <w:rPr>
          <w:i/>
          <w:iCs/>
          <w:vertAlign w:val="subscript"/>
          <w:lang w:val="en-GB"/>
        </w:rPr>
        <w:t>pk</w:t>
      </w:r>
      <w:proofErr w:type="spellEnd"/>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FD3721" w:rsidRPr="00FD3721" w:rsidRDefault="00FD3721"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3</m:t>
                  </m:r>
                </m:e>
              </m:d>
            </m:e>
          </m:eqArr>
        </m:oMath>
      </m:oMathPara>
    </w:p>
    <w:p w:rsidR="00483AC5" w:rsidRPr="00544781" w:rsidRDefault="00483AC5" w:rsidP="00483AC5">
      <w:pPr>
        <w:pStyle w:val="Heading2"/>
        <w:contextualSpacing/>
        <w:rPr>
          <w:noProof w:val="0"/>
          <w:lang w:val="en-GB"/>
        </w:rPr>
      </w:pPr>
      <w:r w:rsidRPr="00544781">
        <w:rPr>
          <w:noProof w:val="0"/>
          <w:lang w:val="en-GB"/>
        </w:rPr>
        <w:t>Power Amplifier Requirements</w:t>
      </w:r>
    </w:p>
    <w:p w:rsidR="00BE3397" w:rsidRPr="00B6268D" w:rsidRDefault="00483AC5" w:rsidP="00B6268D">
      <w:pPr>
        <w:pStyle w:val="BodyText"/>
        <w:spacing w:line="12pt" w:lineRule="auto"/>
        <w:ind w:firstLine="0pt"/>
        <w:contextualSpacing/>
        <w:rPr>
          <w:lang w:val="en-GB"/>
        </w:rPr>
      </w:pPr>
      <w:r w:rsidRPr="00544781">
        <w:rPr>
          <w:lang w:val="en-GB"/>
        </w:rPr>
        <w:t>At low frequencies</w:t>
      </w:r>
      <w:r>
        <w:rPr>
          <w:lang w:val="en-GB"/>
        </w:rPr>
        <w:t xml:space="preserve">, the dominating limiting </w:t>
      </w:r>
      <w:r w:rsidR="007A42C9">
        <w:rPr>
          <w:lang w:val="en-GB"/>
        </w:rPr>
        <w:t>factor</w:t>
      </w:r>
      <w:r>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proofErr w:type="spellStart"/>
      <w:r w:rsidR="001B3D9E">
        <w:rPr>
          <w:i/>
          <w:iCs/>
          <w:lang w:val="en-GB"/>
        </w:rPr>
        <w:t>I</w:t>
      </w:r>
      <w:r w:rsidR="001B3D9E">
        <w:rPr>
          <w:i/>
          <w:iCs/>
          <w:vertAlign w:val="subscript"/>
          <w:lang w:val="en-GB"/>
        </w:rPr>
        <w:t>pk</w:t>
      </w:r>
      <w:proofErr w:type="spellEnd"/>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 </w:t>
      </w:r>
      <w:r w:rsidR="00BE3397">
        <w:rPr>
          <w:lang w:val="en-GB"/>
        </w:rPr>
        <w:t>At frequencies above resonance, power requirements increase dramatically</w:t>
      </w:r>
      <w:r w:rsidR="00B6268D">
        <w:rPr>
          <w:lang w:val="en-GB"/>
        </w:rPr>
        <w:t xml:space="preserve"> as seen by the squared frequency term in equation (2),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xml:space="preserve">, but this is excusable as the focus of this project is on the sub-bass frequencies as discussed in the introduction; a good crossover filter network will ensure that midrange speakers supplement subwoofers in this region, typically </w:t>
      </w:r>
      <w:r w:rsidR="00646A24">
        <w:rPr>
          <w:lang w:val="en-GB"/>
        </w:rPr>
        <w:t>100-200Hz</w:t>
      </w:r>
      <w:r w:rsidR="00646A24">
        <w:rPr>
          <w:lang w:val="en-GB"/>
        </w:rPr>
        <w:t>.</w:t>
      </w:r>
    </w:p>
    <w:p w:rsidR="00BE3397" w:rsidRPr="00BE3397" w:rsidRDefault="00BE3397" w:rsidP="00C658D2">
      <w:pPr>
        <w:pStyle w:val="BodyText"/>
        <w:spacing w:line="12pt" w:lineRule="auto"/>
        <w:ind w:firstLine="0pt"/>
        <w:contextualSpacing/>
        <w:rPr>
          <w:lang w:val="en-GB"/>
        </w:rPr>
      </w:pPr>
    </w:p>
    <w:p w:rsidR="000B649D" w:rsidRDefault="000B649D" w:rsidP="00092EB2">
      <w:pPr>
        <w:pStyle w:val="Heading1"/>
        <w:contextualSpacing/>
        <w:rPr>
          <w:noProof w:val="0"/>
          <w:lang w:val="en-GB"/>
        </w:rPr>
      </w:pPr>
      <w:r>
        <w:rPr>
          <w:noProof w:val="0"/>
          <w:lang w:val="en-GB"/>
        </w:rPr>
        <w:t>Results</w:t>
      </w:r>
    </w:p>
    <w:p w:rsidR="0046599F" w:rsidRPr="00B14632" w:rsidRDefault="0046599F" w:rsidP="00092EB2">
      <w:pPr>
        <w:pStyle w:val="Heading2"/>
        <w:tabs>
          <w:tab w:val="clear" w:pos="18pt"/>
          <w:tab w:val="num" w:pos="14.40pt"/>
        </w:tabs>
        <w:contextualSpacing/>
        <w:rPr>
          <w:noProof w:val="0"/>
          <w:color w:val="FF0000"/>
          <w:lang w:val="en-GB"/>
        </w:rPr>
      </w:pPr>
      <w:r w:rsidRPr="00B14632">
        <w:rPr>
          <w:noProof w:val="0"/>
          <w:color w:val="FF0000"/>
          <w:lang w:val="en-GB"/>
        </w:rPr>
        <w:t xml:space="preserve">SPICE </w:t>
      </w:r>
      <w:r w:rsidR="00425390" w:rsidRPr="00B14632">
        <w:rPr>
          <w:noProof w:val="0"/>
          <w:color w:val="FF0000"/>
          <w:lang w:val="en-GB"/>
        </w:rPr>
        <w:t>S</w:t>
      </w:r>
      <w:r w:rsidRPr="00B14632">
        <w:rPr>
          <w:noProof w:val="0"/>
          <w:color w:val="FF0000"/>
          <w:lang w:val="en-GB"/>
        </w:rPr>
        <w:t>imulations</w:t>
      </w:r>
    </w:p>
    <w:p w:rsidR="0046599F" w:rsidRPr="00B14632" w:rsidRDefault="0046599F" w:rsidP="00914B92">
      <w:pPr>
        <w:ind w:firstLine="14.40pt"/>
        <w:contextualSpacing/>
        <w:jc w:val="both"/>
        <w:rPr>
          <w:color w:val="FF0000"/>
          <w:lang w:val="en-GB"/>
        </w:rPr>
      </w:pPr>
      <w:r w:rsidRPr="00B14632">
        <w:rPr>
          <w:color w:val="FF0000"/>
          <w:lang w:val="en-GB"/>
        </w:rPr>
        <w:t xml:space="preserve">Fig. 6 compares the magnitudes of the unmounted, mounted, and mounted-transformed frequency responses of the Pyle PLPW6D. The addition of an equivalent enclosure increases the resonant frequency of the system according to the value given to the MATLAB box designer script. The Linkwitz Transform extends the response of the system well into the sub-bass frequencies, with a flat response from 100Hz down to 10Hz with a gentle roll-off. Figs. 7 and 8 show the comparisons of phase responses and group delays </w:t>
      </w:r>
      <w:r w:rsidRPr="00B14632">
        <w:rPr>
          <w:color w:val="FF0000"/>
          <w:lang w:val="en-GB"/>
        </w:rPr>
        <w:lastRenderedPageBreak/>
        <w:t>respectively. The group delay gives an insight into the delay of an input signal’s propagation through each system in the critical 10-100Hz region of operation.</w:t>
      </w:r>
    </w:p>
    <w:p w:rsidR="0046599F" w:rsidRPr="00B14632" w:rsidRDefault="0046599F" w:rsidP="00092EB2">
      <w:pPr>
        <w:pStyle w:val="Heading2"/>
        <w:contextualSpacing/>
        <w:rPr>
          <w:noProof w:val="0"/>
          <w:color w:val="FF0000"/>
          <w:lang w:val="en-GB"/>
        </w:rPr>
      </w:pPr>
      <w:r w:rsidRPr="00B14632">
        <w:rPr>
          <w:noProof w:val="0"/>
          <w:color w:val="FF0000"/>
          <w:lang w:val="en-GB"/>
        </w:rPr>
        <w:t>Bode 100 Impedance Analyses</w:t>
      </w:r>
    </w:p>
    <w:p w:rsidR="0046599F" w:rsidRPr="00B14632" w:rsidRDefault="0046599F" w:rsidP="00914B92">
      <w:pPr>
        <w:ind w:firstLine="14.40pt"/>
        <w:contextualSpacing/>
        <w:jc w:val="both"/>
        <w:rPr>
          <w:color w:val="FF0000"/>
          <w:lang w:val="en-GB"/>
        </w:rPr>
      </w:pPr>
      <w:r w:rsidRPr="00B14632">
        <w:rPr>
          <w:color w:val="FF0000"/>
          <w:lang w:val="en-GB"/>
        </w:rPr>
        <w:t>The impedance plots for each voice coil of each speaker followed the shape of the datasheet plot. The resonant frequencies lay at around 70Hz for each, which would slightly alter the calculated value of Bl. The speaker out of the three that were purchased that will be mounted into an enclosure is henceforth referred to as ‘Speaker 3’, and its impedance analyses plots are shown in Figs. 9 and 10.</w:t>
      </w:r>
    </w:p>
    <w:p w:rsidR="0046599F" w:rsidRPr="00B14632" w:rsidRDefault="0046599F" w:rsidP="00092EB2">
      <w:pPr>
        <w:pStyle w:val="Heading2"/>
        <w:contextualSpacing/>
        <w:rPr>
          <w:noProof w:val="0"/>
          <w:color w:val="FF0000"/>
          <w:lang w:val="en-GB"/>
        </w:rPr>
      </w:pPr>
      <w:r w:rsidRPr="00B14632">
        <w:rPr>
          <w:noProof w:val="0"/>
          <w:color w:val="FF0000"/>
          <w:lang w:val="en-GB"/>
        </w:rPr>
        <w:t>Simulink S</w:t>
      </w:r>
      <w:r w:rsidR="00425390" w:rsidRPr="00B14632">
        <w:rPr>
          <w:noProof w:val="0"/>
          <w:color w:val="FF0000"/>
          <w:lang w:val="en-GB"/>
        </w:rPr>
        <w:t>imulations</w:t>
      </w:r>
    </w:p>
    <w:p w:rsidR="00B14632" w:rsidRPr="00B14632" w:rsidRDefault="0046599F" w:rsidP="00425390">
      <w:pPr>
        <w:ind w:firstLine="14.40pt"/>
        <w:contextualSpacing/>
        <w:jc w:val="both"/>
        <w:rPr>
          <w:color w:val="FF0000"/>
          <w:lang w:val="en-GB"/>
        </w:rPr>
      </w:pPr>
      <w:r w:rsidRPr="00B14632">
        <w:rPr>
          <w:color w:val="FF0000"/>
          <w:lang w:val="en-GB"/>
        </w:rPr>
        <w:t>Fig. 11 shows the results of the Simulink simulation of this mounted and Linkwitz-Transformed system given the peak voltage input into the system based on the power amplifier rating calculated using (6), at 20Hz.</w:t>
      </w:r>
    </w:p>
    <w:p w:rsidR="00B14632" w:rsidRDefault="00B14632" w:rsidP="00B14632">
      <w:pPr>
        <w:pStyle w:val="Heading2"/>
        <w:contextualSpacing/>
        <w:rPr>
          <w:noProof w:val="0"/>
          <w:lang w:val="en-GB"/>
        </w:rPr>
      </w:pPr>
      <w:r>
        <w:rPr>
          <w:noProof w:val="0"/>
          <w:lang w:val="en-GB"/>
        </w:rPr>
        <w:t>Effects of Mounting Driver in Enclosure</w:t>
      </w:r>
    </w:p>
    <w:p w:rsidR="0007202B" w:rsidRDefault="0007202B" w:rsidP="00B14632">
      <w:pPr>
        <w:ind w:firstLine="14.45pt"/>
        <w:jc w:val="both"/>
        <w:rPr>
          <w:lang w:val="en-GB"/>
        </w:rPr>
      </w:pPr>
      <w:r>
        <w:rPr>
          <w:lang w:val="en-GB"/>
        </w:rPr>
        <w:t>Popopopopop</w:t>
      </w:r>
    </w:p>
    <w:p w:rsidR="0007202B" w:rsidRDefault="00D8262B" w:rsidP="0007202B">
      <w:pPr>
        <w:pStyle w:val="Heading2"/>
        <w:contextualSpacing/>
        <w:rPr>
          <w:noProof w:val="0"/>
          <w:lang w:val="en-GB"/>
        </w:rPr>
      </w:pPr>
      <w:r>
        <w:rPr>
          <w:noProof w:val="0"/>
          <w:lang w:val="en-GB"/>
        </w:rPr>
        <w:t>Linkwitz Transform</w:t>
      </w:r>
    </w:p>
    <w:p w:rsidR="00B14632" w:rsidRDefault="00D8262B" w:rsidP="00425390">
      <w:pPr>
        <w:ind w:firstLine="14.40pt"/>
        <w:contextualSpacing/>
        <w:jc w:val="both"/>
        <w:rPr>
          <w:lang w:val="en-GB"/>
        </w:rPr>
      </w:pPr>
      <w:r>
        <w:rPr>
          <w:lang w:val="en-GB"/>
        </w:rPr>
        <w:t>Ppopopopoopopopo</w:t>
      </w:r>
    </w:p>
    <w:p w:rsidR="00D8262B" w:rsidRPr="00C658D2" w:rsidRDefault="003744F8" w:rsidP="00C658D2">
      <w:pPr>
        <w:pStyle w:val="Heading2"/>
        <w:contextualSpacing/>
        <w:rPr>
          <w:noProof w:val="0"/>
          <w:lang w:val="en-GB"/>
        </w:rPr>
      </w:pPr>
      <w:r>
        <w:rPr>
          <w:noProof w:val="0"/>
          <w:lang w:val="en-GB"/>
        </w:rPr>
        <w:t>Closed-loop Control</w:t>
      </w: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 xml:space="preserve">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w:t>
      </w:r>
      <w:r w:rsidRPr="00897F10">
        <w:rPr>
          <w:color w:val="FF0000"/>
          <w:lang w:val="en-GB"/>
        </w:rPr>
        <w:t>equilibrium in either direction of its travel once the system is 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897F10" w:rsidRDefault="00CA2D2C" w:rsidP="003744F8">
      <w:pPr>
        <w:pStyle w:val="Heading1"/>
        <w:contextualSpacing/>
        <w:rPr>
          <w:noProof w:val="0"/>
          <w:color w:val="FF0000"/>
          <w:lang w:val="en-GB"/>
        </w:rPr>
      </w:pPr>
      <w:r w:rsidRPr="00897F10">
        <w:rPr>
          <w:noProof w:val="0"/>
          <w:color w:val="FF0000"/>
          <w:lang w:val="en-GB"/>
        </w:rPr>
        <w:t>Evaluation</w:t>
      </w:r>
    </w:p>
    <w:p w:rsidR="00CA2D2C" w:rsidRPr="00CA2D2C" w:rsidRDefault="00CA2D2C" w:rsidP="00EA2DF1">
      <w:pPr>
        <w:ind w:firstLine="14.45pt"/>
        <w:contextualSpacing/>
        <w:jc w:val="both"/>
        <w:rPr>
          <w:lang w:val="en-GB"/>
        </w:rPr>
      </w:pPr>
      <w:r w:rsidRPr="00897F10">
        <w:rPr>
          <w:color w:val="FF0000"/>
          <w:lang w:val="en-GB"/>
        </w:rPr>
        <w:t>All results currently exist as simulation data. This can be considered as a shortcoming of the progress thus far, as physical systems and results will always differ from experimental results. Too much time has been spent simulating the systems instead of actually building and measuring the systems. Although it is not clear to find one easy way to build the perfect enclosure, a decision should have been made much earlier into the project, in order to have a system to work with to create novel electronic solutions. What should have been a precursor activity to the bulk of electronic work has now taken over the project as the bulk of the work. This puts into jeopardy the possibility of finding and implementing closed-loop control circuits. A better methodology for the project up to this point shall be briefly detailed:</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p w:rsidR="00CA2D2C" w:rsidRPr="00CA2D2C" w:rsidRDefault="00CA2D2C" w:rsidP="00092EB2">
      <w:pPr>
        <w:contextualSpacing/>
        <w:jc w:val="both"/>
        <w:rPr>
          <w:lang w:val="en-GB"/>
        </w:rPr>
      </w:pPr>
    </w:p>
    <w:p w:rsidR="00EA2DF1" w:rsidRPr="00897F10" w:rsidRDefault="00CA2D2C" w:rsidP="00EA2DF1">
      <w:pPr>
        <w:ind w:firstLine="14.45pt"/>
        <w:contextualSpacing/>
        <w:jc w:val="both"/>
        <w:rPr>
          <w:strike/>
          <w:lang w:val="en-GB"/>
        </w:rPr>
      </w:pPr>
      <w:r w:rsidRPr="00897F10">
        <w:rPr>
          <w:strike/>
          <w:lang w:val="en-GB"/>
        </w:rPr>
        <w:t xml:space="preserve">The progress thus far has nonetheless solidified a clear build plan for a well-performing subwoofer, with extra steps taken to automate and validate the process as much as possible. The principles of iterative design, and of verification and validation, were displayed. </w:t>
      </w:r>
    </w:p>
    <w:p w:rsidR="00CA2D2C" w:rsidRPr="00897F10" w:rsidRDefault="00CA2D2C" w:rsidP="00EA2DF1">
      <w:pPr>
        <w:ind w:firstLine="14.45pt"/>
        <w:contextualSpacing/>
        <w:jc w:val="both"/>
        <w:rPr>
          <w:strike/>
          <w:lang w:val="en-GB"/>
        </w:rPr>
      </w:pPr>
      <w:r w:rsidRPr="00897F10">
        <w:rPr>
          <w:strike/>
          <w:lang w:val="en-GB"/>
        </w:rPr>
        <w:t>The project was not conducted with enough respect to the original Gantt chart, which lead to constant intervention and guidance from the supervisor being necessary to stay on track. The learning from these mistakes should, however, bolster the progress in the next stage of the project. Fig. 12 shows an improved Gantt chart for the rest of the project’s duration, along with the key.</w:t>
      </w:r>
    </w:p>
    <w:p w:rsidR="008D39B8" w:rsidRDefault="008D39B8"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Default="00366457" w:rsidP="00092EB2">
      <w:pPr>
        <w:contextualSpacing/>
        <w:jc w:val="both"/>
        <w:rPr>
          <w:lang w:val="en-GB"/>
        </w:rPr>
      </w:pPr>
    </w:p>
    <w:p w:rsidR="00366457" w:rsidRPr="00CA2D2C" w:rsidRDefault="00366457" w:rsidP="00092EB2">
      <w:pPr>
        <w:contextualSpacing/>
        <w:jc w:val="both"/>
        <w:rPr>
          <w:lang w:val="en-GB"/>
        </w:rPr>
      </w:pPr>
    </w:p>
    <w:sdt>
      <w:sdtPr>
        <w:rPr>
          <w:smallCaps w:val="0"/>
          <w:noProof w:val="0"/>
        </w:rPr>
        <w:id w:val="184182794"/>
        <w:docPartObj>
          <w:docPartGallery w:val="Bibliographies"/>
          <w:docPartUnique/>
        </w:docPartObj>
      </w:sdtPr>
      <w:sdtEndPr/>
      <w:sdtContent>
        <w:p w:rsidR="008D39B8" w:rsidRDefault="008D39B8" w:rsidP="00092EB2">
          <w:pPr>
            <w:pStyle w:val="Heading1"/>
            <w:contextualSpacing/>
          </w:pPr>
          <w:r>
            <w:t>Bibliography</w:t>
          </w:r>
        </w:p>
        <w:sdt>
          <w:sdtPr>
            <w:id w:val="111145805"/>
            <w:bibliography/>
          </w:sdtPr>
          <w:sdtEndPr/>
          <w:sdtContent>
            <w:p w:rsidR="00366457"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53"/>
                <w:gridCol w:w="4513"/>
              </w:tblGrid>
              <w:tr w:rsidR="00366457">
                <w:trPr>
                  <w:divId w:val="1449854638"/>
                  <w:tblCellSpacing w:w="0.75pt" w:type="dxa"/>
                </w:trPr>
                <w:tc>
                  <w:tcPr>
                    <w:tcW w:w="1.0%" w:type="pct"/>
                    <w:hideMark/>
                  </w:tcPr>
                  <w:p w:rsidR="00366457" w:rsidRDefault="00366457">
                    <w:pPr>
                      <w:pStyle w:val="Bibliography"/>
                      <w:rPr>
                        <w:noProof/>
                        <w:sz w:val="24"/>
                        <w:szCs w:val="24"/>
                      </w:rPr>
                    </w:pPr>
                    <w:r>
                      <w:rPr>
                        <w:noProof/>
                      </w:rPr>
                      <w:t xml:space="preserve">[1] </w:t>
                    </w:r>
                  </w:p>
                </w:tc>
                <w:tc>
                  <w:tcPr>
                    <w:tcW w:w="0pt" w:type="auto"/>
                    <w:hideMark/>
                  </w:tcPr>
                  <w:p w:rsidR="00366457" w:rsidRDefault="00366457">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[2] </w:t>
                    </w:r>
                  </w:p>
                </w:tc>
                <w:tc>
                  <w:tcPr>
                    <w:tcW w:w="0pt" w:type="auto"/>
                    <w:hideMark/>
                  </w:tcPr>
                  <w:p w:rsidR="00366457" w:rsidRDefault="00366457">
                    <w:pPr>
                      <w:pStyle w:val="Bibliography"/>
                      <w:rPr>
                        <w:noProof/>
                      </w:rPr>
                    </w:pPr>
                    <w:r>
                      <w:rPr>
                        <w:noProof/>
                      </w:rPr>
                      <w:t xml:space="preserve">F. Rumsey and R. McCormick, Sound and Recording, Oxford: Focal Press, 2006.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[3] </w:t>
                    </w:r>
                  </w:p>
                </w:tc>
                <w:tc>
                  <w:tcPr>
                    <w:tcW w:w="0pt" w:type="auto"/>
                    <w:hideMark/>
                  </w:tcPr>
                  <w:p w:rsidR="00366457" w:rsidRDefault="00366457">
                    <w:pPr>
                      <w:pStyle w:val="Bibliography"/>
                      <w:rPr>
                        <w:noProof/>
                      </w:rPr>
                    </w:pPr>
                    <w:r>
                      <w:rPr>
                        <w:noProof/>
                      </w:rPr>
                      <w:t xml:space="preserve">H. F. Olson, Elements of Acoustical Engineering, New York: D. Van Nostrand Company, Inc, 1940.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[4] </w:t>
                    </w:r>
                  </w:p>
                </w:tc>
                <w:tc>
                  <w:tcPr>
                    <w:tcW w:w="0pt" w:type="auto"/>
                    <w:hideMark/>
                  </w:tcPr>
                  <w:p w:rsidR="00366457" w:rsidRDefault="00366457">
                    <w:pPr>
                      <w:pStyle w:val="Bibliography"/>
                      <w:rPr>
                        <w:noProof/>
                      </w:rPr>
                    </w:pPr>
                    <w:r>
                      <w:rPr>
                        <w:noProof/>
                      </w:rPr>
                      <w:t>p. b. R. Iain, "Wikimedia Commons," 11-14 June 2006. [Online]. Available: https://upload.wikimedia.org/wikipedia/commons/c/cd/Speaker-cross-section.svg. [Accessed April 2020].</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[5] </w:t>
                    </w:r>
                  </w:p>
                </w:tc>
                <w:tc>
                  <w:tcPr>
                    <w:tcW w:w="0pt" w:type="auto"/>
                    <w:hideMark/>
                  </w:tcPr>
                  <w:p w:rsidR="00366457" w:rsidRDefault="00366457">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[6] </w:t>
                    </w:r>
                  </w:p>
                </w:tc>
                <w:tc>
                  <w:tcPr>
                    <w:tcW w:w="0pt" w:type="auto"/>
                    <w:hideMark/>
                  </w:tcPr>
                  <w:p w:rsidR="00366457" w:rsidRDefault="00366457">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[7] </w:t>
                    </w:r>
                  </w:p>
                </w:tc>
                <w:tc>
                  <w:tcPr>
                    <w:tcW w:w="0pt" w:type="auto"/>
                    <w:hideMark/>
                  </w:tcPr>
                  <w:p w:rsidR="00366457" w:rsidRDefault="00366457">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[8] </w:t>
                    </w:r>
                  </w:p>
                </w:tc>
                <w:tc>
                  <w:tcPr>
                    <w:tcW w:w="0pt" w:type="auto"/>
                    <w:hideMark/>
                  </w:tcPr>
                  <w:p w:rsidR="00366457" w:rsidRDefault="00366457">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[9] </w:t>
                    </w:r>
                  </w:p>
                </w:tc>
                <w:tc>
                  <w:tcPr>
                    <w:tcW w:w="0pt" w:type="auto"/>
                    <w:hideMark/>
                  </w:tcPr>
                  <w:p w:rsidR="00366457" w:rsidRDefault="00366457">
                    <w:pPr>
                      <w:pStyle w:val="Bibliography"/>
                      <w:rPr>
                        <w:noProof/>
                      </w:rPr>
                    </w:pPr>
                    <w:r>
                      <w:rPr>
                        <w:noProof/>
                      </w:rPr>
                      <w:t>S. Malde, "Interim Technical Report," 20 January 2020. [Online]. Available: https://github.com/spez1998/3rd-year-project/blob/master/Deliverables/InterimReport/INT_ela17sm.pdf. [Accessed April 2020].</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[10] </w:t>
                    </w:r>
                  </w:p>
                </w:tc>
                <w:tc>
                  <w:tcPr>
                    <w:tcW w:w="0pt" w:type="auto"/>
                    <w:hideMark/>
                  </w:tcPr>
                  <w:p w:rsidR="00366457" w:rsidRDefault="00366457">
                    <w:pPr>
                      <w:pStyle w:val="Bibliography"/>
                      <w:rPr>
                        <w:noProof/>
                      </w:rPr>
                    </w:pPr>
                    <w:r>
                      <w:rPr>
                        <w:noProof/>
                      </w:rPr>
                      <w:t>Pyle Audio, "pyleaudio.com," [Online]. Available: https://www.pyleaudio.com/sku/PLPW6D/65-600-Watt-Dual-Voice-Coil-4-Ohm-Subwoofer. [Accessed April 2020].</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[11] </w:t>
                    </w:r>
                  </w:p>
                </w:tc>
                <w:tc>
                  <w:tcPr>
                    <w:tcW w:w="0pt" w:type="auto"/>
                    <w:hideMark/>
                  </w:tcPr>
                  <w:p w:rsidR="00366457" w:rsidRDefault="00366457">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366457">
                <w:trPr>
                  <w:divId w:val="1449854638"/>
                  <w:tblCellSpacing w:w="0.75pt" w:type="dxa"/>
                </w:trPr>
                <w:tc>
                  <w:tcPr>
                    <w:tcW w:w="1.0%" w:type="pct"/>
                    <w:hideMark/>
                  </w:tcPr>
                  <w:p w:rsidR="00366457" w:rsidRDefault="00366457">
                    <w:pPr>
                      <w:pStyle w:val="Bibliography"/>
                      <w:rPr>
                        <w:noProof/>
                      </w:rPr>
                    </w:pPr>
                    <w:r>
                      <w:rPr>
                        <w:noProof/>
                      </w:rPr>
                      <w:t xml:space="preserve">[12] </w:t>
                    </w:r>
                  </w:p>
                </w:tc>
                <w:tc>
                  <w:tcPr>
                    <w:tcW w:w="0pt" w:type="auto"/>
                    <w:hideMark/>
                  </w:tcPr>
                  <w:p w:rsidR="00366457" w:rsidRDefault="00366457">
                    <w:pPr>
                      <w:pStyle w:val="Bibliography"/>
                      <w:rPr>
                        <w:noProof/>
                      </w:rPr>
                    </w:pPr>
                    <w:r>
                      <w:rPr>
                        <w:noProof/>
                      </w:rPr>
                      <w:t>S. Linkwitz, "12 dB/oct highpass equalization ("Linkwitz Transform", Biquad)," [Online]. Available: https://www.linkwitzlab.com/filters.htm#10. [Accessed April 2020].</w:t>
                    </w:r>
                  </w:p>
                </w:tc>
              </w:tr>
            </w:tbl>
            <w:p w:rsidR="00366457" w:rsidRDefault="00366457">
              <w:pPr>
                <w:divId w:val="1449854638"/>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drawing>
          <wp:anchor distT="0" distB="0" distL="114300" distR="114300" simplePos="0" relativeHeight="251657216"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56192"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2">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22088" w:rsidRDefault="00D22088" w:rsidP="001A3B3D">
      <w:r>
        <w:separator/>
      </w:r>
    </w:p>
  </w:endnote>
  <w:endnote w:type="continuationSeparator" w:id="0">
    <w:p w:rsidR="00D22088" w:rsidRDefault="00D220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22088" w:rsidRDefault="00D22088" w:rsidP="001A3B3D">
      <w:r>
        <w:separator/>
      </w:r>
    </w:p>
  </w:footnote>
  <w:footnote w:type="continuationSeparator" w:id="0">
    <w:p w:rsidR="00D22088" w:rsidRDefault="00D2208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3004" w:rsidRDefault="00393004"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EndPr>
      <w:rPr>
        <w:rStyle w:val="PageNumber"/>
      </w:rPr>
    </w:sdtEndPr>
    <w:sdtContent>
      <w:p w:rsidR="00393004" w:rsidRDefault="00393004" w:rsidP="00B9665E">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3004" w:rsidRPr="00393004" w:rsidRDefault="00393004"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 w:numId="36">
    <w:abstractNumId w:val="18"/>
  </w:num>
  <w:num w:numId="37">
    <w:abstractNumId w:val="18"/>
  </w:num>
  <w:num w:numId="38">
    <w:abstractNumId w:val="18"/>
  </w:num>
  <w:num w:numId="3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43AD4"/>
    <w:rsid w:val="0004781E"/>
    <w:rsid w:val="000608CE"/>
    <w:rsid w:val="00062FD1"/>
    <w:rsid w:val="000630F6"/>
    <w:rsid w:val="0006346E"/>
    <w:rsid w:val="000678AF"/>
    <w:rsid w:val="0007202B"/>
    <w:rsid w:val="000749F0"/>
    <w:rsid w:val="0008758A"/>
    <w:rsid w:val="00091AFD"/>
    <w:rsid w:val="00092EB2"/>
    <w:rsid w:val="000A112D"/>
    <w:rsid w:val="000A7891"/>
    <w:rsid w:val="000B649D"/>
    <w:rsid w:val="000B668F"/>
    <w:rsid w:val="000B7E33"/>
    <w:rsid w:val="000C1E68"/>
    <w:rsid w:val="000D2D40"/>
    <w:rsid w:val="000E038E"/>
    <w:rsid w:val="000E059B"/>
    <w:rsid w:val="000E223C"/>
    <w:rsid w:val="000E5223"/>
    <w:rsid w:val="000F4EAA"/>
    <w:rsid w:val="000F6798"/>
    <w:rsid w:val="0011015D"/>
    <w:rsid w:val="00154223"/>
    <w:rsid w:val="00156455"/>
    <w:rsid w:val="0016596B"/>
    <w:rsid w:val="00183516"/>
    <w:rsid w:val="00194AB6"/>
    <w:rsid w:val="00195A35"/>
    <w:rsid w:val="001A25B3"/>
    <w:rsid w:val="001A2EFD"/>
    <w:rsid w:val="001A3B3D"/>
    <w:rsid w:val="001B3145"/>
    <w:rsid w:val="001B3D9E"/>
    <w:rsid w:val="001B5064"/>
    <w:rsid w:val="001B67DC"/>
    <w:rsid w:val="001B6A0A"/>
    <w:rsid w:val="001C4266"/>
    <w:rsid w:val="0020331D"/>
    <w:rsid w:val="002205DF"/>
    <w:rsid w:val="00221EA2"/>
    <w:rsid w:val="00222486"/>
    <w:rsid w:val="002254A9"/>
    <w:rsid w:val="00232F52"/>
    <w:rsid w:val="00233D97"/>
    <w:rsid w:val="002347A2"/>
    <w:rsid w:val="002357DD"/>
    <w:rsid w:val="0023610C"/>
    <w:rsid w:val="0024049A"/>
    <w:rsid w:val="00244531"/>
    <w:rsid w:val="0025051D"/>
    <w:rsid w:val="00251798"/>
    <w:rsid w:val="00252C05"/>
    <w:rsid w:val="00284F10"/>
    <w:rsid w:val="002850E3"/>
    <w:rsid w:val="002C0A79"/>
    <w:rsid w:val="002C0F5E"/>
    <w:rsid w:val="002C4A15"/>
    <w:rsid w:val="002C7F89"/>
    <w:rsid w:val="002D26D9"/>
    <w:rsid w:val="002D4454"/>
    <w:rsid w:val="002D6F13"/>
    <w:rsid w:val="002F5D68"/>
    <w:rsid w:val="00300D4E"/>
    <w:rsid w:val="003177C5"/>
    <w:rsid w:val="00354FCF"/>
    <w:rsid w:val="0035664D"/>
    <w:rsid w:val="00366457"/>
    <w:rsid w:val="003667C4"/>
    <w:rsid w:val="00372B3F"/>
    <w:rsid w:val="003744F8"/>
    <w:rsid w:val="003752CC"/>
    <w:rsid w:val="00380A03"/>
    <w:rsid w:val="00387243"/>
    <w:rsid w:val="0038730B"/>
    <w:rsid w:val="00393004"/>
    <w:rsid w:val="00393719"/>
    <w:rsid w:val="003A14E7"/>
    <w:rsid w:val="003A1975"/>
    <w:rsid w:val="003A19E2"/>
    <w:rsid w:val="003B2B40"/>
    <w:rsid w:val="003B4E04"/>
    <w:rsid w:val="003C4338"/>
    <w:rsid w:val="003C4765"/>
    <w:rsid w:val="003D6D0B"/>
    <w:rsid w:val="003D791E"/>
    <w:rsid w:val="003E678A"/>
    <w:rsid w:val="003F5A08"/>
    <w:rsid w:val="0040026D"/>
    <w:rsid w:val="0040663E"/>
    <w:rsid w:val="00420716"/>
    <w:rsid w:val="0042210C"/>
    <w:rsid w:val="00425390"/>
    <w:rsid w:val="00431426"/>
    <w:rsid w:val="004325FB"/>
    <w:rsid w:val="00442B5F"/>
    <w:rsid w:val="004432BA"/>
    <w:rsid w:val="0044407E"/>
    <w:rsid w:val="00447BB9"/>
    <w:rsid w:val="0045732F"/>
    <w:rsid w:val="0046031D"/>
    <w:rsid w:val="0046599F"/>
    <w:rsid w:val="00473AC9"/>
    <w:rsid w:val="00475D11"/>
    <w:rsid w:val="00483AC5"/>
    <w:rsid w:val="00490C62"/>
    <w:rsid w:val="004A0AF4"/>
    <w:rsid w:val="004D169C"/>
    <w:rsid w:val="004D72B5"/>
    <w:rsid w:val="004E5264"/>
    <w:rsid w:val="004F77BB"/>
    <w:rsid w:val="00507921"/>
    <w:rsid w:val="005115D7"/>
    <w:rsid w:val="00524121"/>
    <w:rsid w:val="005274DB"/>
    <w:rsid w:val="00544781"/>
    <w:rsid w:val="00545389"/>
    <w:rsid w:val="005476EC"/>
    <w:rsid w:val="00551B7F"/>
    <w:rsid w:val="005530D0"/>
    <w:rsid w:val="0056610F"/>
    <w:rsid w:val="00575BCA"/>
    <w:rsid w:val="00577F51"/>
    <w:rsid w:val="00586E1E"/>
    <w:rsid w:val="00594ACD"/>
    <w:rsid w:val="005B0344"/>
    <w:rsid w:val="005B520E"/>
    <w:rsid w:val="005C48CD"/>
    <w:rsid w:val="005D42F5"/>
    <w:rsid w:val="005E2800"/>
    <w:rsid w:val="005E60F5"/>
    <w:rsid w:val="00600D1D"/>
    <w:rsid w:val="00601982"/>
    <w:rsid w:val="00605825"/>
    <w:rsid w:val="0061052F"/>
    <w:rsid w:val="00623C24"/>
    <w:rsid w:val="00626085"/>
    <w:rsid w:val="00630B0A"/>
    <w:rsid w:val="00631E3F"/>
    <w:rsid w:val="00636797"/>
    <w:rsid w:val="006435F5"/>
    <w:rsid w:val="00645D22"/>
    <w:rsid w:val="00646A24"/>
    <w:rsid w:val="00651A08"/>
    <w:rsid w:val="00652CC1"/>
    <w:rsid w:val="00654204"/>
    <w:rsid w:val="00670434"/>
    <w:rsid w:val="00677C17"/>
    <w:rsid w:val="00696409"/>
    <w:rsid w:val="006B4930"/>
    <w:rsid w:val="006B6B66"/>
    <w:rsid w:val="006C62AD"/>
    <w:rsid w:val="006C729A"/>
    <w:rsid w:val="006C7C76"/>
    <w:rsid w:val="006D2019"/>
    <w:rsid w:val="006D25C0"/>
    <w:rsid w:val="006D5E13"/>
    <w:rsid w:val="006D6064"/>
    <w:rsid w:val="006F11F6"/>
    <w:rsid w:val="006F6D3D"/>
    <w:rsid w:val="006F7229"/>
    <w:rsid w:val="0071560D"/>
    <w:rsid w:val="00715BEA"/>
    <w:rsid w:val="0072741C"/>
    <w:rsid w:val="00737DD7"/>
    <w:rsid w:val="00740EEA"/>
    <w:rsid w:val="0075112A"/>
    <w:rsid w:val="00760996"/>
    <w:rsid w:val="0076102E"/>
    <w:rsid w:val="0077187C"/>
    <w:rsid w:val="00794804"/>
    <w:rsid w:val="00797A7F"/>
    <w:rsid w:val="007A42C9"/>
    <w:rsid w:val="007B0173"/>
    <w:rsid w:val="007B33F1"/>
    <w:rsid w:val="007B6DDA"/>
    <w:rsid w:val="007C0308"/>
    <w:rsid w:val="007C2FF2"/>
    <w:rsid w:val="007D6232"/>
    <w:rsid w:val="007F1F99"/>
    <w:rsid w:val="007F768F"/>
    <w:rsid w:val="0080791D"/>
    <w:rsid w:val="0081113C"/>
    <w:rsid w:val="00815E9B"/>
    <w:rsid w:val="00816D98"/>
    <w:rsid w:val="0081706E"/>
    <w:rsid w:val="00836367"/>
    <w:rsid w:val="008527F1"/>
    <w:rsid w:val="00873603"/>
    <w:rsid w:val="00875871"/>
    <w:rsid w:val="00892114"/>
    <w:rsid w:val="00897F10"/>
    <w:rsid w:val="008A0F51"/>
    <w:rsid w:val="008A2C7D"/>
    <w:rsid w:val="008B6524"/>
    <w:rsid w:val="008C4B23"/>
    <w:rsid w:val="008D39B8"/>
    <w:rsid w:val="008E41EB"/>
    <w:rsid w:val="008F2C76"/>
    <w:rsid w:val="008F6E2C"/>
    <w:rsid w:val="0090074B"/>
    <w:rsid w:val="009122B8"/>
    <w:rsid w:val="00914B92"/>
    <w:rsid w:val="00921090"/>
    <w:rsid w:val="00924DAC"/>
    <w:rsid w:val="009256F4"/>
    <w:rsid w:val="009303D9"/>
    <w:rsid w:val="0093075D"/>
    <w:rsid w:val="00933C64"/>
    <w:rsid w:val="009628E4"/>
    <w:rsid w:val="00970AB2"/>
    <w:rsid w:val="00972203"/>
    <w:rsid w:val="009764CC"/>
    <w:rsid w:val="00981388"/>
    <w:rsid w:val="00983131"/>
    <w:rsid w:val="00985532"/>
    <w:rsid w:val="00995966"/>
    <w:rsid w:val="009A2EA4"/>
    <w:rsid w:val="009B097E"/>
    <w:rsid w:val="009B09CC"/>
    <w:rsid w:val="009C0A96"/>
    <w:rsid w:val="009D346D"/>
    <w:rsid w:val="009E3023"/>
    <w:rsid w:val="009E473F"/>
    <w:rsid w:val="009F1D79"/>
    <w:rsid w:val="00A059B3"/>
    <w:rsid w:val="00A126B7"/>
    <w:rsid w:val="00A32243"/>
    <w:rsid w:val="00A54730"/>
    <w:rsid w:val="00A601D6"/>
    <w:rsid w:val="00A72136"/>
    <w:rsid w:val="00A75C1C"/>
    <w:rsid w:val="00A851AD"/>
    <w:rsid w:val="00A9009A"/>
    <w:rsid w:val="00AA0C56"/>
    <w:rsid w:val="00AA174A"/>
    <w:rsid w:val="00AA75B3"/>
    <w:rsid w:val="00AB334E"/>
    <w:rsid w:val="00AB7ADB"/>
    <w:rsid w:val="00AC0926"/>
    <w:rsid w:val="00AC340E"/>
    <w:rsid w:val="00AE3409"/>
    <w:rsid w:val="00B06B36"/>
    <w:rsid w:val="00B11A60"/>
    <w:rsid w:val="00B14632"/>
    <w:rsid w:val="00B22613"/>
    <w:rsid w:val="00B44A76"/>
    <w:rsid w:val="00B45520"/>
    <w:rsid w:val="00B6268D"/>
    <w:rsid w:val="00B678B5"/>
    <w:rsid w:val="00B768D1"/>
    <w:rsid w:val="00B82BCA"/>
    <w:rsid w:val="00B90EA8"/>
    <w:rsid w:val="00B9476A"/>
    <w:rsid w:val="00BA1025"/>
    <w:rsid w:val="00BC3420"/>
    <w:rsid w:val="00BD2E0A"/>
    <w:rsid w:val="00BD670B"/>
    <w:rsid w:val="00BE3397"/>
    <w:rsid w:val="00BE7D3C"/>
    <w:rsid w:val="00BF5FF6"/>
    <w:rsid w:val="00C0207F"/>
    <w:rsid w:val="00C04587"/>
    <w:rsid w:val="00C16117"/>
    <w:rsid w:val="00C17F17"/>
    <w:rsid w:val="00C3024F"/>
    <w:rsid w:val="00C30393"/>
    <w:rsid w:val="00C303C5"/>
    <w:rsid w:val="00C3075A"/>
    <w:rsid w:val="00C45C0E"/>
    <w:rsid w:val="00C5319C"/>
    <w:rsid w:val="00C607E5"/>
    <w:rsid w:val="00C658D2"/>
    <w:rsid w:val="00C666D3"/>
    <w:rsid w:val="00C919A4"/>
    <w:rsid w:val="00C96131"/>
    <w:rsid w:val="00CA2D2C"/>
    <w:rsid w:val="00CA4392"/>
    <w:rsid w:val="00CB6028"/>
    <w:rsid w:val="00CC393F"/>
    <w:rsid w:val="00CE41E2"/>
    <w:rsid w:val="00CF22C2"/>
    <w:rsid w:val="00CF3339"/>
    <w:rsid w:val="00D11F07"/>
    <w:rsid w:val="00D123A1"/>
    <w:rsid w:val="00D2176E"/>
    <w:rsid w:val="00D22088"/>
    <w:rsid w:val="00D22FF7"/>
    <w:rsid w:val="00D5713F"/>
    <w:rsid w:val="00D611E9"/>
    <w:rsid w:val="00D632BE"/>
    <w:rsid w:val="00D7263C"/>
    <w:rsid w:val="00D72D06"/>
    <w:rsid w:val="00D74139"/>
    <w:rsid w:val="00D7522C"/>
    <w:rsid w:val="00D7536F"/>
    <w:rsid w:val="00D761AA"/>
    <w:rsid w:val="00D76668"/>
    <w:rsid w:val="00D8262B"/>
    <w:rsid w:val="00D8680C"/>
    <w:rsid w:val="00D91614"/>
    <w:rsid w:val="00D96E65"/>
    <w:rsid w:val="00DC6052"/>
    <w:rsid w:val="00DE057B"/>
    <w:rsid w:val="00DE1BFC"/>
    <w:rsid w:val="00DE68EF"/>
    <w:rsid w:val="00DF01FC"/>
    <w:rsid w:val="00E07383"/>
    <w:rsid w:val="00E165BC"/>
    <w:rsid w:val="00E31B70"/>
    <w:rsid w:val="00E357A4"/>
    <w:rsid w:val="00E4577E"/>
    <w:rsid w:val="00E46EBB"/>
    <w:rsid w:val="00E61E12"/>
    <w:rsid w:val="00E67214"/>
    <w:rsid w:val="00E7596C"/>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7DC"/>
    <w:rsid w:val="00F271DE"/>
    <w:rsid w:val="00F406F9"/>
    <w:rsid w:val="00F54EDB"/>
    <w:rsid w:val="00F6171D"/>
    <w:rsid w:val="00F627DA"/>
    <w:rsid w:val="00F7288F"/>
    <w:rsid w:val="00F842B8"/>
    <w:rsid w:val="00F847A6"/>
    <w:rsid w:val="00F86289"/>
    <w:rsid w:val="00F93CCA"/>
    <w:rsid w:val="00F9441B"/>
    <w:rsid w:val="00F94961"/>
    <w:rsid w:val="00FA2E10"/>
    <w:rsid w:val="00FA4C13"/>
    <w:rsid w:val="00FA4C32"/>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6B82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5</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7</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6</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8</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10</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11</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12</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9</b:RefOrder>
  </b:Source>
  <b:Source>
    <b:Tag>Iai06</b:Tag>
    <b:SourceType>DocumentFromInternetSite</b:SourceType>
    <b:Guid>{4C0E3A57-AA2C-7F4F-965E-A67761D2AD88}</b:Guid>
    <b:Title>Wikimedia Commons</b:Title>
    <b:URL>https://upload.wikimedia.org/wikipedia/commons/c/cd/Speaker-cross-section.svg</b:URL>
    <b:Year>2006</b:Year>
    <b:Month>June</b:Month>
    <b:Day>11-14</b:Day>
    <b:YearAccessed>2020</b:YearAccessed>
    <b:MonthAccessed>April</b:MonthAccessed>
    <b:Author>
      <b:Author>
        <b:NameList>
          <b:Person>
            <b:Last>Iain</b:Last>
            <b:First>png</b:First>
            <b:Middle>by Rohitbd</b:Middle>
          </b:Person>
        </b:NameList>
      </b:Author>
    </b:Author>
    <b:RefOrder>4</b:RefOrder>
  </b:Source>
</b:Sources>
</file>

<file path=customXml/itemProps1.xml><?xml version="1.0" encoding="utf-8"?>
<ds:datastoreItem xmlns:ds="http://purl.oclc.org/ooxml/officeDocument/customXml" ds:itemID="{DB1105DF-85D7-F94A-8896-60592D1391E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704</TotalTime>
  <Pages>5</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Sujit Malde</cp:lastModifiedBy>
  <cp:revision>22</cp:revision>
  <dcterms:created xsi:type="dcterms:W3CDTF">2020-04-14T15:31:00Z</dcterms:created>
  <dcterms:modified xsi:type="dcterms:W3CDTF">2020-04-25T18:11:00Z</dcterms:modified>
</cp:coreProperties>
</file>