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AIO Fusion Master Q&amp;A v1.5</w:t>
        <w:br/>
        <w:t>Internal annotated review</w:t>
      </w:r>
    </w:p>
    <w:p>
      <w:pPr>
        <w:pStyle w:val="Subtitle"/>
      </w:pPr>
      <w:r>
        <w:t>INTERNAL ONLY | Must not accompany the prospect copy</w:t>
      </w:r>
    </w:p>
    <w:p>
      <w:r>
        <w:t>18 September 2026</w:t>
      </w:r>
    </w:p>
    <w:p>
      <w:r>
        <w:t>Purpose: constructive editorial comparison with Master Q&amp;A v1.4, dated 17 September 2026, and the accompanying email draft. The original provides a useful integrated-workflow explanation, practical commercial detail and important limitations. This revision preserves that substance while separating routine sales answers from confidential mechanics, commercial modelling and detailed procurement evidence.</w:t>
      </w:r>
    </w:p>
    <w:p>
      <w:r>
        <w:t>Status: draft for owner approval, not approved for release. This is an editorial exercise, not a product, security or legal audit. No live capability, commercial configuration or third-party claim has been independently certified. Neither original upload has been changed. No documents have been published or sent externally.</w:t>
      </w:r>
    </w:p>
    <w:p>
      <w:r>
        <w:t>The comparison covers 51 source questions or content blocks across all ten sections, including the boilerplate, explanatory subsections and unheaded Market Intelligence paragraph. Full visible source wording is reproduced by block, followed by the exact v1.5 replacement and rationale. Source quotations retain original punctuation, including any original em dashes; new copy does not use em dashes.</w:t>
      </w:r>
    </w:p>
    <w:p>
      <w:pPr>
        <w:pStyle w:val="Heading1"/>
      </w:pPr>
      <w:r>
        <w:t>Owner decisions recorded 18 September 2026</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cantSplit/>
        </w:trPr>
        <w:tc>
          <w:tcPr>
            <w:tcW w:type="dxa" w:w="3221"/>
            <w:shd w:fill="18384B"/>
            <w:vAlign w:val="center"/>
          </w:tcPr>
          <w:p>
            <w:pPr>
              <w:spacing w:after="100" w:before="100"/>
            </w:pPr>
            <w:r>
              <w:rPr>
                <w:b/>
                <w:color w:val="FFFFFF"/>
                <w:sz w:val="19"/>
              </w:rPr>
              <w:t>Area</w:t>
            </w:r>
          </w:p>
        </w:tc>
        <w:tc>
          <w:tcPr>
            <w:tcW w:type="dxa" w:w="3221"/>
            <w:shd w:fill="18384B"/>
            <w:vAlign w:val="center"/>
          </w:tcPr>
          <w:p>
            <w:pPr>
              <w:spacing w:after="100" w:before="100"/>
            </w:pPr>
            <w:r>
              <w:rPr>
                <w:b/>
                <w:color w:val="FFFFFF"/>
                <w:sz w:val="19"/>
              </w:rPr>
              <w:t>Decision</w:t>
            </w:r>
          </w:p>
        </w:tc>
        <w:tc>
          <w:tcPr>
            <w:tcW w:type="dxa" w:w="3221"/>
            <w:shd w:fill="18384B"/>
            <w:vAlign w:val="center"/>
          </w:tcPr>
          <w:p>
            <w:pPr>
              <w:spacing w:after="100" w:before="100"/>
            </w:pPr>
            <w:r>
              <w:rPr>
                <w:b/>
                <w:color w:val="FFFFFF"/>
                <w:sz w:val="19"/>
              </w:rPr>
              <w:t>Remaining limitation</w:t>
            </w:r>
          </w:p>
        </w:tc>
      </w:tr>
      <w:tr>
        <w:trPr>
          <w:cantSplit/>
        </w:trPr>
        <w:tc>
          <w:tcPr>
            <w:tcW w:type="dxa" w:w="3221"/>
            <w:vAlign w:val="center"/>
          </w:tcPr>
          <w:p>
            <w:pPr>
              <w:spacing w:after="100" w:before="100"/>
            </w:pPr>
            <w:r>
              <w:rPr>
                <w:sz w:val="19"/>
              </w:rPr>
              <w:t>Pricing</w:t>
            </w:r>
          </w:p>
        </w:tc>
        <w:tc>
          <w:tcPr>
            <w:tcW w:type="dxa" w:w="3221"/>
            <w:vAlign w:val="center"/>
          </w:tcPr>
          <w:p>
            <w:pPr>
              <w:spacing w:after="100" w:before="100"/>
            </w:pPr>
            <w:r>
              <w:rPr>
                <w:sz w:val="19"/>
              </w:rPr>
              <w:t>Spencer Gallagher approved the published figures as indicative beta pricing.</w:t>
            </w:r>
          </w:p>
        </w:tc>
        <w:tc>
          <w:tcPr>
            <w:tcW w:type="dxa" w:w="3221"/>
            <w:vAlign w:val="center"/>
          </w:tcPr>
          <w:p>
            <w:pPr>
              <w:spacing w:after="100" w:before="100"/>
            </w:pPr>
            <w:r>
              <w:rPr>
                <w:sz w:val="19"/>
              </w:rPr>
              <w:t>Action-counting, support, extra charges and order terms remain subject to the agreed order.</w:t>
            </w:r>
          </w:p>
        </w:tc>
      </w:tr>
      <w:tr>
        <w:trPr>
          <w:cantSplit/>
        </w:trPr>
        <w:tc>
          <w:tcPr>
            <w:tcW w:type="dxa" w:w="3221"/>
            <w:vAlign w:val="center"/>
          </w:tcPr>
          <w:p>
            <w:pPr>
              <w:spacing w:after="100" w:before="100"/>
            </w:pPr>
            <w:r>
              <w:rPr>
                <w:sz w:val="19"/>
              </w:rPr>
              <w:t>Beta</w:t>
            </w:r>
          </w:p>
        </w:tc>
        <w:tc>
          <w:tcPr>
            <w:tcW w:type="dxa" w:w="3221"/>
            <w:vAlign w:val="center"/>
          </w:tcPr>
          <w:p>
            <w:pPr>
              <w:spacing w:after="100" w:before="100"/>
            </w:pPr>
            <w:r>
              <w:rPr>
                <w:sz w:val="19"/>
              </w:rPr>
              <w:t>Approved a 60-day free trial with structured feedback. Customers who proceed pay each bill in full and receive a 30% refund on each payment during the first 12 months. Refund cadence follows payment cadence.</w:t>
            </w:r>
          </w:p>
        </w:tc>
        <w:tc>
          <w:tcPr>
            <w:tcW w:type="dxa" w:w="3221"/>
            <w:vAlign w:val="center"/>
          </w:tcPr>
          <w:p>
            <w:pPr>
              <w:spacing w:after="100" w:before="100"/>
            </w:pPr>
            <w:r>
              <w:rPr>
                <w:sz w:val="19"/>
              </w:rPr>
              <w:t>Trial start trigger, refund processing time, tax, additional-project treatment, cancellation and renewal remain unconfirmed.</w:t>
            </w:r>
          </w:p>
        </w:tc>
      </w:tr>
      <w:tr>
        <w:trPr>
          <w:cantSplit/>
        </w:trPr>
        <w:tc>
          <w:tcPr>
            <w:tcW w:type="dxa" w:w="3221"/>
            <w:vAlign w:val="center"/>
          </w:tcPr>
          <w:p>
            <w:pPr>
              <w:spacing w:after="100" w:before="100"/>
            </w:pPr>
            <w:r>
              <w:rPr>
                <w:sz w:val="19"/>
              </w:rPr>
              <w:t>Measurement</w:t>
            </w:r>
          </w:p>
        </w:tc>
        <w:tc>
          <w:tcPr>
            <w:tcW w:type="dxa" w:w="3221"/>
            <w:vAlign w:val="center"/>
          </w:tcPr>
          <w:p>
            <w:pPr>
              <w:spacing w:after="100" w:before="100"/>
            </w:pPr>
            <w:r>
              <w:rPr>
                <w:sz w:val="19"/>
              </w:rPr>
              <w:t>Approved the qualified disclosures and omission of unsupported blindness, influence and repeatability claims.</w:t>
            </w:r>
          </w:p>
        </w:tc>
        <w:tc>
          <w:tcPr>
            <w:tcW w:type="dxa" w:w="3221"/>
            <w:vAlign w:val="center"/>
          </w:tcPr>
          <w:p>
            <w:pPr>
              <w:spacing w:after="100" w:before="100"/>
            </w:pPr>
            <w:r>
              <w:rPr>
                <w:sz w:val="19"/>
              </w:rPr>
              <w:t>Detailed prompts, sampling, scoring and repeatability evidence remain unverified.</w:t>
            </w:r>
          </w:p>
        </w:tc>
      </w:tr>
      <w:tr>
        <w:trPr>
          <w:cantSplit/>
        </w:trPr>
        <w:tc>
          <w:tcPr>
            <w:tcW w:type="dxa" w:w="3221"/>
            <w:vAlign w:val="center"/>
          </w:tcPr>
          <w:p>
            <w:pPr>
              <w:spacing w:after="100" w:before="100"/>
            </w:pPr>
            <w:r>
              <w:rPr>
                <w:sz w:val="19"/>
              </w:rPr>
              <w:t>Live features</w:t>
            </w:r>
          </w:p>
        </w:tc>
        <w:tc>
          <w:tcPr>
            <w:tcW w:type="dxa" w:w="3221"/>
            <w:vAlign w:val="center"/>
          </w:tcPr>
          <w:p>
            <w:pPr>
              <w:spacing w:after="100" w:before="100"/>
            </w:pPr>
            <w:r>
              <w:rPr>
                <w:sz w:val="19"/>
              </w:rPr>
              <w:t>Approved the clean descriptions and explicit current-feature limits.</w:t>
            </w:r>
          </w:p>
        </w:tc>
        <w:tc>
          <w:tcPr>
            <w:tcW w:type="dxa" w:w="3221"/>
            <w:vAlign w:val="center"/>
          </w:tcPr>
          <w:p>
            <w:pPr>
              <w:spacing w:after="100" w:before="100"/>
            </w:pPr>
            <w:r>
              <w:rPr>
                <w:sz w:val="19"/>
              </w:rPr>
              <w:t>Owner confirmation was not independently tested; do not add staging-only features.</w:t>
            </w:r>
          </w:p>
        </w:tc>
      </w:tr>
      <w:tr>
        <w:trPr>
          <w:cantSplit/>
        </w:trPr>
        <w:tc>
          <w:tcPr>
            <w:tcW w:type="dxa" w:w="3221"/>
            <w:vAlign w:val="center"/>
          </w:tcPr>
          <w:p>
            <w:pPr>
              <w:spacing w:after="100" w:before="100"/>
            </w:pPr>
            <w:r>
              <w:rPr>
                <w:sz w:val="19"/>
              </w:rPr>
              <w:t>Procurement</w:t>
            </w:r>
          </w:p>
        </w:tc>
        <w:tc>
          <w:tcPr>
            <w:tcW w:type="dxa" w:w="3221"/>
            <w:vAlign w:val="center"/>
          </w:tcPr>
          <w:p>
            <w:pPr>
              <w:spacing w:after="100" w:before="100"/>
            </w:pPr>
            <w:r>
              <w:rPr>
                <w:sz w:val="19"/>
              </w:rPr>
              <w:t>No approval recorded.</w:t>
            </w:r>
          </w:p>
        </w:tc>
        <w:tc>
          <w:tcPr>
            <w:tcW w:type="dxa" w:w="3221"/>
            <w:vAlign w:val="center"/>
          </w:tcPr>
          <w:p>
            <w:pPr>
              <w:spacing w:after="100" w:before="100"/>
            </w:pPr>
            <w:r>
              <w:rPr>
                <w:sz w:val="19"/>
              </w:rPr>
              <w:t>Keep the explicit security, privacy, processor, location, retention and certification limitations.</w:t>
            </w:r>
          </w:p>
        </w:tc>
      </w:tr>
      <w:tr>
        <w:trPr>
          <w:cantSplit/>
        </w:trPr>
        <w:tc>
          <w:tcPr>
            <w:tcW w:type="dxa" w:w="3221"/>
            <w:vAlign w:val="center"/>
          </w:tcPr>
          <w:p>
            <w:pPr>
              <w:spacing w:after="100" w:before="100"/>
            </w:pPr>
            <w:r>
              <w:rPr>
                <w:sz w:val="19"/>
              </w:rPr>
              <w:t>Release</w:t>
            </w:r>
          </w:p>
        </w:tc>
        <w:tc>
          <w:tcPr>
            <w:tcW w:type="dxa" w:w="3221"/>
            <w:vAlign w:val="center"/>
          </w:tcPr>
          <w:p>
            <w:pPr>
              <w:spacing w:after="100" w:before="100"/>
            </w:pPr>
            <w:r>
              <w:rPr>
                <w:sz w:val="19"/>
              </w:rPr>
              <w:t>No authorisation recorded.</w:t>
            </w:r>
          </w:p>
        </w:tc>
        <w:tc>
          <w:tcPr>
            <w:tcW w:type="dxa" w:w="3221"/>
            <w:vAlign w:val="center"/>
          </w:tcPr>
          <w:p>
            <w:pPr>
              <w:spacing w:after="100" w:before="100"/>
            </w:pPr>
            <w:r>
              <w:rPr>
                <w:sz w:val="19"/>
              </w:rPr>
              <w:t>Do not publish or send either document without separate explicit authorisation.</w:t>
            </w:r>
          </w:p>
        </w:tc>
      </w:tr>
    </w:tbl>
    <w:p>
      <w:pPr>
        <w:spacing w:after="0"/>
      </w:pPr>
    </w:p>
    <w:p>
      <w:pPr>
        <w:pStyle w:val="Heading1"/>
      </w:pPr>
      <w:r>
        <w:t>Audience and handling</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cantSplit/>
        </w:trPr>
        <w:tc>
          <w:tcPr>
            <w:tcW w:type="dxa" w:w="3221"/>
            <w:shd w:fill="18384B"/>
            <w:vAlign w:val="center"/>
          </w:tcPr>
          <w:p>
            <w:pPr>
              <w:spacing w:after="100" w:before="100"/>
            </w:pPr>
            <w:r>
              <w:rPr>
                <w:b/>
                <w:color w:val="FFFFFF"/>
                <w:sz w:val="19"/>
              </w:rPr>
              <w:t>Audience</w:t>
            </w:r>
          </w:p>
        </w:tc>
        <w:tc>
          <w:tcPr>
            <w:tcW w:type="dxa" w:w="3221"/>
            <w:shd w:fill="18384B"/>
            <w:vAlign w:val="center"/>
          </w:tcPr>
          <w:p>
            <w:pPr>
              <w:spacing w:after="100" w:before="100"/>
            </w:pPr>
            <w:r>
              <w:rPr>
                <w:b/>
                <w:color w:val="FFFFFF"/>
                <w:sz w:val="19"/>
              </w:rPr>
              <w:t>Appropriate material</w:t>
            </w:r>
          </w:p>
        </w:tc>
        <w:tc>
          <w:tcPr>
            <w:tcW w:type="dxa" w:w="3221"/>
            <w:shd w:fill="18384B"/>
            <w:vAlign w:val="center"/>
          </w:tcPr>
          <w:p>
            <w:pPr>
              <w:spacing w:after="100" w:before="100"/>
            </w:pPr>
            <w:r>
              <w:rPr>
                <w:b/>
                <w:color w:val="FFFFFF"/>
                <w:sz w:val="19"/>
              </w:rPr>
              <w:t>Handling</w:t>
            </w:r>
          </w:p>
        </w:tc>
      </w:tr>
      <w:tr>
        <w:trPr>
          <w:cantSplit/>
        </w:trPr>
        <w:tc>
          <w:tcPr>
            <w:tcW w:type="dxa" w:w="3221"/>
            <w:vAlign w:val="center"/>
          </w:tcPr>
          <w:p>
            <w:pPr>
              <w:spacing w:after="100" w:before="100"/>
            </w:pPr>
            <w:r>
              <w:rPr>
                <w:sz w:val="19"/>
              </w:rPr>
              <w:t>Routine prospect conversations</w:t>
            </w:r>
          </w:p>
        </w:tc>
        <w:tc>
          <w:tcPr>
            <w:tcW w:type="dxa" w:w="3221"/>
            <w:vAlign w:val="center"/>
          </w:tcPr>
          <w:p>
            <w:pPr>
              <w:spacing w:after="100" w:before="100"/>
            </w:pPr>
            <w:r>
              <w:rPr>
                <w:sz w:val="19"/>
              </w:rPr>
              <w:t>Owner-approved clean v1.5: workflow, scope, limitations, commercial terms.</w:t>
            </w:r>
          </w:p>
        </w:tc>
        <w:tc>
          <w:tcPr>
            <w:tcW w:type="dxa" w:w="3221"/>
            <w:vAlign w:val="center"/>
          </w:tcPr>
          <w:p>
            <w:pPr>
              <w:spacing w:after="100" w:before="100"/>
            </w:pPr>
            <w:r>
              <w:rPr>
                <w:sz w:val="19"/>
              </w:rPr>
              <w:t>Send only the clean file after approval. Do not attach this review.</w:t>
            </w:r>
          </w:p>
        </w:tc>
      </w:tr>
      <w:tr>
        <w:trPr>
          <w:cantSplit/>
        </w:trPr>
        <w:tc>
          <w:tcPr>
            <w:tcW w:type="dxa" w:w="3221"/>
            <w:vAlign w:val="center"/>
          </w:tcPr>
          <w:p>
            <w:pPr>
              <w:spacing w:after="100" w:before="100"/>
            </w:pPr>
            <w:r>
              <w:rPr>
                <w:sz w:val="19"/>
              </w:rPr>
              <w:t>Procurement, security and privacy reviewers</w:t>
            </w:r>
          </w:p>
        </w:tc>
        <w:tc>
          <w:tcPr>
            <w:tcW w:type="dxa" w:w="3221"/>
            <w:vAlign w:val="center"/>
          </w:tcPr>
          <w:p>
            <w:pPr>
              <w:spacing w:after="100" w:before="100"/>
            </w:pPr>
            <w:r>
              <w:rPr>
                <w:sz w:val="19"/>
              </w:rPr>
              <w:t>Accurate hosting, processor, location, access, retention and privacy evidence.</w:t>
            </w:r>
          </w:p>
        </w:tc>
        <w:tc>
          <w:tcPr>
            <w:tcW w:type="dxa" w:w="3221"/>
            <w:vAlign w:val="center"/>
          </w:tcPr>
          <w:p>
            <w:pPr>
              <w:spacing w:after="100" w:before="100"/>
            </w:pPr>
            <w:r>
              <w:rPr>
                <w:sz w:val="19"/>
              </w:rPr>
              <w:t>Answer legitimate questions with verified facts. Use proportionate confidentiality, not blanket secrecy.</w:t>
            </w:r>
          </w:p>
        </w:tc>
      </w:tr>
      <w:tr>
        <w:trPr>
          <w:cantSplit/>
        </w:trPr>
        <w:tc>
          <w:tcPr>
            <w:tcW w:type="dxa" w:w="3221"/>
            <w:vAlign w:val="center"/>
          </w:tcPr>
          <w:p>
            <w:pPr>
              <w:spacing w:after="100" w:before="100"/>
            </w:pPr>
            <w:r>
              <w:rPr>
                <w:sz w:val="19"/>
              </w:rPr>
              <w:t>Authorised technical evaluators</w:t>
            </w:r>
          </w:p>
        </w:tc>
        <w:tc>
          <w:tcPr>
            <w:tcW w:type="dxa" w:w="3221"/>
            <w:vAlign w:val="center"/>
          </w:tcPr>
          <w:p>
            <w:pPr>
              <w:spacing w:after="100" w:before="100"/>
            </w:pPr>
            <w:r>
              <w:rPr>
                <w:sz w:val="19"/>
              </w:rPr>
              <w:t>Only verified methodology detail necessary for a defined evaluation.</w:t>
            </w:r>
          </w:p>
        </w:tc>
        <w:tc>
          <w:tcPr>
            <w:tcW w:type="dxa" w:w="3221"/>
            <w:vAlign w:val="center"/>
          </w:tcPr>
          <w:p>
            <w:pPr>
              <w:spacing w:after="100" w:before="100"/>
            </w:pPr>
            <w:r>
              <w:rPr>
                <w:sz w:val="19"/>
              </w:rPr>
              <w:t>Scope the question and approve the disclosure. An NDA does not automatically authorise the full methodology.</w:t>
            </w:r>
          </w:p>
        </w:tc>
      </w:tr>
      <w:tr>
        <w:trPr>
          <w:cantSplit/>
        </w:trPr>
        <w:tc>
          <w:tcPr>
            <w:tcW w:type="dxa" w:w="3221"/>
            <w:vAlign w:val="center"/>
          </w:tcPr>
          <w:p>
            <w:pPr>
              <w:spacing w:after="100" w:before="100"/>
            </w:pPr>
            <w:r>
              <w:rPr>
                <w:sz w:val="19"/>
              </w:rPr>
              <w:t>Internal commercial leadership</w:t>
            </w:r>
          </w:p>
        </w:tc>
        <w:tc>
          <w:tcPr>
            <w:tcW w:type="dxa" w:w="3221"/>
            <w:vAlign w:val="center"/>
          </w:tcPr>
          <w:p>
            <w:pPr>
              <w:spacing w:after="100" w:before="100"/>
            </w:pPr>
            <w:r>
              <w:rPr>
                <w:sz w:val="19"/>
              </w:rPr>
              <w:t>Fee bands, tier sizing, expected workloads and pricing assumptions.</w:t>
            </w:r>
          </w:p>
        </w:tc>
        <w:tc>
          <w:tcPr>
            <w:tcW w:type="dxa" w:w="3221"/>
            <w:vAlign w:val="center"/>
          </w:tcPr>
          <w:p>
            <w:pPr>
              <w:spacing w:after="100" w:before="100"/>
            </w:pPr>
            <w:r>
              <w:rPr>
                <w:sz w:val="19"/>
              </w:rPr>
              <w:t>Keep internal. These explain commercial decisions, not customer entitlements.</w:t>
            </w:r>
          </w:p>
        </w:tc>
      </w:tr>
    </w:tbl>
    <w:p>
      <w:pPr>
        <w:spacing w:after="0"/>
      </w:pPr>
    </w:p>
    <w:p>
      <w:pPr>
        <w:pStyle w:val="Heading2"/>
      </w:pPr>
      <w:r>
        <w:t>How decisions are labelled</w:t>
      </w:r>
    </w:p>
    <w:p>
      <w:r>
        <w:t>Retain: preserve useful substance. Simplify: remove excess detail or narrow the claim. Restrict to procurement: move detailed factual evidence into a relevant due-diligence response. Restrict to confidential methodology: keep implementation recipes under controlled review. Factual confirmation required: the source is inconsistent, unsupported, time-sensitive or not verified. Labels can overlap. Internal commercial modelling is excluded through simplification and held for commercial leadership, not mislabelled as procurement evidence.</w:t>
      </w:r>
    </w:p>
    <w:p>
      <w:pPr>
        <w:pStyle w:val="Heading2"/>
      </w:pPr>
      <w:r>
        <w:t>Front matter and approval status</w:t>
      </w:r>
    </w:p>
    <w:p>
      <w:pPr>
        <w:pStyle w:val="Heading3"/>
      </w:pPr>
      <w:r>
        <w:t>Original wording</w:t>
      </w:r>
    </w:p>
    <w:p>
      <w:pPr>
        <w:pStyle w:val="Sourcequotation"/>
      </w:pPr>
      <w:r>
        <w:t>[internal use only for sales conversations]</w:t>
      </w:r>
    </w:p>
    <w:p>
      <w:pPr>
        <w:pStyle w:val="Sourcequotation"/>
      </w:pPr>
      <w:r>
        <w:t xml:space="preserve">Answers are written so they can be used more or less as-is on a call, in an email or in a follow-up. Anything still marked TO CONFIRM is a factual gap that needs an answer before it goes to a prospect, so please don’t improvise around these. A confident wrong answer costs more than an honest “I’ll come back to you on that”. </w:t>
      </w:r>
    </w:p>
    <w:p>
      <w:pPr>
        <w:pStyle w:val="Heading3"/>
      </w:pPr>
      <w:r>
        <w:t>Replacement wording</w:t>
      </w:r>
    </w:p>
    <w:p>
      <w:r>
        <w:t>Status: not approved for release. This editorial draft is intended for sales conversations and prospect follow-up after owner approval. It is not a binding offer, a security certification or a guarantee of results.</w:t>
      </w:r>
    </w:p>
    <w:p>
      <w:pPr>
        <w:pStyle w:val="Heading3"/>
      </w:pPr>
      <w:r>
        <w:t>Reason: simplify; factual confirmation required</w:t>
      </w:r>
    </w:p>
    <w:p>
      <w:r>
        <w:t>The original internal-only label conflicts with its near-verbatim reuse instruction. Build a genuinely separate prospect draft, keep approval visible on every page and do not rely on a confidentiality label to cure inappropriate sales claims.</w:t>
      </w:r>
    </w:p>
    <w:p>
      <w:r>
        <w:br w:type="page"/>
      </w:r>
    </w:p>
    <w:p>
      <w:pPr>
        <w:pStyle w:val="Heading1"/>
      </w:pPr>
      <w:r>
        <w:t>Unresolved-claims checklist</w:t>
      </w:r>
    </w:p>
    <w:p>
      <w:r>
        <w:t>All items below are open until the relevant owner supplies evidence or approves narrower wording. This checklist is deliberately separate from confidentiality decisions: withholding detail does not make an unsupported assertion true.</w:t>
      </w:r>
    </w:p>
    <w:p>
      <w:pPr>
        <w:pStyle w:val="Heading2"/>
      </w:pPr>
      <w:r>
        <w:t>1. Measurement owner | prompt independence and identity</w:t>
      </w:r>
    </w:p>
    <w:p>
      <w:r>
        <w:t>Resolve section 2's 'roughly 99% blind' and no-reference wording against section 3's identity anchors and project-derived question generation. On the source's maximum described mix, eight category questions plus one identity question gives 8/9, about 88.9%, category questions, not 99%, if counted equally. Four responses per question would give 32/36, also about 88.9%. This arithmetic is only a contradiction check, not verification of the implemented method or of blindness. Examine actual prompt payloads and identify which stages receive names, domains, sectors and messages.</w:t>
      </w:r>
    </w:p>
    <w:p>
      <w:pPr>
        <w:pStyle w:val="Heading2"/>
      </w:pPr>
      <w:r>
        <w:t>2. Measurement owner | aggregation, sampling and final assessment</w:t>
      </w:r>
    </w:p>
    <w:p>
      <w:r>
        <w:t>Verify actual run counts, question weights, scoring provider, dimension treatment, denominators and handling of failures, duplicates and missing answers. Reconcile 'averages' with the source's more specific aggregation description. Distinguish question weighting from final index construction. Document methodology versions and what prevents invalid comparisons.</w:t>
      </w:r>
    </w:p>
    <w:p>
      <w:pPr>
        <w:pStyle w:val="Heading2"/>
      </w:pPr>
      <w:r>
        <w:t>3. Measurement owner | repeatability and API scope</w:t>
      </w:r>
    </w:p>
    <w:p>
      <w:r>
        <w:t>Obtain repeat-run evidence before saying robust, stable or repeatable. Temperature zero is not a guarantee of deterministic output, and API defaults are not proof of consumer-chat equivalence. Confirm actual provider/model identifiers, settings and retrieval conditions. Verify or discard the named model variants in the source; do not quietly replace them with guessed names.</w:t>
      </w:r>
    </w:p>
    <w:p>
      <w:pPr>
        <w:pStyle w:val="Heading2"/>
      </w:pPr>
      <w:r>
        <w:t>4. Product owner | Planner and content scores</w:t>
      </w:r>
    </w:p>
    <w:p>
      <w:r>
        <w:t>Resolve model-generated versus configured Planner scoring. The clean draft follows the source's more specific description of activity, channels, workflow status and configurable values, pending confirmation. Confirm whether publication-time content scoring exists and keep it separate from projected programme value, article quality and observed audit assessment.</w:t>
      </w:r>
    </w:p>
    <w:p>
      <w:pPr>
        <w:pStyle w:val="Heading2"/>
      </w:pPr>
      <w:r>
        <w:t>5. Research/marketing owner | external substantiation</w:t>
      </w:r>
    </w:p>
    <w:p>
      <w:r>
        <w:t>Do not reinstate the 80–90% earned-media assertion, earned-media-first hierarchy, first/unique positioning, blanket competitor comparisons, model suitability by client type, social weighting or 'most searches' claim without dated evidence and defined scope. Generated questions are not actual customer-demand or search-volume data.</w:t>
      </w:r>
    </w:p>
    <w:p>
      <w:pPr>
        <w:pStyle w:val="Heading2"/>
      </w:pPr>
      <w:r>
        <w:t>6. Product/reporting owner | customer-visible output</w:t>
      </w:r>
    </w:p>
    <w:p>
      <w:r>
        <w:t>Demonstrate current live report screens and exports: provider splits, citations, mention rates, source context, spokesperson/content/message breakdowns, and saved history. Verify any append-only or reconstruct-any-history promise and the scope of actual retention. Backend storage or staging-only code is not proof of a customer-visible live feature. Do not reinstate causal-attribution language.</w:t>
      </w:r>
    </w:p>
    <w:p>
      <w:pPr>
        <w:pStyle w:val="Heading2"/>
      </w:pPr>
      <w:r>
        <w:t>7. Product/web audit owner | measured versus assessed coverage</w:t>
      </w:r>
    </w:p>
    <w:p>
      <w:r>
        <w:t>Confirm which pages and resources are fetched, which checks are measured, and what supports any page-speed statement. Verify downloadable briefs and Word exports and the real save/handoff behaviour. Distinguish parsed facts from AI-generated recommendations; do not imply whole-site coverage from a page fetch.</w:t>
      </w:r>
    </w:p>
    <w:p>
      <w:pPr>
        <w:pStyle w:val="Heading2"/>
      </w:pPr>
      <w:r>
        <w:t>8. Data owner | media and market intelligence</w:t>
      </w:r>
    </w:p>
    <w:p>
      <w:r>
        <w:t>Confirm in-house provenance, UK/US and sector coverage, the source's 125-category total, listing horizon, contact accuracy evidence and scoring labels. Do not promise every category or record refreshes within 30 days without operational evidence. Check organiser links, dates and deadlines; relevance indicators are not measured GEO impact.</w:t>
      </w:r>
    </w:p>
    <w:p>
      <w:pPr>
        <w:pStyle w:val="Heading2"/>
      </w:pPr>
      <w:r>
        <w:t>9. Commercial owner | prices and allowances</w:t>
      </w:r>
    </w:p>
    <w:p>
      <w:r>
        <w:t>Approve the exact annual and quarterly annual-total figures, included Premium projects, VAT position, additional-project prices and 50/75/150 monthly allowances. Confirm chargeable actions, exclusions, resets, repeated actions, limits, support, contract duration, extra charges and applicable terms. All source prices are retained, not validated against billing configuration.</w:t>
      </w:r>
    </w:p>
    <w:p>
      <w:pPr>
        <w:pStyle w:val="Heading2"/>
      </w:pPr>
      <w:r>
        <w:t>10. Commercial owner | beta</w:t>
      </w:r>
    </w:p>
    <w:p>
      <w:r>
        <w:t>Confirm the two-month free trial, structured feedback requirement, 30% first-year reduction, eligibility, 5 October 2026 opening, December endpoint and early-October support. Reconcile calendar dates with individual trial start/end dates. Specify any payment, cancellation, renewal and conversion terms. Do not turn an expectation of continuation into a contractual obligation.</w:t>
      </w:r>
    </w:p>
    <w:p>
      <w:pPr>
        <w:pStyle w:val="Heading2"/>
      </w:pPr>
      <w:r>
        <w:t>11. Product/commercial owners | availability and roadmap</w:t>
      </w:r>
    </w:p>
    <w:p>
      <w:r>
        <w:t>Confirm current module availability, white-label package inclusion and scope, scoring customisation, report branding, support routing and Ask GEOrge behaviour. Remove unsupported promises from the approved copy. Additional providers, a release gateway, LinkedIn distribution, videos and timing remain proposals, not current deliverables. No new roadmap commitment is created.</w:t>
      </w:r>
    </w:p>
    <w:p>
      <w:pPr>
        <w:pStyle w:val="Heading2"/>
      </w:pPr>
      <w:r>
        <w:t>12. Security owner | deployed controls and processors</w:t>
      </w:r>
    </w:p>
    <w:p>
      <w:r>
        <w:t>Verify hosting/database/backup providers, all actual processors, locations, subprocessor chains, data flows, provider training/retention terms, cross-border transfers and agreements. Check access isolation, staff/admin access, password/session controls, credential handling and audit logs in the deployed service. Document encryption in transit and at rest by service; do not infer it from a provider name.</w:t>
      </w:r>
    </w:p>
    <w:p>
      <w:pPr>
        <w:pStyle w:val="Heading2"/>
      </w:pPr>
      <w:r>
        <w:t>13. Privacy/legal owner | rights, retention and contact data</w:t>
      </w:r>
    </w:p>
    <w:p>
      <w:r>
        <w:t>Confirm controller/processor roles, privacy notice currency, lawful sourcing and outreach use, correction/objection/suppression routes, subject-access handling and response timing. Establish return/export, live/backups/logs retention, deletion limits, incident procedures and legal holds. A general privacy notice does not substantiate a GDPR-compliance absolute.</w:t>
      </w:r>
    </w:p>
    <w:p>
      <w:pPr>
        <w:pStyle w:val="Heading2"/>
      </w:pPr>
      <w:r>
        <w:t>14. Leadership/editorial owner | final approval</w:t>
      </w:r>
    </w:p>
    <w:p>
      <w:r>
        <w:t>Confirm named leadership roles and any biographies to restore, then approve external wording and the offer. Check approved claims against current customer-facing functionality, not just staging. Keep all unverified matters explicitly qualified or remove them before release; record approver, evidence date and approved version.</w:t>
      </w:r>
    </w:p>
    <w:p>
      <w:r>
        <w:br w:type="page"/>
      </w:r>
    </w:p>
    <w:p>
      <w:pPr>
        <w:pStyle w:val="Heading1"/>
      </w:pPr>
      <w:r>
        <w:t>Withheld-material register</w:t>
      </w:r>
    </w:p>
    <w:p>
      <w:r>
        <w:t>Exact source wording is retained in the section-by-section comparison below. This register identifies who should review it and what must be verified before any selective disclosure. It is not a completed technical manual or security pack.</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cantSplit/>
        </w:trPr>
        <w:tc>
          <w:tcPr>
            <w:tcW w:type="dxa" w:w="3221"/>
            <w:shd w:fill="18384B"/>
            <w:vAlign w:val="center"/>
          </w:tcPr>
          <w:p>
            <w:pPr>
              <w:spacing w:after="100" w:before="100"/>
            </w:pPr>
            <w:r>
              <w:rPr>
                <w:b/>
                <w:color w:val="FFFFFF"/>
                <w:sz w:val="19"/>
              </w:rPr>
              <w:t>Source location and material</w:t>
            </w:r>
          </w:p>
        </w:tc>
        <w:tc>
          <w:tcPr>
            <w:tcW w:type="dxa" w:w="3221"/>
            <w:shd w:fill="18384B"/>
            <w:vAlign w:val="center"/>
          </w:tcPr>
          <w:p>
            <w:pPr>
              <w:spacing w:after="100" w:before="100"/>
            </w:pPr>
            <w:r>
              <w:rPr>
                <w:b/>
                <w:color w:val="FFFFFF"/>
                <w:sz w:val="19"/>
              </w:rPr>
              <w:t>Intended audience</w:t>
            </w:r>
          </w:p>
        </w:tc>
        <w:tc>
          <w:tcPr>
            <w:tcW w:type="dxa" w:w="3221"/>
            <w:shd w:fill="18384B"/>
            <w:vAlign w:val="center"/>
          </w:tcPr>
          <w:p>
            <w:pPr>
              <w:spacing w:after="100" w:before="100"/>
            </w:pPr>
            <w:r>
              <w:rPr>
                <w:b/>
                <w:color w:val="FFFFFF"/>
                <w:sz w:val="19"/>
              </w:rPr>
              <w:t>Confirmation needed</w:t>
            </w:r>
          </w:p>
        </w:tc>
      </w:tr>
      <w:tr>
        <w:trPr>
          <w:cantSplit/>
        </w:trPr>
        <w:tc>
          <w:tcPr>
            <w:tcW w:type="dxa" w:w="3221"/>
            <w:vAlign w:val="center"/>
          </w:tcPr>
          <w:p>
            <w:pPr>
              <w:spacing w:after="100" w:before="100"/>
            </w:pPr>
            <w:r>
              <w:rPr>
                <w:sz w:val="19"/>
              </w:rPr>
              <w:t>Sections 2–3: blind/branded ratio, identity anchors and question-generation inputs.</w:t>
            </w:r>
          </w:p>
        </w:tc>
        <w:tc>
          <w:tcPr>
            <w:tcW w:type="dxa" w:w="3221"/>
            <w:vAlign w:val="center"/>
          </w:tcPr>
          <w:p>
            <w:pPr>
              <w:spacing w:after="100" w:before="100"/>
            </w:pPr>
            <w:r>
              <w:rPr>
                <w:sz w:val="19"/>
              </w:rPr>
              <w:t>Measurement owner; authorised technical evaluator only if necessary.</w:t>
            </w:r>
          </w:p>
        </w:tc>
        <w:tc>
          <w:tcPr>
            <w:tcW w:type="dxa" w:w="3221"/>
            <w:vAlign w:val="center"/>
          </w:tcPr>
          <w:p>
            <w:pPr>
              <w:spacing w:after="100" w:before="100"/>
            </w:pPr>
            <w:r>
              <w:rPr>
                <w:sz w:val="19"/>
              </w:rPr>
              <w:t>Actual prompt payloads and exposure of company information at each stage. No unverified blindness claim.</w:t>
            </w:r>
          </w:p>
        </w:tc>
      </w:tr>
      <w:tr>
        <w:trPr>
          <w:cantSplit/>
        </w:trPr>
        <w:tc>
          <w:tcPr>
            <w:tcW w:type="dxa" w:w="3221"/>
            <w:vAlign w:val="center"/>
          </w:tcPr>
          <w:p>
            <w:pPr>
              <w:spacing w:after="100" w:before="100"/>
            </w:pPr>
            <w:r>
              <w:rPr>
                <w:sz w:val="19"/>
              </w:rPr>
              <w:t>Section 3: exact question weights, probe/run counts, temperature settings, scoring-provider implementation and agency-specific weights.</w:t>
            </w:r>
          </w:p>
        </w:tc>
        <w:tc>
          <w:tcPr>
            <w:tcW w:type="dxa" w:w="3221"/>
            <w:vAlign w:val="center"/>
          </w:tcPr>
          <w:p>
            <w:pPr>
              <w:spacing w:after="100" w:before="100"/>
            </w:pPr>
            <w:r>
              <w:rPr>
                <w:sz w:val="19"/>
              </w:rPr>
              <w:t>Measurement owner; scoped confidential methodology discussion.</w:t>
            </w:r>
          </w:p>
        </w:tc>
        <w:tc>
          <w:tcPr>
            <w:tcW w:type="dxa" w:w="3221"/>
            <w:vAlign w:val="center"/>
          </w:tcPr>
          <w:p>
            <w:pPr>
              <w:spacing w:after="100" w:before="100"/>
            </w:pPr>
            <w:r>
              <w:rPr>
                <w:sz w:val="19"/>
              </w:rPr>
              <w:t>Current configuration, aggregation, score construction, repeatability evidence and comparability effects.</w:t>
            </w:r>
          </w:p>
        </w:tc>
      </w:tr>
      <w:tr>
        <w:trPr>
          <w:cantSplit/>
        </w:trPr>
        <w:tc>
          <w:tcPr>
            <w:tcW w:type="dxa" w:w="3221"/>
            <w:vAlign w:val="center"/>
          </w:tcPr>
          <w:p>
            <w:pPr>
              <w:spacing w:after="100" w:before="100"/>
            </w:pPr>
            <w:r>
              <w:rPr>
                <w:sz w:val="19"/>
              </w:rPr>
              <w:t>Section 5: in-house agentic construction and rolling 30-day refresh process.</w:t>
            </w:r>
          </w:p>
        </w:tc>
        <w:tc>
          <w:tcPr>
            <w:tcW w:type="dxa" w:w="3221"/>
            <w:vAlign w:val="center"/>
          </w:tcPr>
          <w:p>
            <w:pPr>
              <w:spacing w:after="100" w:before="100"/>
            </w:pPr>
            <w:r>
              <w:rPr>
                <w:sz w:val="19"/>
              </w:rPr>
              <w:t>Data owner; selective technical evaluator.</w:t>
            </w:r>
          </w:p>
        </w:tc>
        <w:tc>
          <w:tcPr>
            <w:tcW w:type="dxa" w:w="3221"/>
            <w:vAlign w:val="center"/>
          </w:tcPr>
          <w:p>
            <w:pPr>
              <w:spacing w:after="100" w:before="100"/>
            </w:pPr>
            <w:r>
              <w:rPr>
                <w:sz w:val="19"/>
              </w:rPr>
              <w:t>Separate proprietary build detail from buyer-relevant provenance, lawful sourcing and evidenced currency.</w:t>
            </w:r>
          </w:p>
        </w:tc>
      </w:tr>
      <w:tr>
        <w:trPr>
          <w:cantSplit/>
        </w:trPr>
        <w:tc>
          <w:tcPr>
            <w:tcW w:type="dxa" w:w="3221"/>
            <w:vAlign w:val="center"/>
          </w:tcPr>
          <w:p>
            <w:pPr>
              <w:spacing w:after="100" w:before="100"/>
            </w:pPr>
            <w:r>
              <w:rPr>
                <w:sz w:val="19"/>
              </w:rPr>
              <w:t>Section 9: fee bands, workload examples, calculated action totals, cap headroom and expected additional-project volumes.</w:t>
            </w:r>
          </w:p>
        </w:tc>
        <w:tc>
          <w:tcPr>
            <w:tcW w:type="dxa" w:w="3221"/>
            <w:vAlign w:val="center"/>
          </w:tcPr>
          <w:p>
            <w:pPr>
              <w:spacing w:after="100" w:before="100"/>
            </w:pPr>
            <w:r>
              <w:rPr>
                <w:sz w:val="19"/>
              </w:rPr>
              <w:t>Internal commercial leadership only.</w:t>
            </w:r>
          </w:p>
        </w:tc>
        <w:tc>
          <w:tcPr>
            <w:tcW w:type="dxa" w:w="3221"/>
            <w:vAlign w:val="center"/>
          </w:tcPr>
          <w:p>
            <w:pPr>
              <w:spacing w:after="100" w:before="100"/>
            </w:pPr>
            <w:r>
              <w:rPr>
                <w:sz w:val="19"/>
              </w:rPr>
              <w:t>Internal assumptions need not be externally disclosed. Customer prices and allowances still require approval.</w:t>
            </w:r>
          </w:p>
        </w:tc>
      </w:tr>
      <w:tr>
        <w:trPr>
          <w:cantSplit/>
        </w:trPr>
        <w:tc>
          <w:tcPr>
            <w:tcW w:type="dxa" w:w="3221"/>
            <w:vAlign w:val="center"/>
          </w:tcPr>
          <w:p>
            <w:pPr>
              <w:spacing w:after="100" w:before="100"/>
            </w:pPr>
            <w:r>
              <w:rPr>
                <w:sz w:val="19"/>
              </w:rPr>
              <w:t>Section 10: database technology, hashing algorithm, cookie flags, session lifetime/revocation and IP handling.</w:t>
            </w:r>
          </w:p>
        </w:tc>
        <w:tc>
          <w:tcPr>
            <w:tcW w:type="dxa" w:w="3221"/>
            <w:vAlign w:val="center"/>
          </w:tcPr>
          <w:p>
            <w:pPr>
              <w:spacing w:after="100" w:before="100"/>
            </w:pPr>
            <w:r>
              <w:rPr>
                <w:sz w:val="19"/>
              </w:rPr>
              <w:t>Security and procurement reviewers.</w:t>
            </w:r>
          </w:p>
        </w:tc>
        <w:tc>
          <w:tcPr>
            <w:tcW w:type="dxa" w:w="3221"/>
            <w:vAlign w:val="center"/>
          </w:tcPr>
          <w:p>
            <w:pPr>
              <w:spacing w:after="100" w:before="100"/>
            </w:pPr>
            <w:r>
              <w:rPr>
                <w:sz w:val="19"/>
              </w:rPr>
              <w:t>Verify deployed controls. Do not withhold material facts required for risk assessment merely because details are technical.</w:t>
            </w:r>
          </w:p>
        </w:tc>
      </w:tr>
      <w:tr>
        <w:trPr>
          <w:cantSplit/>
        </w:trPr>
        <w:tc>
          <w:tcPr>
            <w:tcW w:type="dxa" w:w="3221"/>
            <w:vAlign w:val="center"/>
          </w:tcPr>
          <w:p>
            <w:pPr>
              <w:spacing w:after="100" w:before="100"/>
            </w:pPr>
            <w:r>
              <w:rPr>
                <w:sz w:val="19"/>
              </w:rPr>
              <w:t>Sections 2–3, 5, 8–9: model variants, provider plans, white-label/scoring promises, gateway dates and video plans.</w:t>
            </w:r>
          </w:p>
        </w:tc>
        <w:tc>
          <w:tcPr>
            <w:tcW w:type="dxa" w:w="3221"/>
            <w:vAlign w:val="center"/>
          </w:tcPr>
          <w:p>
            <w:pPr>
              <w:spacing w:after="100" w:before="100"/>
            </w:pPr>
            <w:r>
              <w:rPr>
                <w:sz w:val="19"/>
              </w:rPr>
              <w:t>Product/commercial owners; approved public statements only.</w:t>
            </w:r>
          </w:p>
        </w:tc>
        <w:tc>
          <w:tcPr>
            <w:tcW w:type="dxa" w:w="3221"/>
            <w:vAlign w:val="center"/>
          </w:tcPr>
          <w:p>
            <w:pPr>
              <w:spacing w:after="100" w:before="100"/>
            </w:pPr>
            <w:r>
              <w:rPr>
                <w:sz w:val="19"/>
              </w:rPr>
              <w:t>Actual availability, authorised scope and dates. Proposed features do not become promises through an NDA.</w:t>
            </w:r>
          </w:p>
        </w:tc>
      </w:tr>
    </w:tbl>
    <w:p>
      <w:pPr>
        <w:spacing w:after="0"/>
      </w:pPr>
    </w:p>
    <w:p>
      <w:pPr>
        <w:pStyle w:val="Heading2"/>
      </w:pPr>
      <w:r>
        <w:t>Accompanying email: disposition of recommendations</w:t>
      </w:r>
    </w:p>
    <w:tbl>
      <w:tblPr>
        <w:tblStyle w:val="TableGrid"/>
        <w:tblW w:type="auto" w:w="0"/>
        <w:jc w:val="center"/>
        <w:tblLayout w:type="fixed"/>
        <w:tblLook w:firstColumn="1" w:firstRow="1" w:lastColumn="0" w:lastRow="0" w:noHBand="0" w:noVBand="1" w:val="04A0"/>
      </w:tblPr>
      <w:tblGrid>
        <w:gridCol w:w="4831"/>
        <w:gridCol w:w="4831"/>
      </w:tblGrid>
      <w:tr>
        <w:trPr>
          <w:tblHeader/>
          <w:cantSplit/>
        </w:trPr>
        <w:tc>
          <w:tcPr>
            <w:tcW w:type="dxa" w:w="4831"/>
            <w:shd w:fill="18384B"/>
            <w:vAlign w:val="center"/>
          </w:tcPr>
          <w:p>
            <w:pPr>
              <w:spacing w:after="100" w:before="100"/>
            </w:pPr>
            <w:r>
              <w:rPr>
                <w:b/>
                <w:color w:val="FFFFFF"/>
                <w:sz w:val="19"/>
              </w:rPr>
              <w:t>Email point</w:t>
            </w:r>
          </w:p>
        </w:tc>
        <w:tc>
          <w:tcPr>
            <w:tcW w:type="dxa" w:w="4831"/>
            <w:shd w:fill="18384B"/>
            <w:vAlign w:val="center"/>
          </w:tcPr>
          <w:p>
            <w:pPr>
              <w:spacing w:after="100" w:before="100"/>
            </w:pPr>
            <w:r>
              <w:rPr>
                <w:b/>
                <w:color w:val="FFFFFF"/>
                <w:sz w:val="19"/>
              </w:rPr>
              <w:t>Editorial response</w:t>
            </w:r>
          </w:p>
        </w:tc>
      </w:tr>
      <w:tr>
        <w:trPr>
          <w:cantSplit/>
        </w:trPr>
        <w:tc>
          <w:tcPr>
            <w:tcW w:type="dxa" w:w="4831"/>
            <w:vAlign w:val="center"/>
          </w:tcPr>
          <w:p>
            <w:pPr>
              <w:spacing w:after="100" w:before="100"/>
            </w:pPr>
            <w:r>
              <w:rPr>
                <w:sz w:val="19"/>
              </w:rPr>
              <w:t>1. Authority methodology</w:t>
            </w:r>
          </w:p>
        </w:tc>
        <w:tc>
          <w:tcPr>
            <w:tcW w:type="dxa" w:w="4831"/>
            <w:vAlign w:val="center"/>
          </w:tcPr>
          <w:p>
            <w:pPr>
              <w:spacing w:after="100" w:before="100"/>
            </w:pPr>
            <w:r>
              <w:rPr>
                <w:sz w:val="19"/>
              </w:rPr>
              <w:t>Accepted the audience separation. Retained high-level dimensions and observation/assessment distinction. Exact mechanics remain unverified internal material, not an automatic full-methodology handout under NDA.</w:t>
            </w:r>
          </w:p>
        </w:tc>
      </w:tr>
      <w:tr>
        <w:trPr>
          <w:cantSplit/>
        </w:trPr>
        <w:tc>
          <w:tcPr>
            <w:tcW w:type="dxa" w:w="4831"/>
            <w:vAlign w:val="center"/>
          </w:tcPr>
          <w:p>
            <w:pPr>
              <w:spacing w:after="100" w:before="100"/>
            </w:pPr>
            <w:r>
              <w:rPr>
                <w:sz w:val="19"/>
              </w:rPr>
              <w:t>2. Blind-probe design</w:t>
            </w:r>
          </w:p>
        </w:tc>
        <w:tc>
          <w:tcPr>
            <w:tcW w:type="dxa" w:w="4831"/>
            <w:vAlign w:val="center"/>
          </w:tcPr>
          <w:p>
            <w:pPr>
              <w:spacing w:after="100" w:before="100"/>
            </w:pPr>
            <w:r>
              <w:rPr>
                <w:sz w:val="19"/>
              </w:rPr>
              <w:t>Qualified rather than accepted. The email calls 99% blind a differentiator, but the source contradicts that claim. Also rejected the categorical assertion that setup never affects prompts until payloads are checked.</w:t>
            </w:r>
          </w:p>
        </w:tc>
      </w:tr>
      <w:tr>
        <w:trPr>
          <w:cantSplit/>
        </w:trPr>
        <w:tc>
          <w:tcPr>
            <w:tcW w:type="dxa" w:w="4831"/>
            <w:vAlign w:val="center"/>
          </w:tcPr>
          <w:p>
            <w:pPr>
              <w:spacing w:after="100" w:before="100"/>
            </w:pPr>
            <w:r>
              <w:rPr>
                <w:sz w:val="19"/>
              </w:rPr>
              <w:t>3. Media construction</w:t>
            </w:r>
          </w:p>
        </w:tc>
        <w:tc>
          <w:tcPr>
            <w:tcW w:type="dxa" w:w="4831"/>
            <w:vAlign w:val="center"/>
          </w:tcPr>
          <w:p>
            <w:pPr>
              <w:spacing w:after="100" w:before="100"/>
            </w:pPr>
            <w:r>
              <w:rPr>
                <w:sz w:val="19"/>
              </w:rPr>
              <w:t>Removed the build recipe and 30-day guarantee. Kept source-attributed provenance and explicit record-currency limitations.</w:t>
            </w:r>
          </w:p>
        </w:tc>
      </w:tr>
      <w:tr>
        <w:trPr>
          <w:cantSplit/>
        </w:trPr>
        <w:tc>
          <w:tcPr>
            <w:tcW w:type="dxa" w:w="4831"/>
            <w:vAlign w:val="center"/>
          </w:tcPr>
          <w:p>
            <w:pPr>
              <w:spacing w:after="100" w:before="100"/>
            </w:pPr>
            <w:r>
              <w:rPr>
                <w:sz w:val="19"/>
              </w:rPr>
              <w:t>4. Tier modelling</w:t>
            </w:r>
          </w:p>
        </w:tc>
        <w:tc>
          <w:tcPr>
            <w:tcW w:type="dxa" w:w="4831"/>
            <w:vAlign w:val="center"/>
          </w:tcPr>
          <w:p>
            <w:pPr>
              <w:spacing w:after="100" w:before="100"/>
            </w:pPr>
            <w:r>
              <w:rPr>
                <w:sz w:val="19"/>
              </w:rPr>
              <w:t>Kept all supplied price points and action caps for confirmation. Removed fee bands and workload calculations from the prospect draft.</w:t>
            </w:r>
          </w:p>
        </w:tc>
      </w:tr>
      <w:tr>
        <w:trPr>
          <w:cantSplit/>
        </w:trPr>
        <w:tc>
          <w:tcPr>
            <w:tcW w:type="dxa" w:w="4831"/>
            <w:vAlign w:val="center"/>
          </w:tcPr>
          <w:p>
            <w:pPr>
              <w:spacing w:after="100" w:before="100"/>
            </w:pPr>
            <w:r>
              <w:rPr>
                <w:sz w:val="19"/>
              </w:rPr>
              <w:t>5. Infrastructure/authentication</w:t>
            </w:r>
          </w:p>
        </w:tc>
        <w:tc>
          <w:tcPr>
            <w:tcW w:type="dxa" w:w="4831"/>
            <w:vAlign w:val="center"/>
          </w:tcPr>
          <w:p>
            <w:pPr>
              <w:spacing w:after="100" w:before="100"/>
            </w:pPr>
            <w:r>
              <w:rPr>
                <w:sz w:val="19"/>
              </w:rPr>
              <w:t>Simplified configuration detail but retained named hosting/processors and privacy gaps. Exact hosting and controls remain legitimate procurement disclosures, not inherently secret.</w:t>
            </w:r>
          </w:p>
        </w:tc>
      </w:tr>
      <w:tr>
        <w:trPr>
          <w:cantSplit/>
        </w:trPr>
        <w:tc>
          <w:tcPr>
            <w:tcW w:type="dxa" w:w="4831"/>
            <w:vAlign w:val="center"/>
          </w:tcPr>
          <w:p>
            <w:pPr>
              <w:spacing w:after="100" w:before="100"/>
            </w:pPr>
            <w:r>
              <w:rPr>
                <w:sz w:val="19"/>
              </w:rPr>
              <w:t>6. Roadmap</w:t>
            </w:r>
          </w:p>
        </w:tc>
        <w:tc>
          <w:tcPr>
            <w:tcW w:type="dxa" w:w="4831"/>
            <w:vAlign w:val="center"/>
          </w:tcPr>
          <w:p>
            <w:pPr>
              <w:spacing w:after="100" w:before="100"/>
            </w:pPr>
            <w:r>
              <w:rPr>
                <w:sz w:val="19"/>
              </w:rPr>
              <w:t>Removed speculative model names, dates and channel promises. Retained current coverage and explicit beta limitations; proposed features remain proposals.</w:t>
            </w:r>
          </w:p>
        </w:tc>
      </w:tr>
    </w:tbl>
    <w:p>
      <w:pPr>
        <w:spacing w:after="0"/>
      </w:pPr>
    </w:p>
    <w:p>
      <w:r>
        <w:br w:type="page"/>
      </w:r>
    </w:p>
    <w:p>
      <w:pPr>
        <w:pStyle w:val="Heading1"/>
      </w:pPr>
      <w:r>
        <w:t>Comparison: 1  Positioning and background</w:t>
      </w:r>
    </w:p>
    <w:p>
      <w:pPr>
        <w:pStyle w:val="Heading2"/>
      </w:pPr>
      <w:r>
        <w:t>1.1  How should we describe AIO Fusion?</w:t>
      </w:r>
    </w:p>
    <w:p>
      <w:r>
        <w:t>Decision: simplify; factual confirmation required</w:t>
      </w:r>
    </w:p>
    <w:p>
      <w:pPr>
        <w:pStyle w:val="Heading3"/>
      </w:pPr>
      <w:r>
        <w:t>Original v1.4 wording</w:t>
      </w:r>
    </w:p>
    <w:p>
      <w:pPr>
        <w:pStyle w:val="Sourcequotation"/>
      </w:pPr>
      <w:r>
        <w:t>Approved boilerplate: use verbatim</w:t>
      </w:r>
    </w:p>
    <w:p>
      <w:pPr>
        <w:pStyle w:val="Sourcequotation"/>
      </w:pPr>
      <w:r>
        <w:t>AIO Fusion is the first purpose-built enterprise SaaS GEO platform for the PR and marketing industry. Designed for continuous evolution, the technology integrates earned and owned media diagnostics with the tools to enhance visibility amongst LLM agents including AI content automation, media relations, authority scoring, predictive communications planning, content management, performance measurement, marketing research and technical optimisation. Its unique data-fuelled AIO Fusion Loop translates PR and marketing activity into measurable GEO performance over time.</w:t>
      </w:r>
    </w:p>
    <w:p>
      <w:pPr>
        <w:pStyle w:val="Sourcequotation"/>
      </w:pPr>
      <w:r>
        <w:t>Built by communications professionals, AIO Fusion provides the tooling PR professionals, marketers, SEO professionals and brand strategists need to embrace AI search and enhance brand GEO strategically.</w:t>
      </w:r>
    </w:p>
    <w:p>
      <w:pPr>
        <w:pStyle w:val="Sourcequotation"/>
      </w:pPr>
      <w:r>
        <w:t>In 25 words: Everything you need to win AI visibility. From diagnosis through to delivery, the full GEO, PR and marketing content workflow in one platform.</w:t>
      </w:r>
    </w:p>
    <w:p>
      <w:pPr>
        <w:pStyle w:val="Sourcequotation"/>
      </w:pPr>
      <w:r>
        <w:t>Strapline: AI authority for PR and marketing.  ·  www.aiofusion.ai</w:t>
      </w:r>
    </w:p>
    <w:p>
      <w:pPr>
        <w:pStyle w:val="Heading3"/>
      </w:pPr>
      <w:r>
        <w:t>Replacement v1.5 wording</w:t>
      </w:r>
    </w:p>
    <w:p>
      <w:r>
        <w:t>AIO Fusion is a generative engine optimisation (GEO) platform for PR, communications and marketing teams. It brings together AI visibility audits, content creation and optimisation, media research, communications planning and reporting in one project-based workflow.</w:t>
      </w:r>
    </w:p>
    <w:p>
      <w:r>
        <w:t>It helps teams understand how a brand appears in sampled AI answers, prioritise communications work and monitor subsequent changes. It does not control AI providers' answers or guarantee an improvement in visibility.</w:t>
      </w:r>
    </w:p>
    <w:p>
      <w:r>
        <w:t>AI authority for PR and marketing. | www.aiofusion.ai</w:t>
      </w:r>
    </w:p>
    <w:p>
      <w:pPr>
        <w:pStyle w:val="Heading3"/>
      </w:pPr>
      <w:r>
        <w:t>Reason and handling</w:t>
      </w:r>
    </w:p>
    <w:p>
      <w:r>
        <w:t>Preserve the authors' integrated-workflow positioning. Remove unsubstantiated first, unique, enterprise and win claims, the predictive label and the implication of causal measurement. The source label 'Approved boilerplate' does not approve this new draft.</w:t>
      </w:r>
    </w:p>
    <w:p>
      <w:pPr>
        <w:pStyle w:val="Heading2"/>
      </w:pPr>
      <w:r>
        <w:t>1.2  What is AIO Fusion?</w:t>
      </w:r>
    </w:p>
    <w:p>
      <w:r>
        <w:t>Decision: retain; simplify</w:t>
      </w:r>
    </w:p>
    <w:p>
      <w:pPr>
        <w:pStyle w:val="Heading3"/>
      </w:pPr>
      <w:r>
        <w:t>Original v1.4 wording</w:t>
      </w:r>
    </w:p>
    <w:p>
      <w:pPr>
        <w:pStyle w:val="Sourcequotation"/>
      </w:pPr>
      <w:r>
        <w:t>What is AIO Fusion?</w:t>
      </w:r>
    </w:p>
    <w:p>
      <w:pPr>
        <w:pStyle w:val="Sourcequotation"/>
      </w:pPr>
      <w:r>
        <w:t>AIO Fusion is a generative engine optimisation (GEO) platform built for the way PR and communications teams actually work. It measures how large language models describe a brand, identifies where that description is wrong, thin or missing, and then gives the team the tools to fix it, through earned media, owned content and website changes, inside a single workflow.</w:t>
      </w:r>
    </w:p>
    <w:p>
      <w:pPr>
        <w:pStyle w:val="Heading3"/>
      </w:pPr>
      <w:r>
        <w:t>Replacement v1.5 wording</w:t>
      </w:r>
    </w:p>
    <w:p>
      <w:r>
        <w:t>AIO Fusion helps teams examine how supported AI models describe a brand, identify missing or inaccurate information, and plan responses through earned media, owned content and website improvements. Audits, drafting, research and planning sit within the same workflow. Findings guide human decisions rather than replacing them.</w:t>
      </w:r>
    </w:p>
    <w:p>
      <w:pPr>
        <w:pStyle w:val="Heading3"/>
      </w:pPr>
      <w:r>
        <w:t>Reason and handling</w:t>
      </w:r>
    </w:p>
    <w:p>
      <w:r>
        <w:t>Retain the useful diagnosis-to-action explanation while changing 'fix it' to an activity the product can support, not an assured model outcome.</w:t>
      </w:r>
    </w:p>
    <w:p>
      <w:pPr>
        <w:pStyle w:val="Heading2"/>
      </w:pPr>
      <w:r>
        <w:t>1.3  Who built it, and why?</w:t>
      </w:r>
    </w:p>
    <w:p>
      <w:r>
        <w:t>Decision: simplify; factual confirmation required</w:t>
      </w:r>
    </w:p>
    <w:p>
      <w:pPr>
        <w:pStyle w:val="Heading3"/>
      </w:pPr>
      <w:r>
        <w:t>Original v1.4 wording</w:t>
      </w:r>
    </w:p>
    <w:p>
      <w:pPr>
        <w:pStyle w:val="Sourcequotation"/>
      </w:pPr>
      <w:r>
        <w:t>Who built it, and why?</w:t>
      </w:r>
    </w:p>
    <w:p>
      <w:pPr>
        <w:pStyle w:val="Sourcequotation"/>
      </w:pPr>
      <w:r>
        <w:t>It was created by ex-PR agency leaders with journalism backgrounds.</w:t>
      </w:r>
    </w:p>
    <w:p>
      <w:pPr>
        <w:pStyle w:val="Sourcequotation"/>
      </w:pPr>
      <w:r>
        <w:t>Patrick Barrett, CEO &amp; Co-Founder: 30+ years in B2B PR, media and journalism. Former Editor of Media Week; Guardian Media journalist. Founded Simpatico PR (2010) - clients include Accenture, WPP companies, Dentsu, Unilever. Concept originator and product architect; leads strategy, GTM and investor relations.</w:t>
      </w:r>
    </w:p>
    <w:p>
      <w:pPr>
        <w:pStyle w:val="Sourcequotation"/>
      </w:pPr>
      <w:r>
        <w:t>Natalie Linder, Co-Founder &amp; Chief Product &amp; Experience Officer: Journalist and researcher (Anglia Television); founded and exited an award-winning hospitality business. B2B PR across fintech and professional-services SaaS; Senior Consultant at Simpatico PR since 2022. Leads product design, UX and client workflow.</w:t>
      </w:r>
    </w:p>
    <w:p>
      <w:pPr>
        <w:pStyle w:val="Sourcequotation"/>
      </w:pPr>
      <w:r>
        <w:t>Spencer Gallagher, Technical Lead &amp; Head of Platform Development: Founding Partner at Bluhalo — built a digital agency into a top-10 UK agency and exited (2008). Co-author of Agencynomics. Leads platform architecture, AI integration and delivery through V1 and the V2 agentic build; Bluhalo’s Agentic Agency OS makes him uniquely qualified to lead our agentic development. Briefed to recruit the in-house dev team.</w:t>
      </w:r>
    </w:p>
    <w:p>
      <w:pPr>
        <w:pStyle w:val="Sourcequotation"/>
      </w:pPr>
      <w:r>
        <w:t>This is significant, because the problem is not purely technical. The answer a model gives about a company is assembled from the same coverage, commentary and reference material that PR teams have always influenced. AIO Fusion was designed to combine GEO with the daily practice of PR and content marketing rather than treat it as a separate discipline owned by a different team.</w:t>
      </w:r>
    </w:p>
    <w:p>
      <w:pPr>
        <w:pStyle w:val="Heading3"/>
      </w:pPr>
      <w:r>
        <w:t>Replacement v1.5 wording</w:t>
      </w:r>
    </w:p>
    <w:p>
      <w:r>
        <w:t>AIO Fusion was created by communications professionals with PR, journalism, research and digital-agency experience. Patrick Barrett is CEO and Co-Founder; Natalie Linder is Co-Founder and Chief Product &amp; Experience Officer; Spencer Gallagher leads platform development.</w:t>
      </w:r>
    </w:p>
    <w:p>
      <w:r>
        <w:t>The aim is to connect AI visibility work with the activities communications teams already manage: brand messaging, evidence, editorial content, media relations and reporting.</w:t>
      </w:r>
    </w:p>
    <w:p>
      <w:pPr>
        <w:pStyle w:val="Heading3"/>
      </w:pPr>
      <w:r>
        <w:t>Reason and handling</w:t>
      </w:r>
    </w:p>
    <w:p>
      <w:r>
        <w:t>Keep named leadership and relevant experience. Omit detailed career, client and exit claims, recruitment instructions, future-build commitments and 'uniquely qualified'. Leadership titles and biographies still require owner sign-off.</w:t>
      </w:r>
    </w:p>
    <w:p>
      <w:pPr>
        <w:pStyle w:val="Heading2"/>
      </w:pPr>
      <w:r>
        <w:t>1.4  How is it different from AI visibility trackers?</w:t>
      </w:r>
    </w:p>
    <w:p>
      <w:r>
        <w:t>Decision: simplify; factual confirmation required</w:t>
      </w:r>
    </w:p>
    <w:p>
      <w:pPr>
        <w:pStyle w:val="Heading3"/>
      </w:pPr>
      <w:r>
        <w:t>Original v1.4 wording</w:t>
      </w:r>
    </w:p>
    <w:p>
      <w:pPr>
        <w:pStyle w:val="Sourcequotation"/>
      </w:pPr>
      <w:r>
        <w:t>How is it different from the AI visibility trackers already on the market?</w:t>
      </w:r>
    </w:p>
    <w:p>
      <w:pPr>
        <w:pStyle w:val="Sourcequotation"/>
      </w:pPr>
      <w:r>
        <w:t>Most current tools are purely diagnostic. They tell you your visibility score is low; they don’t help you do anything about it. AIO Fusion is built around two things those tools don’t offer.</w:t>
      </w:r>
    </w:p>
    <w:p>
      <w:pPr>
        <w:pStyle w:val="Sourcequotation"/>
      </w:pPr>
      <w:r>
        <w:t>Action. Audit findings feed directly into content creation, content optimisation, a media database and a communications planner. The output of a diagnosis is a prioritised list of things to do, not just a number.</w:t>
      </w:r>
    </w:p>
    <w:p>
      <w:pPr>
        <w:pStyle w:val="Sourcequotation"/>
      </w:pPr>
      <w:r>
        <w:t>Consistency. Model outputs vary run to run. If the audit method isn’t controlled, GEO performance numbers will be random and therefore meaningless. AIO Fusion creates discipline within visibility and authority measurement because the prompts and the information used about the business or brand are both extensive and consistent. Scoring will inevitably vary due to the nature of LLMs, but the discipline enforced by AIO Fusion will elicit a more consistent measurement of change in the market. It is the same discipline that made early SEO benchmarking credible.</w:t>
      </w:r>
    </w:p>
    <w:p>
      <w:pPr>
        <w:pStyle w:val="Sourcequotation"/>
      </w:pPr>
      <w:r>
        <w:t>Commercially it also replaces several things an agency would otherwise buy separately, and it is priced so that an agency can build a profitable per-client GEO service line on top of it.</w:t>
      </w:r>
    </w:p>
    <w:p>
      <w:pPr>
        <w:pStyle w:val="Heading3"/>
      </w:pPr>
      <w:r>
        <w:t>Replacement v1.5 wording</w:t>
      </w:r>
    </w:p>
    <w:p>
      <w:r>
        <w:t>AIO Fusion combines visibility diagnostics with tools for acting on the findings: content creation and optimisation, media research and communications planning. Teams can move from an audit to a prioritised programme of work without treating measurement as a separate activity.</w:t>
      </w:r>
    </w:p>
    <w:p>
      <w:r>
        <w:t>A consistent audit setup helps make comparisons more interpretable, but model answers can still vary. We do not claim that the process eliminates variation or that every competing tool lacks these capabilities.</w:t>
      </w:r>
    </w:p>
    <w:p>
      <w:pPr>
        <w:pStyle w:val="Heading3"/>
      </w:pPr>
      <w:r>
        <w:t>Reason and handling</w:t>
      </w:r>
    </w:p>
    <w:p>
      <w:r>
        <w:t>Replace blanket competitor comparisons and profitable-service claims with product-specific value. A consistent process is not evidence that repeatability or robustness has been proven.</w:t>
      </w:r>
    </w:p>
    <w:p>
      <w:pPr>
        <w:pStyle w:val="Heading2"/>
      </w:pPr>
      <w:r>
        <w:t>1.5  Who is it for?</w:t>
      </w:r>
    </w:p>
    <w:p>
      <w:r>
        <w:t>Decision: retain; simplify</w:t>
      </w:r>
    </w:p>
    <w:p>
      <w:pPr>
        <w:pStyle w:val="Heading3"/>
      </w:pPr>
      <w:r>
        <w:t>Original v1.4 wording</w:t>
      </w:r>
    </w:p>
    <w:p>
      <w:pPr>
        <w:pStyle w:val="Sourcequotation"/>
      </w:pPr>
      <w:r>
        <w:t>Who is it for?</w:t>
      </w:r>
    </w:p>
    <w:p>
      <w:pPr>
        <w:pStyle w:val="Sourcequotation"/>
      </w:pPr>
      <w:r>
        <w:t>PR and communications agencies managing multiple client brands, and in-house communications teams. The architecture is project-based, with each project representing a client, a business, a business unit or a brand, so it is built for an agency, comms or marketing team to use from the ground up. For medium and smaller PR agencies and in-house teams it offers a GEO platform significantly in advance of anything the heritage PR SaaS platforms provide, at an accessible price point.</w:t>
      </w:r>
    </w:p>
    <w:p>
      <w:pPr>
        <w:pStyle w:val="Heading3"/>
      </w:pPr>
      <w:r>
        <w:t>Replacement v1.5 wording</w:t>
      </w:r>
    </w:p>
    <w:p>
      <w:r>
        <w:t>It is designed for PR and communications agencies managing client brands, and in-house communications or marketing teams. A project can represent a client, business, business unit or brand. Agency users can organise work across multiple clients.</w:t>
      </w:r>
    </w:p>
    <w:p>
      <w:pPr>
        <w:pStyle w:val="Heading3"/>
      </w:pPr>
      <w:r>
        <w:t>Reason and handling</w:t>
      </w:r>
    </w:p>
    <w:p>
      <w:r>
        <w:t>Retain agency and in-house audiences and flexible project concept; remove unsubstantiated superiority over heritage platforms.</w:t>
      </w:r>
    </w:p>
    <w:p>
      <w:pPr>
        <w:pStyle w:val="Heading2"/>
      </w:pPr>
      <w:r>
        <w:t>1.6  What does it cost?</w:t>
      </w:r>
    </w:p>
    <w:p>
      <w:r>
        <w:t>Decision: retain; owner-approved indicative beta pricing</w:t>
      </w:r>
    </w:p>
    <w:p>
      <w:pPr>
        <w:pStyle w:val="Heading3"/>
      </w:pPr>
      <w:r>
        <w:t>Original v1.4 wording</w:t>
      </w:r>
    </w:p>
    <w:p>
      <w:pPr>
        <w:pStyle w:val="Sourcequotation"/>
      </w:pPr>
      <w:r>
        <w:t>What does it cost?</w:t>
      </w:r>
    </w:p>
    <w:p>
      <w:pPr>
        <w:pStyle w:val="Sourcequotation"/>
      </w:pPr>
      <w:r>
        <w:t>Annual subscriptions, with no hidden costs. All prices exclude VAT. Full detail, including the additional project tiers, is at www.aiofusion.ai/pricing and in section 9 of this document.</w:t>
      </w:r>
    </w:p>
    <w:p>
      <w:pPr>
        <w:pStyle w:val="Sourcequotation"/>
      </w:pPr>
      <w:r>
        <w:t>In-House, £4,000 a year (£333 a month): for a B2B or B2C in-house team building AI authority for a single brand. One Premium project, the full platform, email support. £4,600 a year if billed quarterly.</w:t>
      </w:r>
    </w:p>
    <w:p>
      <w:pPr>
        <w:pStyle w:val="Sourcequotation"/>
      </w:pPr>
      <w:r>
        <w:t>Agency, £5,000 a year (£417 a month): for agencies running AI visibility programmes for multiple clients. Three Premium projects included, plus multi-client architecture, an agency dashboard, client sub-accounts and reporting, and priority email and chat support. £5,750 a year if billed quarterly.</w:t>
      </w:r>
    </w:p>
    <w:p>
      <w:pPr>
        <w:pStyle w:val="Sourcequotation"/>
      </w:pPr>
      <w:r>
        <w:t>Additional projects: £500, £650 or £800 per project per year, depending on the monthly activity level the client needs.</w:t>
      </w:r>
    </w:p>
    <w:p>
      <w:pPr>
        <w:pStyle w:val="Sourcequotation"/>
      </w:pPr>
      <w:r>
        <w:t>Pricing is indicative while the platform is in beta.</w:t>
      </w:r>
    </w:p>
    <w:p>
      <w:pPr>
        <w:pStyle w:val="Heading3"/>
      </w:pPr>
      <w:r>
        <w:t>Replacement v1.5 wording</w:t>
      </w:r>
    </w:p>
    <w:p>
      <w:r>
        <w:t>The owner-approved indicative beta pricing is £4,000 a year for In-House, including one Premium project, and £5,000 a year for Agency, including three Premium projects. Quarterly billing has a higher annual total: £4,600 for In-House and £5,750 for Agency. All prices exclude VAT.</w:t>
      </w:r>
    </w:p>
    <w:p>
      <w:r>
        <w:t>Additional projects are £500, £650 or £800 per project per year, depending on the monthly action allowance. Section 9 sets out the approved figures in full. Action-counting rules, support commitments and the agreed order still apply.</w:t>
      </w:r>
    </w:p>
    <w:p>
      <w:pPr>
        <w:pStyle w:val="Heading3"/>
      </w:pPr>
      <w:r>
        <w:t>Reason and handling</w:t>
      </w:r>
    </w:p>
    <w:p>
      <w:r>
        <w:t>Owner approved the published figures as indicative beta pricing on 18 September 2026. Keep the complete table in section 9. Remove 'no hidden costs', which still requires a complete approved commercial schedule.</w:t>
      </w:r>
    </w:p>
    <w:p>
      <w:r>
        <w:br w:type="page"/>
      </w:r>
    </w:p>
    <w:p>
      <w:pPr>
        <w:pStyle w:val="Heading1"/>
      </w:pPr>
      <w:r>
        <w:t>Comparison: 2  The platform</w:t>
      </w:r>
    </w:p>
    <w:p>
      <w:pPr>
        <w:pStyle w:val="Heading2"/>
      </w:pPr>
      <w:r>
        <w:t>2.1  How is the platform structured?</w:t>
      </w:r>
    </w:p>
    <w:p>
      <w:r>
        <w:t>Decision: retain; simplify</w:t>
      </w:r>
    </w:p>
    <w:p>
      <w:pPr>
        <w:pStyle w:val="Heading3"/>
      </w:pPr>
      <w:r>
        <w:t>Original v1.4 wording</w:t>
      </w:r>
    </w:p>
    <w:p>
      <w:pPr>
        <w:pStyle w:val="Sourcequotation"/>
      </w:pPr>
      <w:r>
        <w:t>How is the platform structured?</w:t>
      </w:r>
    </w:p>
    <w:p>
      <w:pPr>
        <w:pStyle w:val="Sourcequotation"/>
      </w:pPr>
      <w:r>
        <w:t>Around projects, where each project is one client or brand. The landing dashboard shows, per project: setup completion percentage, the earned visibility audit, the website visibility audit, and the content pipeline. An agency user moves between client projects from a single login, and each client’s parameters and data are secured within its own project.</w:t>
      </w:r>
    </w:p>
    <w:p>
      <w:pPr>
        <w:pStyle w:val="Heading3"/>
      </w:pPr>
      <w:r>
        <w:t>Replacement v1.5 wording</w:t>
      </w:r>
    </w:p>
    <w:p>
      <w:r>
        <w:t>The platform is organised around projects, each representing a client or brand. The dashboard brings together setup progress, earned media and website visibility audits, and the content pipeline. Agency users can move between authorised client projects from one account. Access is intended to follow account and project permissions; section 10 explains the procurement position.</w:t>
      </w:r>
    </w:p>
    <w:p>
      <w:pPr>
        <w:pStyle w:val="Heading3"/>
      </w:pPr>
      <w:r>
        <w:t>Reason and handling</w:t>
      </w:r>
    </w:p>
    <w:p>
      <w:r>
        <w:t>Retain the project dashboard and cross-client workflow, but avoid implying that a project boundary alone establishes complete security. Procurement detail remains in section 10.</w:t>
      </w:r>
    </w:p>
    <w:p>
      <w:pPr>
        <w:pStyle w:val="Heading2"/>
      </w:pPr>
      <w:r>
        <w:t>2.2  Can we white-label it?</w:t>
      </w:r>
    </w:p>
    <w:p>
      <w:r>
        <w:t>Decision: simplify; factual confirmation required; restrict to confidential methodology</w:t>
      </w:r>
    </w:p>
    <w:p>
      <w:pPr>
        <w:pStyle w:val="Heading3"/>
      </w:pPr>
      <w:r>
        <w:t>Original v1.4 wording</w:t>
      </w:r>
    </w:p>
    <w:p>
      <w:pPr>
        <w:pStyle w:val="Sourcequotation"/>
      </w:pPr>
      <w:r>
        <w:t>Can we white-label it?</w:t>
      </w:r>
    </w:p>
    <w:p>
      <w:pPr>
        <w:pStyle w:val="Sourcequotation"/>
      </w:pPr>
      <w:r>
        <w:t>Yes, and it is included in the agency package rather than sold as an add-on. Agencies will be able to replace the AIO Fusion logo with their own and the client’s, rebrand and own the GEO programme, and share the platform live with clients and stakeholders as their own. The dashboard then becomes a shared surface for the three-way conversation between agency, client and machine, which is the conversation this category is really about. GEO scoring weights are also held per agency, so the scoring itself can be tuned to your client mix.</w:t>
      </w:r>
    </w:p>
    <w:p>
      <w:pPr>
        <w:pStyle w:val="Sourcequotation"/>
      </w:pPr>
      <w:r>
        <w:t>The white-labelling function will be introduced post-beta. It will not be available in the beta trial as this is a temporary test environment. The white-labelling will extend to exported reports, such as the earned media visibility and website visibility audits - essentially any docs where the AIO Fusion logo is currently visible.</w:t>
      </w:r>
    </w:p>
    <w:p>
      <w:pPr>
        <w:pStyle w:val="Heading3"/>
      </w:pPr>
      <w:r>
        <w:t>Replacement v1.5 wording</w:t>
      </w:r>
    </w:p>
    <w:p>
      <w:r>
        <w:t>White-labelling is not available in the beta trial. Agency branding and branded report exports are proposed post-beta capabilities, not current deliverables. The source proposal includes them in the Agency package, but scope, timing and inclusion need confirmation in writing before purchase. No scoring-customisation entitlement is included in this draft.</w:t>
      </w:r>
    </w:p>
    <w:p>
      <w:pPr>
        <w:pStyle w:val="Heading3"/>
      </w:pPr>
      <w:r>
        <w:t>Reason and handling</w:t>
      </w:r>
    </w:p>
    <w:p>
      <w:r>
        <w:t>Source starts 'Yes' despite post-beta availability. Preserve the proposal, not a present entitlement. Agency-specific scoring-weight claims require product verification and comparison-impact review before selective methodology disclosure.</w:t>
      </w:r>
    </w:p>
    <w:p>
      <w:pPr>
        <w:pStyle w:val="Heading2"/>
      </w:pPr>
      <w:r>
        <w:t>2.3  What does Project Set-Up involve?</w:t>
      </w:r>
    </w:p>
    <w:p>
      <w:r>
        <w:t>Decision: retain; simplify</w:t>
      </w:r>
    </w:p>
    <w:p>
      <w:pPr>
        <w:pStyle w:val="Heading3"/>
      </w:pPr>
      <w:r>
        <w:t>Original v1.4 wording</w:t>
      </w:r>
    </w:p>
    <w:p>
      <w:pPr>
        <w:pStyle w:val="Sourcequotation"/>
      </w:pPr>
      <w:r>
        <w:t>What does project setup involve?</w:t>
      </w:r>
    </w:p>
    <w:p>
      <w:pPr>
        <w:pStyle w:val="Sourcequotation"/>
      </w:pPr>
      <w:r>
        <w:t>Setup is where you tell the models who the client is, consistently. It captures:</w:t>
      </w:r>
    </w:p>
    <w:p>
      <w:pPr>
        <w:pStyle w:val="Sourcequotation"/>
      </w:pPr>
      <w:r>
        <w:t>the business profile</w:t>
      </w:r>
    </w:p>
    <w:p>
      <w:pPr>
        <w:pStyle w:val="Sourcequotation"/>
      </w:pPr>
      <w:r>
        <w:t>the messaging hierarchy</w:t>
      </w:r>
    </w:p>
    <w:p>
      <w:pPr>
        <w:pStyle w:val="Sourcequotation"/>
      </w:pPr>
      <w:r>
        <w:t>online evidence supporting those messages</w:t>
      </w:r>
    </w:p>
    <w:p>
      <w:pPr>
        <w:pStyle w:val="Sourcequotation"/>
      </w:pPr>
      <w:r>
        <w:t>“what to avoid”, the associations and framings you don’t want</w:t>
      </w:r>
    </w:p>
    <w:p>
      <w:pPr>
        <w:pStyle w:val="Sourcequotation"/>
      </w:pPr>
      <w:r>
        <w:t>frequently asked questions</w:t>
      </w:r>
    </w:p>
    <w:p>
      <w:pPr>
        <w:pStyle w:val="Sourcequotation"/>
      </w:pPr>
      <w:r>
        <w:t>business categories, so earned and owned messaging align to the same taxonomy</w:t>
      </w:r>
    </w:p>
    <w:p>
      <w:pPr>
        <w:pStyle w:val="Sourcequotation"/>
      </w:pPr>
      <w:r>
        <w:t>Most of it can be auto-populated by entering the client’s website URL rather than typing it in by hand, then edited. In practice that speeds up the data entry process but will still require agency or comms team and client or leadership sign-off. We anticipate that much of the information will already exist as agreed brand or client messaging. However, we also believe that the process could stimulate a useful refreshment of brand and client messaging as messaging for machines becomes a vital third factor in PR and marketing.</w:t>
      </w:r>
    </w:p>
    <w:p>
      <w:pPr>
        <w:pStyle w:val="Heading3"/>
      </w:pPr>
      <w:r>
        <w:t>Replacement v1.5 wording</w:t>
      </w:r>
    </w:p>
    <w:p>
      <w:r>
        <w:t>Project Set-Up captures the business profile, key messages, supporting evidence, associations to avoid, frequently asked questions and business categories. Information can be pre-filled from the client's website and edited by the team.</w:t>
      </w:r>
    </w:p>
    <w:p>
      <w:r>
        <w:t>The agency or communications team and the client should review the information before using it. Supplied messaging is an input for the workflow, not independent proof that a claim is true.</w:t>
      </w:r>
    </w:p>
    <w:p>
      <w:pPr>
        <w:pStyle w:val="Heading3"/>
      </w:pPr>
      <w:r>
        <w:t>Reason and handling</w:t>
      </w:r>
    </w:p>
    <w:p>
      <w:r>
        <w:t>Keep the practical setup fields and sign-off process. Remove 'tell the models who the client is', which blurs setup, prompting and assessment.</w:t>
      </w:r>
    </w:p>
    <w:p>
      <w:pPr>
        <w:pStyle w:val="Heading2"/>
      </w:pPr>
      <w:r>
        <w:t>2.4  How does it handle competitors?</w:t>
      </w:r>
    </w:p>
    <w:p>
      <w:r>
        <w:t>Decision: retain; simplify</w:t>
      </w:r>
    </w:p>
    <w:p>
      <w:pPr>
        <w:pStyle w:val="Heading3"/>
      </w:pPr>
      <w:r>
        <w:t>Original v1.4 wording</w:t>
      </w:r>
    </w:p>
    <w:p>
      <w:pPr>
        <w:pStyle w:val="Sourcequotation"/>
      </w:pPr>
      <w:r>
        <w:t>How does it handle competitors? Our clients’ real competitors aren’t always who the LLM models name.</w:t>
      </w:r>
    </w:p>
    <w:p>
      <w:pPr>
        <w:pStyle w:val="Sourcequotation"/>
      </w:pPr>
      <w:r>
        <w:t>That gap is itself an important finding. The set of companies a model treats as a client’s peer group is frequently not the set the client would name, and where those two lists diverge is one of the most commercially useful things an audit surfaces. The platform captures the client’s stated competitive set and reports the model-perceived set alongside it. This may signify that key competitors have not yet invested in GEO. It may also point to the differences between LLM model methodology and training data.</w:t>
      </w:r>
    </w:p>
    <w:p>
      <w:pPr>
        <w:pStyle w:val="Heading3"/>
      </w:pPr>
      <w:r>
        <w:t>Replacement v1.5 wording</w:t>
      </w:r>
    </w:p>
    <w:p>
      <w:r>
        <w:t>The platform can compare the client's stated competitors with companies named in sampled model answers. Differences can reveal how the models frame the category or where the brand's positioning is unclear.</w:t>
      </w:r>
    </w:p>
    <w:p>
      <w:r>
        <w:t>The model-named set is not a verified market map. An absent competitor may reflect the question, the provider or normal variation, rather than its level of investment in GEO.</w:t>
      </w:r>
    </w:p>
    <w:p>
      <w:pPr>
        <w:pStyle w:val="Heading3"/>
      </w:pPr>
      <w:r>
        <w:t>Reason and handling</w:t>
      </w:r>
    </w:p>
    <w:p>
      <w:r>
        <w:t>Preserve stated versus model-named competitor comparison. A different peer set does not prove that a competitor has or has not invested in GEO.</w:t>
      </w:r>
    </w:p>
    <w:p>
      <w:pPr>
        <w:pStyle w:val="Heading2"/>
      </w:pPr>
      <w:r>
        <w:t>2.5  Does supplying our own messaging bias the findings?</w:t>
      </w:r>
    </w:p>
    <w:p>
      <w:r>
        <w:t>Decision: simplify; restrict to confidential methodology; factual confirmation required</w:t>
      </w:r>
    </w:p>
    <w:p>
      <w:pPr>
        <w:pStyle w:val="Heading3"/>
      </w:pPr>
      <w:r>
        <w:t>Original v1.4 wording</w:t>
      </w:r>
    </w:p>
    <w:p>
      <w:pPr>
        <w:pStyle w:val="Sourcequotation"/>
      </w:pPr>
      <w:r>
        <w:t>If we feed the platform our own messaging, aren’t we just teaching it to tell us what we want to hear?</w:t>
      </w:r>
    </w:p>
    <w:p>
      <w:pPr>
        <w:pStyle w:val="Sourcequotation"/>
      </w:pPr>
      <w:r>
        <w:t>No and this was designed for deliberately. Roughly 99% of audit probes are blind: they ask open, non-branded questions of the model with no reference to the client’s own material. Only a single check question tests the brand directly. The project setup data is used to interpret and score the answers, not to prompt them. That is what allows the audit to surface genuine market issues, invisibility on non-branded queries, factual errors, and confusion with other companies or with companies in unrelated sectors.</w:t>
      </w:r>
    </w:p>
    <w:p>
      <w:pPr>
        <w:pStyle w:val="Heading3"/>
      </w:pPr>
      <w:r>
        <w:t>Replacement v1.5 wording</w:t>
      </w:r>
    </w:p>
    <w:p>
      <w:r>
        <w:t>Project information helps define relevant questions and provides context for assessing responses. The audit separates collecting model answers from assessing them against the brand's information. Where category questions are used, they serve a different purpose from questions that directly ask about the company.</w:t>
      </w:r>
    </w:p>
    <w:p>
      <w:r>
        <w:t>This separation does not by itself prove an unbiased test. Findings need to be read with the question wording and context in mind, and supplied messaging should not be treated as independent evidence. We can clarify the scope of a particular audit before it is used for a comparison.</w:t>
      </w:r>
    </w:p>
    <w:p>
      <w:pPr>
        <w:pStyle w:val="Heading3"/>
      </w:pPr>
      <w:r>
        <w:t>Reason and handling</w:t>
      </w:r>
    </w:p>
    <w:p>
      <w:r>
        <w:t>Remove the 99% blind ratio and categorical no-input claim. Section 3 says questions are generated from setup and every probe carries identity anchors. Do not accept the email's suggested interpretation as fact. Confirm actual prompt payloads before saying unbranded, blind or spontaneous.</w:t>
      </w:r>
    </w:p>
    <w:p>
      <w:r>
        <w:br w:type="page"/>
      </w:r>
    </w:p>
    <w:p>
      <w:pPr>
        <w:pStyle w:val="Heading1"/>
      </w:pPr>
      <w:r>
        <w:t>Comparison: 3  Measurement and methodology</w:t>
      </w:r>
    </w:p>
    <w:p>
      <w:pPr>
        <w:pStyle w:val="Heading2"/>
      </w:pPr>
      <w:r>
        <w:t>3.1  What is the Authority Index and how is it calculated?</w:t>
      </w:r>
    </w:p>
    <w:p>
      <w:r>
        <w:t>Decision: simplify; restrict to confidential methodology; factual confirmation required</w:t>
      </w:r>
    </w:p>
    <w:p>
      <w:pPr>
        <w:pStyle w:val="Heading3"/>
      </w:pPr>
      <w:r>
        <w:t>Original v1.4 wording</w:t>
      </w:r>
    </w:p>
    <w:p>
      <w:pPr>
        <w:pStyle w:val="Sourcequotation"/>
      </w:pPr>
      <w:r>
        <w:t>What is the Authority Index on AIO Fusion and how is it calculated?</w:t>
      </w:r>
    </w:p>
    <w:p>
      <w:pPr>
        <w:pStyle w:val="Sourcequotation"/>
      </w:pPr>
      <w:r>
        <w:t>The Authority Index is the platform’s headline measure of how visible a brand is across the benchmark models, and how accurately it is represented.</w:t>
      </w:r>
    </w:p>
    <w:p>
      <w:pPr>
        <w:pStyle w:val="Sourcequotation"/>
      </w:pPr>
      <w:r>
        <w:t>It is worth understanding that AI visibility is a function of AI authority: the more authority you have, the more visibility you achieve. Authority is how credible or authoritative an LLM believes you to be. It is built by accumulating authoritative earned media and refreshing it on an ongoing basis. Earned media is the first information AI agents seek and represents 80% to 90% of the total information they prioritise. The second factor is how well the information the agents find in earned media mirrors, or aligns with, the information they cross-check on owned channels such as the website and social profiles.</w:t>
      </w:r>
    </w:p>
    <w:p>
      <w:pPr>
        <w:pStyle w:val="Sourcequotation"/>
      </w:pPr>
      <w:r>
        <w:t>AIO Fusion uses ChatGPT and Claude for the beta platform. The score is produced in two deliberately separate stages.</w:t>
      </w:r>
    </w:p>
    <w:p>
      <w:pPr>
        <w:pStyle w:val="Sourcequotation"/>
      </w:pPr>
      <w:r>
        <w:t>First, a set of blind probe questions is put to ChatGPT and Claude in parallel, without telling either model that a brand is being evaluated. Whether the brand actually appeared is then determined by matching against the model’s real text output, not by asking an AI to judge it, so that part of the result is a measurement rather than an opinion. Competitors named in the answers are extracted at the same time. Second, a separate scoring pass assesses the brand across eight authority dimensions. Keeping probing and scoring apart is a deliberate design choice to avoid prompt bias.</w:t>
      </w:r>
    </w:p>
    <w:p>
      <w:pPr>
        <w:pStyle w:val="Sourcequotation"/>
      </w:pPr>
      <w:r>
        <w:t>Audits run multiple dual-model probes and averages them, which is how run-to-run variance is smoothed. The probes deliberately run at the models’ default temperature, explained below, rather than a fixed one, because the point is to reproduce what a real user would actually see. The analysis and scoring calls that follow run at temperature zero so they are repeatable. Every probe also carries an identity anchor, namely the client’s domain, legal name and sector, so the models answer about the right company and not a similarly named one.</w:t>
      </w:r>
    </w:p>
    <w:p>
      <w:pPr>
        <w:pStyle w:val="Sourcequotation"/>
      </w:pPr>
      <w:r>
        <w:t>The website audit is scored separately across six categories: Schema, Architecture, Authority, Earned Media, Visibility and Technical, with the weightings held per agency.</w:t>
      </w:r>
    </w:p>
    <w:p>
      <w:pPr>
        <w:pStyle w:val="Heading3"/>
      </w:pPr>
      <w:r>
        <w:t>Replacement v1.5 wording</w:t>
      </w:r>
    </w:p>
    <w:p>
      <w:r>
        <w:t>The Authority Index is a 0–100 summary assessment of a brand's visibility and representation within the audit's scope. The beta uses ChatGPT and Claude as its named benchmark services.</w:t>
      </w:r>
    </w:p>
    <w:p>
      <w:r>
        <w:t>The process first collects model responses. Observations such as whether a company is mentioned are derived from those responses. A separate AI assessment interprets the evidence and relevant Project Set-Up information. The final index is therefore not a purely objective count, nor a direct measure of everything an AI provider knows about a brand.</w:t>
      </w:r>
    </w:p>
    <w:p>
      <w:r>
        <w:t>Earned media and consistent owned content can provide useful evidence about a business. We do not assign a universal percentage of AI influence to either. The website visibility audit is a separate assessment and should not be confused with the Authority Index.</w:t>
      </w:r>
    </w:p>
    <w:p>
      <w:pPr>
        <w:pStyle w:val="Heading3"/>
      </w:pPr>
      <w:r>
        <w:t>Reason and handling</w:t>
      </w:r>
    </w:p>
    <w:p>
      <w:r>
        <w:t>Keep two-stage explanation and observed-versus-assessed distinction. Remove unsupported 80–90% earned-media assertion and deterministic authority-to-visibility relationship. Withhold probe mechanics, identity anchors, settings and agency weights pending verification; these are not confidential facts we have validated.</w:t>
      </w:r>
    </w:p>
    <w:p>
      <w:pPr>
        <w:pStyle w:val="Heading2"/>
      </w:pPr>
      <w:r>
        <w:t>3.2  What aspects of authority does it assess?</w:t>
      </w:r>
    </w:p>
    <w:p>
      <w:r>
        <w:t>Decision: retain; simplify</w:t>
      </w:r>
    </w:p>
    <w:p>
      <w:pPr>
        <w:pStyle w:val="Heading3"/>
      </w:pPr>
      <w:r>
        <w:t>Original v1.4 wording</w:t>
      </w:r>
    </w:p>
    <w:p>
      <w:pPr>
        <w:pStyle w:val="Sourcequotation"/>
      </w:pPr>
      <w:r>
        <w:t>What are the eight authority dimensions?</w:t>
      </w:r>
    </w:p>
    <w:p>
      <w:pPr>
        <w:pStyle w:val="Sourcequotation"/>
      </w:pPr>
      <w:r>
        <w:t>The earned media visibility audit assesses:</w:t>
      </w:r>
    </w:p>
    <w:p>
      <w:pPr>
        <w:pStyle w:val="Sourcequotation"/>
      </w:pPr>
      <w:r>
        <w:t>Presence: How often the company appears in AI answers without the company being named in the question.</w:t>
      </w:r>
    </w:p>
    <w:p>
      <w:pPr>
        <w:pStyle w:val="Sourcequotation"/>
      </w:pPr>
      <w:r>
        <w:t>Prominence: Whether the company is a main recommendation or only mentioned in passing.</w:t>
      </w:r>
    </w:p>
    <w:p>
      <w:pPr>
        <w:pStyle w:val="Sourcequotation"/>
      </w:pPr>
      <w:r>
        <w:t>Share of voice: How often the company appears compared with competitors named by the AI models.</w:t>
      </w:r>
    </w:p>
    <w:p>
      <w:pPr>
        <w:pStyle w:val="Sourcequotation"/>
      </w:pPr>
      <w:r>
        <w:t>Message fidelity: Whether the way AI describes the company matches the messages and positioning supplied in Project Set-Up.</w:t>
      </w:r>
    </w:p>
    <w:p>
      <w:pPr>
        <w:pStyle w:val="Sourcequotation"/>
      </w:pPr>
      <w:r>
        <w:t>Factual accuracy: Whether the AI’s description agrees with the factual information supplied about the company.</w:t>
      </w:r>
    </w:p>
    <w:p>
      <w:pPr>
        <w:pStyle w:val="Sourcequotation"/>
      </w:pPr>
      <w:r>
        <w:t>Source quality: The strength of the company’s supplied evidence and third-party links.</w:t>
      </w:r>
    </w:p>
    <w:p>
      <w:pPr>
        <w:pStyle w:val="Sourcequotation"/>
      </w:pPr>
      <w:r>
        <w:t>Entity clarity: Whether AI models understand exactly which company is being discussed, particularly where a short name or acronym could refer to several organisations.</w:t>
      </w:r>
    </w:p>
    <w:p>
      <w:pPr>
        <w:pStyle w:val="Sourcequotation"/>
      </w:pPr>
      <w:r>
        <w:t>Spokesperson authority: Whether the company has clearly identified experts with relevant expertise and evidence.</w:t>
      </w:r>
    </w:p>
    <w:p>
      <w:pPr>
        <w:pStyle w:val="Heading3"/>
      </w:pPr>
      <w:r>
        <w:t>Replacement v1.5 wording</w:t>
      </w:r>
    </w:p>
    <w:p>
      <w:r>
        <w:t>The assessment considers eight aspects of how the brand is represented. Some draw on observed responses; others require interpretation of supplied information. They are not eight independently validated measurements.</w:t>
      </w:r>
    </w:p>
    <w:tbl>
      <w:tblPr>
        <w:tblStyle w:val="TableGrid"/>
        <w:tblW w:type="auto" w:w="0"/>
        <w:jc w:val="center"/>
        <w:tblLayout w:type="fixed"/>
        <w:tblLook w:firstColumn="1" w:firstRow="1" w:lastColumn="0" w:lastRow="0" w:noHBand="0" w:noVBand="1" w:val="04A0"/>
      </w:tblPr>
      <w:tblGrid>
        <w:gridCol w:w="4831"/>
        <w:gridCol w:w="4831"/>
      </w:tblGrid>
      <w:tr>
        <w:trPr>
          <w:tblHeader/>
          <w:cantSplit/>
        </w:trPr>
        <w:tc>
          <w:tcPr>
            <w:tcW w:type="dxa" w:w="4831"/>
            <w:shd w:fill="18384B"/>
            <w:vAlign w:val="center"/>
          </w:tcPr>
          <w:p>
            <w:pPr>
              <w:spacing w:after="100" w:before="100"/>
            </w:pPr>
            <w:r>
              <w:rPr>
                <w:b/>
                <w:color w:val="FFFFFF"/>
                <w:sz w:val="19"/>
              </w:rPr>
              <w:t>Aspect</w:t>
            </w:r>
          </w:p>
        </w:tc>
        <w:tc>
          <w:tcPr>
            <w:tcW w:type="dxa" w:w="4831"/>
            <w:shd w:fill="18384B"/>
            <w:vAlign w:val="center"/>
          </w:tcPr>
          <w:p>
            <w:pPr>
              <w:spacing w:after="100" w:before="100"/>
            </w:pPr>
            <w:r>
              <w:rPr>
                <w:b/>
                <w:color w:val="FFFFFF"/>
                <w:sz w:val="19"/>
              </w:rPr>
              <w:t>What it considers</w:t>
            </w:r>
          </w:p>
        </w:tc>
      </w:tr>
      <w:tr>
        <w:trPr>
          <w:cantSplit/>
        </w:trPr>
        <w:tc>
          <w:tcPr>
            <w:tcW w:type="dxa" w:w="4831"/>
            <w:vAlign w:val="center"/>
          </w:tcPr>
          <w:p>
            <w:pPr>
              <w:spacing w:after="100" w:before="100"/>
            </w:pPr>
            <w:r>
              <w:rPr>
                <w:sz w:val="19"/>
              </w:rPr>
              <w:t>Presence</w:t>
            </w:r>
          </w:p>
        </w:tc>
        <w:tc>
          <w:tcPr>
            <w:tcW w:type="dxa" w:w="4831"/>
            <w:vAlign w:val="center"/>
          </w:tcPr>
          <w:p>
            <w:pPr>
              <w:spacing w:after="100" w:before="100"/>
            </w:pPr>
            <w:r>
              <w:rPr>
                <w:sz w:val="19"/>
              </w:rPr>
              <w:t>Whether the brand appears in the sampled answers.</w:t>
            </w:r>
          </w:p>
        </w:tc>
      </w:tr>
      <w:tr>
        <w:trPr>
          <w:cantSplit/>
        </w:trPr>
        <w:tc>
          <w:tcPr>
            <w:tcW w:type="dxa" w:w="4831"/>
            <w:vAlign w:val="center"/>
          </w:tcPr>
          <w:p>
            <w:pPr>
              <w:spacing w:after="100" w:before="100"/>
            </w:pPr>
            <w:r>
              <w:rPr>
                <w:sz w:val="19"/>
              </w:rPr>
              <w:t>Prominence</w:t>
            </w:r>
          </w:p>
        </w:tc>
        <w:tc>
          <w:tcPr>
            <w:tcW w:type="dxa" w:w="4831"/>
            <w:vAlign w:val="center"/>
          </w:tcPr>
          <w:p>
            <w:pPr>
              <w:spacing w:after="100" w:before="100"/>
            </w:pPr>
            <w:r>
              <w:rPr>
                <w:sz w:val="19"/>
              </w:rPr>
              <w:t>Whether it is a leading recommendation or a passing mention.</w:t>
            </w:r>
          </w:p>
        </w:tc>
      </w:tr>
      <w:tr>
        <w:trPr>
          <w:cantSplit/>
        </w:trPr>
        <w:tc>
          <w:tcPr>
            <w:tcW w:type="dxa" w:w="4831"/>
            <w:vAlign w:val="center"/>
          </w:tcPr>
          <w:p>
            <w:pPr>
              <w:spacing w:after="100" w:before="100"/>
            </w:pPr>
            <w:r>
              <w:rPr>
                <w:sz w:val="19"/>
              </w:rPr>
              <w:t>Share of voice</w:t>
            </w:r>
          </w:p>
        </w:tc>
        <w:tc>
          <w:tcPr>
            <w:tcW w:type="dxa" w:w="4831"/>
            <w:vAlign w:val="center"/>
          </w:tcPr>
          <w:p>
            <w:pPr>
              <w:spacing w:after="100" w:before="100"/>
            </w:pPr>
            <w:r>
              <w:rPr>
                <w:sz w:val="19"/>
              </w:rPr>
              <w:t>Its appearances relative to competitors named in the sample, not total market share.</w:t>
            </w:r>
          </w:p>
        </w:tc>
      </w:tr>
      <w:tr>
        <w:trPr>
          <w:cantSplit/>
        </w:trPr>
        <w:tc>
          <w:tcPr>
            <w:tcW w:type="dxa" w:w="4831"/>
            <w:vAlign w:val="center"/>
          </w:tcPr>
          <w:p>
            <w:pPr>
              <w:spacing w:after="100" w:before="100"/>
            </w:pPr>
            <w:r>
              <w:rPr>
                <w:sz w:val="19"/>
              </w:rPr>
              <w:t>Message fidelity</w:t>
            </w:r>
          </w:p>
        </w:tc>
        <w:tc>
          <w:tcPr>
            <w:tcW w:type="dxa" w:w="4831"/>
            <w:vAlign w:val="center"/>
          </w:tcPr>
          <w:p>
            <w:pPr>
              <w:spacing w:after="100" w:before="100"/>
            </w:pPr>
            <w:r>
              <w:rPr>
                <w:sz w:val="19"/>
              </w:rPr>
              <w:t>How descriptions align with the supplied positioning.</w:t>
            </w:r>
          </w:p>
        </w:tc>
      </w:tr>
      <w:tr>
        <w:trPr>
          <w:cantSplit/>
        </w:trPr>
        <w:tc>
          <w:tcPr>
            <w:tcW w:type="dxa" w:w="4831"/>
            <w:vAlign w:val="center"/>
          </w:tcPr>
          <w:p>
            <w:pPr>
              <w:spacing w:after="100" w:before="100"/>
            </w:pPr>
            <w:r>
              <w:rPr>
                <w:sz w:val="19"/>
              </w:rPr>
              <w:t>Factual accuracy</w:t>
            </w:r>
          </w:p>
        </w:tc>
        <w:tc>
          <w:tcPr>
            <w:tcW w:type="dxa" w:w="4831"/>
            <w:vAlign w:val="center"/>
          </w:tcPr>
          <w:p>
            <w:pPr>
              <w:spacing w:after="100" w:before="100"/>
            </w:pPr>
            <w:r>
              <w:rPr>
                <w:sz w:val="19"/>
              </w:rPr>
              <w:t>How descriptions compare with supplied company facts, which still need checking.</w:t>
            </w:r>
          </w:p>
        </w:tc>
      </w:tr>
      <w:tr>
        <w:trPr>
          <w:cantSplit/>
        </w:trPr>
        <w:tc>
          <w:tcPr>
            <w:tcW w:type="dxa" w:w="4831"/>
            <w:vAlign w:val="center"/>
          </w:tcPr>
          <w:p>
            <w:pPr>
              <w:spacing w:after="100" w:before="100"/>
            </w:pPr>
            <w:r>
              <w:rPr>
                <w:sz w:val="19"/>
              </w:rPr>
              <w:t>Source quality</w:t>
            </w:r>
          </w:p>
        </w:tc>
        <w:tc>
          <w:tcPr>
            <w:tcW w:type="dxa" w:w="4831"/>
            <w:vAlign w:val="center"/>
          </w:tcPr>
          <w:p>
            <w:pPr>
              <w:spacing w:after="100" w:before="100"/>
            </w:pPr>
            <w:r>
              <w:rPr>
                <w:sz w:val="19"/>
              </w:rPr>
              <w:t>The relevance and strength of supporting evidence.</w:t>
            </w:r>
          </w:p>
        </w:tc>
      </w:tr>
      <w:tr>
        <w:trPr>
          <w:cantSplit/>
        </w:trPr>
        <w:tc>
          <w:tcPr>
            <w:tcW w:type="dxa" w:w="4831"/>
            <w:vAlign w:val="center"/>
          </w:tcPr>
          <w:p>
            <w:pPr>
              <w:spacing w:after="100" w:before="100"/>
            </w:pPr>
            <w:r>
              <w:rPr>
                <w:sz w:val="19"/>
              </w:rPr>
              <w:t>Entity clarity</w:t>
            </w:r>
          </w:p>
        </w:tc>
        <w:tc>
          <w:tcPr>
            <w:tcW w:type="dxa" w:w="4831"/>
            <w:vAlign w:val="center"/>
          </w:tcPr>
          <w:p>
            <w:pPr>
              <w:spacing w:after="100" w:before="100"/>
            </w:pPr>
            <w:r>
              <w:rPr>
                <w:sz w:val="19"/>
              </w:rPr>
              <w:t>Whether the answers refer to the intended company.</w:t>
            </w:r>
          </w:p>
        </w:tc>
      </w:tr>
      <w:tr>
        <w:trPr>
          <w:cantSplit/>
        </w:trPr>
        <w:tc>
          <w:tcPr>
            <w:tcW w:type="dxa" w:w="4831"/>
            <w:vAlign w:val="center"/>
          </w:tcPr>
          <w:p>
            <w:pPr>
              <w:spacing w:after="100" w:before="100"/>
            </w:pPr>
            <w:r>
              <w:rPr>
                <w:sz w:val="19"/>
              </w:rPr>
              <w:t>Spokesperson authority</w:t>
            </w:r>
          </w:p>
        </w:tc>
        <w:tc>
          <w:tcPr>
            <w:tcW w:type="dxa" w:w="4831"/>
            <w:vAlign w:val="center"/>
          </w:tcPr>
          <w:p>
            <w:pPr>
              <w:spacing w:after="100" w:before="100"/>
            </w:pPr>
            <w:r>
              <w:rPr>
                <w:sz w:val="19"/>
              </w:rPr>
              <w:t>The expertise and evidence supplied for named spokespeople.</w:t>
            </w:r>
          </w:p>
        </w:tc>
      </w:tr>
    </w:tbl>
    <w:p>
      <w:pPr>
        <w:spacing w:after="0"/>
      </w:pPr>
    </w:p>
    <w:p>
      <w:pPr>
        <w:pStyle w:val="Heading3"/>
      </w:pPr>
      <w:r>
        <w:t>Reason and handling</w:t>
      </w:r>
    </w:p>
    <w:p>
      <w:r>
        <w:t>Retain all eight understandable dimensions as high-level product explanation, not a scoring recipe. Presence must not imply blindness until confirmed; supplied facts and source quality are assessment inputs, not independently certified truths.</w:t>
      </w:r>
    </w:p>
    <w:p>
      <w:pPr>
        <w:pStyle w:val="Heading2"/>
      </w:pPr>
      <w:r>
        <w:t>3.3  How are the dimensions weighted?</w:t>
      </w:r>
    </w:p>
    <w:p>
      <w:r>
        <w:t>Decision: restrict to confidential methodology; simplify; factual confirmation required</w:t>
      </w:r>
    </w:p>
    <w:p>
      <w:pPr>
        <w:pStyle w:val="Heading3"/>
      </w:pPr>
      <w:r>
        <w:t>Original v1.4 wording</w:t>
      </w:r>
    </w:p>
    <w:p>
      <w:pPr>
        <w:pStyle w:val="Sourcequotation"/>
      </w:pPr>
      <w:r>
        <w:t>How are they weighted?</w:t>
      </w:r>
    </w:p>
    <w:p>
      <w:pPr>
        <w:pStyle w:val="Sourcequotation"/>
      </w:pPr>
      <w:r>
        <w:t>There is not currently a fixed, published percentage weighting for the eight dimensions. The overall Authority Index is produced by a second-stage Claude assessment grounded in the audit evidence and Project Set-Up information. The underlying questions do have explicit weighting:</w:t>
      </w:r>
    </w:p>
    <w:p>
      <w:pPr>
        <w:pStyle w:val="Sourcequotation"/>
      </w:pPr>
      <w:r>
        <w:t>Buyer-intent questions: 1.5 times</w:t>
      </w:r>
    </w:p>
    <w:p>
      <w:pPr>
        <w:pStyle w:val="Sourcequotation"/>
      </w:pPr>
      <w:r>
        <w:t>General sector questions: 1.0 times</w:t>
      </w:r>
    </w:p>
    <w:p>
      <w:pPr>
        <w:pStyle w:val="Sourcequotation"/>
      </w:pPr>
      <w:r>
        <w:t>Direct company identity question: 0.5 times</w:t>
      </w:r>
    </w:p>
    <w:p>
      <w:pPr>
        <w:pStyle w:val="Sourcequotation"/>
      </w:pPr>
      <w:r>
        <w:t>This means a company appearing when a potential buyer is actively looking for a provider counts more than appearing in a general “What do you know about this company?” answer.</w:t>
      </w:r>
    </w:p>
    <w:p>
      <w:pPr>
        <w:pStyle w:val="Sourcequotation"/>
      </w:pPr>
      <w:r>
        <w:t>Client-ready wording</w:t>
      </w:r>
    </w:p>
    <w:p>
      <w:pPr>
        <w:pStyle w:val="Sourcequotation"/>
      </w:pPr>
      <w:r>
        <w:t>“AIO Fusion assesses eight aspects of AI authority. Buyer-intent visibility is given more importance than a simple prompted company-name search. The overall score is an evidence-grounded assessment rather than a basic average of eight equally weighted numbers.”</w:t>
      </w:r>
    </w:p>
    <w:p>
      <w:pPr>
        <w:pStyle w:val="Heading3"/>
      </w:pPr>
      <w:r>
        <w:t>Replacement v1.5 wording</w:t>
      </w:r>
    </w:p>
    <w:p>
      <w:r>
        <w:t>The overall index is an evidence-informed assessment, not a simple average of eight equally weighted scores. The framework distinguishes commercially relevant category or buyer questions from direct company questions. Detailed scoring information should be confirmed for the methodology used in the audit before a buyer relies on it.</w:t>
      </w:r>
    </w:p>
    <w:p>
      <w:pPr>
        <w:pStyle w:val="Heading3"/>
      </w:pPr>
      <w:r>
        <w:t>Reason and handling</w:t>
      </w:r>
    </w:p>
    <w:p>
      <w:r>
        <w:t>Withhold exact 1.5 / 1.0 / 0.5 question weights and named scoring-provider implementation. Distinguish question weights from dimension weights and final model assessment. Do not substitute invented dimension percentages.</w:t>
      </w:r>
    </w:p>
    <w:p>
      <w:pPr>
        <w:pStyle w:val="Heading2"/>
      </w:pPr>
      <w:r>
        <w:t>3.4  How many probes are used?</w:t>
      </w:r>
    </w:p>
    <w:p>
      <w:r>
        <w:t>Decision: restrict to confidential methodology; simplify; factual confirmation required</w:t>
      </w:r>
    </w:p>
    <w:p>
      <w:pPr>
        <w:pStyle w:val="Heading3"/>
      </w:pPr>
      <w:r>
        <w:t>Original v1.4 wording</w:t>
      </w:r>
    </w:p>
    <w:p>
      <w:pPr>
        <w:pStyle w:val="Sourcequotation"/>
      </w:pPr>
      <w:r>
        <w:t>How many probes are used?</w:t>
      </w:r>
    </w:p>
    <w:p>
      <w:pPr>
        <w:pStyle w:val="Sourcequotation"/>
      </w:pPr>
      <w:r>
        <w:t>A current audit uses:</w:t>
      </w:r>
    </w:p>
    <w:p>
      <w:pPr>
        <w:pStyle w:val="Sourcequotation"/>
      </w:pPr>
      <w:r>
        <w:t>Up to eight buyer or category questions</w:t>
      </w:r>
    </w:p>
    <w:p>
      <w:pPr>
        <w:pStyle w:val="Sourcequotation"/>
      </w:pPr>
      <w:r>
        <w:t>Plus a company identity question where structured target phrases are being used</w:t>
      </w:r>
    </w:p>
    <w:p>
      <w:pPr>
        <w:pStyle w:val="Sourcequotation"/>
      </w:pPr>
      <w:r>
        <w:t>Two runs of every question in ChatGPT</w:t>
      </w:r>
    </w:p>
    <w:p>
      <w:pPr>
        <w:pStyle w:val="Sourcequotation"/>
      </w:pPr>
      <w:r>
        <w:t>Two runs of every question in Claude</w:t>
      </w:r>
    </w:p>
    <w:p>
      <w:pPr>
        <w:pStyle w:val="Sourcequotation"/>
      </w:pPr>
      <w:r>
        <w:t>A full audit can therefore involve up to nine question types, four answers per question and 36 individual model calls.</w:t>
      </w:r>
    </w:p>
    <w:p>
      <w:pPr>
        <w:pStyle w:val="Sourcequotation"/>
      </w:pPr>
      <w:r>
        <w:t>The two runs are not numerically “averaged” in the usual sense. The system combines them to calculate mention rates, average position where available, competitors, citations, and model-level results.</w:t>
      </w:r>
    </w:p>
    <w:p>
      <w:pPr>
        <w:pStyle w:val="Sourcequotation"/>
      </w:pPr>
      <w:r>
        <w:t>Client-ready wording</w:t>
      </w:r>
    </w:p>
    <w:p>
      <w:pPr>
        <w:pStyle w:val="Sourcequotation"/>
      </w:pPr>
      <w:r>
        <w:t>“Each audit tests up to eight commercially relevant questions, plus an identity check where required. Every question is run twice in both ChatGPT and Claude to reduce the effect of a single unusual answer.”</w:t>
      </w:r>
    </w:p>
    <w:p>
      <w:pPr>
        <w:pStyle w:val="Heading3"/>
      </w:pPr>
      <w:r>
        <w:t>Replacement v1.5 wording</w:t>
      </w:r>
    </w:p>
    <w:p>
      <w:r>
        <w:t>An audit uses a defined set of relevant questions and repeated responses across the supported services. The results are brought together to summarise the sample, including mentions and competitors. Repeated sampling is intended to reduce reliance on a single response, but it does not establish a margin of error or guarantee repeatability.</w:t>
      </w:r>
    </w:p>
    <w:p>
      <w:r>
        <w:t>For a comparison, confirm that the question set, providers, model versions, sampling approach and methodology are comparable.</w:t>
      </w:r>
    </w:p>
    <w:p>
      <w:pPr>
        <w:pStyle w:val="Heading3"/>
      </w:pPr>
      <w:r>
        <w:t>Reason and handling</w:t>
      </w:r>
    </w:p>
    <w:p>
      <w:r>
        <w:t>Remove exact counts from routine sales copy. Retain repeated sampling without claiming proven statistical reliability. Source says aggregation, whereas other paragraphs say averaging; confirm denominators, failures, deduplication and missing-answer treatment.</w:t>
      </w:r>
    </w:p>
    <w:p>
      <w:pPr>
        <w:pStyle w:val="Heading2"/>
      </w:pPr>
      <w:r>
        <w:t>3.5  Is the Authority Index a 0–100 scale?</w:t>
      </w:r>
    </w:p>
    <w:p>
      <w:r>
        <w:t>Decision: retain; simplify</w:t>
      </w:r>
    </w:p>
    <w:p>
      <w:pPr>
        <w:pStyle w:val="Heading3"/>
      </w:pPr>
      <w:r>
        <w:t>Original v1.4 wording</w:t>
      </w:r>
    </w:p>
    <w:p>
      <w:pPr>
        <w:pStyle w:val="Sourcequotation"/>
      </w:pPr>
      <w:r>
        <w:t>Is the Authority Index a 0-100 scale?</w:t>
      </w:r>
    </w:p>
    <w:p>
      <w:pPr>
        <w:pStyle w:val="Sourcequotation"/>
      </w:pPr>
      <w:r>
        <w:t>The Authority Index is a 0–100 score. However, it should primarily be used to:</w:t>
      </w:r>
    </w:p>
    <w:p>
      <w:pPr>
        <w:pStyle w:val="Sourcequotation"/>
      </w:pPr>
      <w:r>
        <w:t>Establish a client’s baseline</w:t>
      </w:r>
    </w:p>
    <w:p>
      <w:pPr>
        <w:pStyle w:val="Sourcequotation"/>
      </w:pPr>
      <w:r>
        <w:t>Track that client over time</w:t>
      </w:r>
    </w:p>
    <w:p>
      <w:pPr>
        <w:pStyle w:val="Sourcequotation"/>
      </w:pPr>
      <w:r>
        <w:t>Compare repeat audits using the same questions and methodology</w:t>
      </w:r>
    </w:p>
    <w:p>
      <w:pPr>
        <w:pStyle w:val="Sourcequotation"/>
      </w:pPr>
      <w:r>
        <w:t>It should not yet be presented as a precise benchmark across unrelated companies or sectors. Different clients have different questions, markets, competitors, brand maturity, and Project Set-Up information.</w:t>
      </w:r>
    </w:p>
    <w:p>
      <w:pPr>
        <w:pStyle w:val="Sourcequotation"/>
      </w:pPr>
      <w:r>
        <w:t>A comparison is most defensible when the companies are tested with the same questions, providers, models, run counts, and methodology version.</w:t>
      </w:r>
    </w:p>
    <w:p>
      <w:pPr>
        <w:pStyle w:val="Sourcequotation"/>
      </w:pPr>
      <w:r>
        <w:t>Client-ready wording</w:t>
      </w:r>
    </w:p>
    <w:p>
      <w:pPr>
        <w:pStyle w:val="Sourcequotation"/>
      </w:pPr>
      <w:r>
        <w:t>“The index runs from 0 to 100. Its strongest use is measuring the same company over time. Cross-company comparisons can be directional, but they are not currently a universal league table across different sectors.”</w:t>
      </w:r>
    </w:p>
    <w:p>
      <w:pPr>
        <w:pStyle w:val="Heading3"/>
      </w:pPr>
      <w:r>
        <w:t>Replacement v1.5 wording</w:t>
      </w:r>
    </w:p>
    <w:p>
      <w:r>
        <w:t>Yes. Its strongest use is establishing a baseline for a company and following that company over time with comparable questions, inputs and methodology.</w:t>
      </w:r>
    </w:p>
    <w:p>
      <w:r>
        <w:t>It is not a universal league table across unrelated brands or sectors. Different questions, markets, competitors, company maturity and setup information affect the result. Changes in provider behaviour can affect even a like-for-like comparison. A score change alone does not prove that communications activity caused it.</w:t>
      </w:r>
    </w:p>
    <w:p>
      <w:pPr>
        <w:pStyle w:val="Heading3"/>
      </w:pPr>
      <w:r>
        <w:t>Reason and handling</w:t>
      </w:r>
    </w:p>
    <w:p>
      <w:r>
        <w:t>Keep the strongest source limitation: same-company trend use, not a universal league table. Even same-company comparisons require like-for-like inputs and acknowledgement of provider change.</w:t>
      </w:r>
    </w:p>
    <w:p>
      <w:pPr>
        <w:pStyle w:val="Heading2"/>
      </w:pPr>
      <w:r>
        <w:t>3.6  How should we interpret variation between audit runs?</w:t>
      </w:r>
    </w:p>
    <w:p>
      <w:r>
        <w:t>Decision: restrict to confidential methodology; factual confirmation required; simplify</w:t>
      </w:r>
    </w:p>
    <w:p>
      <w:pPr>
        <w:pStyle w:val="Heading3"/>
      </w:pPr>
      <w:r>
        <w:t>Original v1.4 wording</w:t>
      </w:r>
    </w:p>
    <w:p>
      <w:pPr>
        <w:pStyle w:val="Sourcequotation"/>
      </w:pPr>
      <w:r>
        <w:t>Temperature explained</w:t>
      </w:r>
    </w:p>
    <w:p>
      <w:pPr>
        <w:pStyle w:val="Sourcequotation"/>
      </w:pPr>
      <w:r>
        <w:t>Temperature is the dial that governs how predictable a model’s answer is. At 0 the model plays it safe: ask it the same question ten times and you get essentially the same answer ten times. At 1.0 it is freer, varying its wording and sometimes varying what it actually says. It is answering on the basis of what it sees at that moment.</w:t>
      </w:r>
    </w:p>
    <w:p>
      <w:pPr>
        <w:pStyle w:val="Sourcequotation"/>
      </w:pPr>
      <w:r>
        <w:t>The AIO Fusion audit probes run at 1.0, which is the out-of-the-box setting for both ChatGPT and Claude. This is deliberate. When a journalist or a prospective client asks ChatGPT “who are the best B2B tech PR agencies?” they get the off-the-cuff answer, so that is what the audit should measure. Pinning the probes to 0 would produce a tidier number describing something nobody actually experiences.</w:t>
      </w:r>
    </w:p>
    <w:p>
      <w:pPr>
        <w:pStyle w:val="Sourcequotation"/>
      </w:pPr>
      <w:r>
        <w:t>The trade-off is that a single probe is not reliable on its own, which is precisely why the audit runs the probe repeatedly across both models and averages the result. One run is an anecdote; the average is the measurement. The scoring step afterwards runs at 0, because once you have captured what the models said, the assessment of it should be consistent: the same evidence should always produce the same score, or month-on-month comparison falls apart. Loose where we are observing reality, tight where we are measuring it.</w:t>
      </w:r>
    </w:p>
    <w:p>
      <w:pPr>
        <w:pStyle w:val="Heading3"/>
      </w:pPr>
      <w:r>
        <w:t>Replacement v1.5 wording</w:t>
      </w:r>
    </w:p>
    <w:p>
      <w:r>
        <w:t>AI responses can change between runs and as providers update their services. Consistent inputs and a defined audit process support interpretation, but identical scores are not guaranteed.</w:t>
      </w:r>
    </w:p>
    <w:p>
      <w:r>
        <w:t>The audit samples responses obtained through the providers' APIs. It should not be presented as an exact reproduction of what every user sees in a consumer chat application, where search, personalisation and other settings may differ. Treat small score movements cautiously and examine the underlying answers.</w:t>
      </w:r>
    </w:p>
    <w:p>
      <w:pPr>
        <w:pStyle w:val="Heading3"/>
      </w:pPr>
      <w:r>
        <w:t>Reason and handling</w:t>
      </w:r>
    </w:p>
    <w:p>
      <w:r>
        <w:t>Replace temperature tutorial with honest limitations. Temperature zero does not guarantee determinism. Default-temperature API calls do not establish equivalence to consumer chat products with different models, system instructions, retrieval or personalisation. No robustness claim without repeatability evidence.</w:t>
      </w:r>
    </w:p>
    <w:p>
      <w:pPr>
        <w:pStyle w:val="Heading2"/>
      </w:pPr>
      <w:r>
        <w:t>3.7  How are the questions determined?</w:t>
      </w:r>
    </w:p>
    <w:p>
      <w:r>
        <w:t>Decision: retain; simplify; factual confirmation required</w:t>
      </w:r>
    </w:p>
    <w:p>
      <w:pPr>
        <w:pStyle w:val="Heading3"/>
      </w:pPr>
      <w:r>
        <w:t>Original v1.4 wording</w:t>
      </w:r>
    </w:p>
    <w:p>
      <w:pPr>
        <w:pStyle w:val="Sourcequotation"/>
      </w:pPr>
      <w:r>
        <w:t>How are the prompts determined?</w:t>
      </w:r>
    </w:p>
    <w:p>
      <w:pPr>
        <w:pStyle w:val="Sourcequotation"/>
      </w:pPr>
      <w:r>
        <w:t>Probes are generated from the Project Data, meaning the business profile, categories, messaging and FAQs captured at setup, with sector-specific probe generation behind them. Grounding the probes in project data is also what makes responses consistent enough to compare one month to the next. External search-demand data such as search volume or People Also Ask is not currently used.</w:t>
      </w:r>
    </w:p>
    <w:p>
      <w:pPr>
        <w:pStyle w:val="Sourcequotation"/>
      </w:pPr>
      <w:r>
        <w:t>A useful by-product is that the probe set gives you visibility of what customers are actually asking in the category, and therefore of the content opportunities available to improve the client’s standing in the answers.</w:t>
      </w:r>
    </w:p>
    <w:p>
      <w:pPr>
        <w:pStyle w:val="Heading3"/>
      </w:pPr>
      <w:r>
        <w:t>Replacement v1.5 wording</w:t>
      </w:r>
    </w:p>
    <w:p>
      <w:r>
        <w:t>Questions are generated from Project Set-Up information such as the business profile, categories, messages and FAQs. The current approach does not use external search-volume or People Also Ask data.</w:t>
      </w:r>
    </w:p>
    <w:p>
      <w:r>
        <w:t>These are candidate questions for exploring the category, not evidence of what customers actually ask or how often. Teams should review their relevance and keep the agreed question set consistent when tracking change, or clearly note revisions.</w:t>
      </w:r>
    </w:p>
    <w:p>
      <w:pPr>
        <w:pStyle w:val="Heading3"/>
      </w:pPr>
      <w:r>
        <w:t>Reason and handling</w:t>
      </w:r>
    </w:p>
    <w:p>
      <w:r>
        <w:t>Keep project-derived questions and absence of search-demand data. Correct the leap from generated questions to observed customer demand and avoid implying questions remain unchanged automatically.</w:t>
      </w:r>
    </w:p>
    <w:p>
      <w:pPr>
        <w:pStyle w:val="Heading2"/>
      </w:pPr>
      <w:r>
        <w:t>3.8  Which models do you audit against?</w:t>
      </w:r>
    </w:p>
    <w:p>
      <w:r>
        <w:t>Decision: retain; factual confirmation required</w:t>
      </w:r>
    </w:p>
    <w:p>
      <w:pPr>
        <w:pStyle w:val="Heading3"/>
      </w:pPr>
      <w:r>
        <w:t>Original v1.4 wording</w:t>
      </w:r>
    </w:p>
    <w:p>
      <w:pPr>
        <w:pStyle w:val="Sourcequotation"/>
      </w:pPr>
      <w:r>
        <w:t>Which models do you audit against?</w:t>
      </w:r>
    </w:p>
    <w:p>
      <w:pPr>
        <w:pStyle w:val="Sourcequotation"/>
      </w:pPr>
      <w:r>
        <w:t>ChatGPT and Claude, probed in parallel. They were chosen as the fixed initial benchmark because holding a consistent model set is what makes month-on-month comparison valid in the first place.</w:t>
      </w:r>
    </w:p>
    <w:p>
      <w:pPr>
        <w:pStyle w:val="Heading3"/>
      </w:pPr>
      <w:r>
        <w:t>Replacement v1.5 wording</w:t>
      </w:r>
    </w:p>
    <w:p>
      <w:r>
        <w:t>The beta benchmark coverage described here is ChatGPT and Claude, accessed through their providers' APIs. The actual model versions and configuration used for a particular audit should be confirmed when interpreting or comparing results. Naming the same services does not guarantee their behaviour stays unchanged.</w:t>
      </w:r>
    </w:p>
    <w:p>
      <w:pPr>
        <w:pStyle w:val="Heading3"/>
      </w:pPr>
      <w:r>
        <w:t>Reason and handling</w:t>
      </w:r>
    </w:p>
    <w:p>
      <w:r>
        <w:t>Preserve known provider coverage without inventing exact deployed model IDs. Holding brand names alone does not hold model versions constant.</w:t>
      </w:r>
    </w:p>
    <w:p>
      <w:pPr>
        <w:pStyle w:val="Heading2"/>
      </w:pPr>
      <w:r>
        <w:t>3.9  What about other AI services?</w:t>
      </w:r>
    </w:p>
    <w:p>
      <w:r>
        <w:t>Decision: simplify; factual confirmation required</w:t>
      </w:r>
    </w:p>
    <w:p>
      <w:pPr>
        <w:pStyle w:val="Heading3"/>
      </w:pPr>
      <w:r>
        <w:t>Original v1.4 wording</w:t>
      </w:r>
    </w:p>
    <w:p>
      <w:pPr>
        <w:pStyle w:val="Sourcequotation"/>
      </w:pPr>
      <w:r>
        <w:t>What’s the roadmap for Gemini, Perplexity and Google AI Mode?</w:t>
      </w:r>
    </w:p>
    <w:p>
      <w:pPr>
        <w:pStyle w:val="Sourcequotation"/>
      </w:pPr>
      <w:r>
        <w:t>Perplexity, Gemini and Google AI Mode will be added and integrated into the platform as we progress beyond the beta trial. No set time frame has been determined, but it is anticipated that the option to include other LLMs will follow soon after.</w:t>
      </w:r>
    </w:p>
    <w:p>
      <w:pPr>
        <w:pStyle w:val="Sourcequotation"/>
      </w:pPr>
      <w:r>
        <w:t>The platform also has the capacity to switch between model versions, for example Claude Fable, Sonnet and Opus, and GPT-5 in its Sol, Terra and Luna variants. The precise mechanism for this, including whether multi-model access is offered as a paid option, will be determined by the beta trial and further client feedback.</w:t>
      </w:r>
    </w:p>
    <w:p>
      <w:pPr>
        <w:pStyle w:val="Sourcequotation"/>
      </w:pPr>
      <w:r>
        <w:t>The model mix that matters genuinely differs by client type. Gemini is likely to matter most for consumer-facing clients, where Claude is less relevant and more appropriate for B2B, and the platform will reflect that.</w:t>
      </w:r>
    </w:p>
    <w:p>
      <w:pPr>
        <w:pStyle w:val="Sourcequotation"/>
      </w:pPr>
      <w:r>
        <w:t>The next plans are to bring in Copilot and Gemini.</w:t>
      </w:r>
    </w:p>
    <w:p>
      <w:pPr>
        <w:pStyle w:val="Heading3"/>
      </w:pPr>
      <w:r>
        <w:t>Replacement v1.5 wording</w:t>
      </w:r>
    </w:p>
    <w:p>
      <w:r>
        <w:t>This draft makes no commitment to additional providers or delivery dates. The measurement coverage described here is limited to ChatGPT and Claude; it does not include Google AI Overviews or Google AI Mode. Any future expansion should be discussed separately and confirmed in writing rather than assumed to be part of the current package.</w:t>
      </w:r>
    </w:p>
    <w:p>
      <w:pPr>
        <w:pStyle w:val="Heading3"/>
      </w:pPr>
      <w:r>
        <w:t>Reason and handling</w:t>
      </w:r>
    </w:p>
    <w:p>
      <w:r>
        <w:t>Remove unapproved provider expansion commitments, variant names, paid-option speculation and unsupported B2B/B2C model preferences. No source roadmap proposal becomes a contracted deliverable.</w:t>
      </w:r>
    </w:p>
    <w:p>
      <w:pPr>
        <w:pStyle w:val="Heading2"/>
      </w:pPr>
      <w:r>
        <w:t>3.10  What does the earned media visibility audit show?</w:t>
      </w:r>
    </w:p>
    <w:p>
      <w:r>
        <w:t>Decision: retain; simplify; factual confirmation required</w:t>
      </w:r>
    </w:p>
    <w:p>
      <w:pPr>
        <w:pStyle w:val="Heading3"/>
      </w:pPr>
      <w:r>
        <w:t>Original v1.4 wording</w:t>
      </w:r>
    </w:p>
    <w:p>
      <w:pPr>
        <w:pStyle w:val="Sourcequotation"/>
      </w:pPr>
      <w:r>
        <w:t>What does the earned visibility audit surface?</w:t>
      </w:r>
    </w:p>
    <w:p>
      <w:pPr>
        <w:pStyle w:val="Sourcequotation"/>
      </w:pPr>
      <w:r>
        <w:t>Through blind probing it shows whether the brand appears at all on non-branded category questions; whether what the models say about it is factually correct; which competitors appear in its place; and whether it is being confused with other entities. It is scored, so it can be re-run and tracked over time.</w:t>
      </w:r>
    </w:p>
    <w:p>
      <w:pPr>
        <w:pStyle w:val="Heading3"/>
      </w:pPr>
      <w:r>
        <w:t>Replacement v1.5 wording</w:t>
      </w:r>
    </w:p>
    <w:p>
      <w:r>
        <w:t>It shows whether the brand appears in the sampled answers, which competitors are named, how the company is described and where those descriptions may conflict with supplied facts or refer to a different entity. Saved audits can support comparisons over time, subject to the comparability limits above.</w:t>
      </w:r>
    </w:p>
    <w:p>
      <w:pPr>
        <w:pStyle w:val="Heading3"/>
      </w:pPr>
      <w:r>
        <w:t>Reason and handling</w:t>
      </w:r>
    </w:p>
    <w:p>
      <w:r>
        <w:t>Keep useful output descriptions, but avoid the unverified blind label and absolute factual-correctness language.</w:t>
      </w:r>
    </w:p>
    <w:p>
      <w:pPr>
        <w:pStyle w:val="Heading2"/>
      </w:pPr>
      <w:r>
        <w:t>3.11  What does the website visibility audit cover?</w:t>
      </w:r>
    </w:p>
    <w:p>
      <w:r>
        <w:t>Decision: retain; simplify; factual confirmation required</w:t>
      </w:r>
    </w:p>
    <w:p>
      <w:pPr>
        <w:pStyle w:val="Heading3"/>
      </w:pPr>
      <w:r>
        <w:t>Original v1.4 wording</w:t>
      </w:r>
    </w:p>
    <w:p>
      <w:pPr>
        <w:pStyle w:val="Sourcequotation"/>
      </w:pPr>
      <w:r>
        <w:t>What does the website visibility audit cover?</w:t>
      </w:r>
    </w:p>
    <w:p>
      <w:pPr>
        <w:pStyle w:val="Sourcequotation"/>
      </w:pPr>
      <w:r>
        <w:t>The technical and structural side of machine readability: schema markup, meta descriptions, heading hierarchy, page structure, AI crawler directives, page speed and FAQ provision. The platform fetches and parses the page itself, so those findings are measured counts taken from the actual HTML rather than a model’s impression of the site. The measured facts are then passed to the model to produce the scored assessment and the prioritised action list.</w:t>
      </w:r>
    </w:p>
    <w:p>
      <w:pPr>
        <w:pStyle w:val="Sourcequotation"/>
      </w:pPr>
      <w:r>
        <w:t>It also outputs a ready-to-use developer prompt that can be downloaded and handed straight to a web developer or SEO team. That last part matters in agency life, as it means the PR team can hand over a specification without needing to be able to write one.</w:t>
      </w:r>
    </w:p>
    <w:p>
      <w:pPr>
        <w:pStyle w:val="Heading3"/>
      </w:pPr>
      <w:r>
        <w:t>Replacement v1.5 wording</w:t>
      </w:r>
    </w:p>
    <w:p>
      <w:r>
        <w:t>The website audit examines the fetched page for machine-readability signals such as structured data, headings, metadata, page structure and FAQ content. Checks of crawler directives should be interpreted within the pages and resources actually examined.</w:t>
      </w:r>
    </w:p>
    <w:p>
      <w:r>
        <w:t>Observed page findings inform an AI-generated assessment and prioritised recommendations. The assessment is not itself a measured fact, and the audit should not be assumed to cover every page or certify site performance.</w:t>
      </w:r>
    </w:p>
    <w:p>
      <w:r>
        <w:t>A downloadable developer brief helps the team discuss changes with a web developer or SEO specialist. Recommendations still require technical review and testing before implementation.</w:t>
      </w:r>
    </w:p>
    <w:p>
      <w:pPr>
        <w:pStyle w:val="Heading3"/>
      </w:pPr>
      <w:r>
        <w:t>Reason and handling</w:t>
      </w:r>
    </w:p>
    <w:p>
      <w:r>
        <w:t>Distinguish HTML observations from AI recommendations. The source groups page speed with parsed HTML counts, which is not sufficient substantiation of measured performance. Remove universal site coverage and ready-to-use implementation assurance.</w:t>
      </w:r>
    </w:p>
    <w:p>
      <w:r>
        <w:br w:type="page"/>
      </w:r>
    </w:p>
    <w:p>
      <w:pPr>
        <w:pStyle w:val="Heading1"/>
      </w:pPr>
      <w:r>
        <w:t>Comparison: 4  Turning findings into action</w:t>
      </w:r>
    </w:p>
    <w:p>
      <w:pPr>
        <w:pStyle w:val="Heading2"/>
      </w:pPr>
      <w:r>
        <w:t>4.1  What does Content Creator do?</w:t>
      </w:r>
    </w:p>
    <w:p>
      <w:r>
        <w:t>Decision: retain; simplify</w:t>
      </w:r>
    </w:p>
    <w:p>
      <w:pPr>
        <w:pStyle w:val="Heading3"/>
      </w:pPr>
      <w:r>
        <w:t>Original v1.4 wording</w:t>
      </w:r>
    </w:p>
    <w:p>
      <w:pPr>
        <w:pStyle w:val="Sourcequotation"/>
      </w:pPr>
      <w:r>
        <w:t>Content creator</w:t>
      </w:r>
    </w:p>
    <w:p>
      <w:pPr>
        <w:pStyle w:val="Sourcequotation"/>
      </w:pPr>
      <w:r>
        <w:t>Upload interview notes, a meeting transcript, or research data and analysis, and the tool produces a first draft article, case study or pitch with the project’s key messages, signed off by the agency or comms team and the client, worked into it. It is designed to accelerate drafting while keeping human judgement in the loop. It is not an automated way of publishing AI slop.</w:t>
      </w:r>
    </w:p>
    <w:p>
      <w:pPr>
        <w:pStyle w:val="Sourcequotation"/>
      </w:pPr>
      <w:r>
        <w:t>Editors and writers tune and enhance the copy as normal. What the platform adds is AI visibility optimisation as a third factor in the editorial decision. Signing off PR copy is usually a negotiation between the client or brand leader and the writer. With AIO Fusion, the decision-maker can see which messaging will actually help the brand’s machine visibility. The platform provides notation on the changes it makes to copy and why it made them.</w:t>
      </w:r>
    </w:p>
    <w:p>
      <w:pPr>
        <w:pStyle w:val="Sourcequotation"/>
      </w:pPr>
      <w:r>
        <w:t>By taking the grind out of production, administration and reporting, it should free account teams for the creative and strategic work.</w:t>
      </w:r>
    </w:p>
    <w:p>
      <w:pPr>
        <w:pStyle w:val="Heading3"/>
      </w:pPr>
      <w:r>
        <w:t>Replacement v1.5 wording</w:t>
      </w:r>
    </w:p>
    <w:p>
      <w:r>
        <w:t>Content Creator turns interview notes, transcripts or research into draft articles, case studies or pitches using the project's approved messaging. It supports editorial work rather than publishing automatically.</w:t>
      </w:r>
    </w:p>
    <w:p>
      <w:r>
        <w:t>Writers and approvers remain responsible for accuracy, evidence, permissions and tone. Suggested changes and explanations can inform editing, but are not proof that a particular phrase will improve AI visibility. Only upload material you are authorised to use.</w:t>
      </w:r>
    </w:p>
    <w:p>
      <w:pPr>
        <w:pStyle w:val="Heading3"/>
      </w:pPr>
      <w:r>
        <w:t>Reason and handling</w:t>
      </w:r>
    </w:p>
    <w:p>
      <w:r>
        <w:t>Retain draft generation and human judgement. Replace claims that decision-makers can see what will actually improve visibility with suggestions requiring review.</w:t>
      </w:r>
    </w:p>
    <w:p>
      <w:pPr>
        <w:pStyle w:val="Heading2"/>
      </w:pPr>
      <w:r>
        <w:t>4.2  What does Content Optimiser do?</w:t>
      </w:r>
    </w:p>
    <w:p>
      <w:r>
        <w:t>Decision: retain; simplify</w:t>
      </w:r>
    </w:p>
    <w:p>
      <w:pPr>
        <w:pStyle w:val="Heading3"/>
      </w:pPr>
      <w:r>
        <w:t>Original v1.4 wording</w:t>
      </w:r>
    </w:p>
    <w:p>
      <w:pPr>
        <w:pStyle w:val="Sourcequotation"/>
      </w:pPr>
      <w:r>
        <w:t>Content optimiser</w:t>
      </w:r>
    </w:p>
    <w:p>
      <w:pPr>
        <w:pStyle w:val="Sourcequotation"/>
      </w:pPr>
      <w:r>
        <w:t>This takes an existing human-drafted article or press release and refines it for machine visibility, based on Project Setup data and external information. It might, for example, suggest relevant external research to strengthen the piece. It also adds further optimisation to content created on the platform.</w:t>
      </w:r>
    </w:p>
    <w:p>
      <w:pPr>
        <w:pStyle w:val="Heading3"/>
      </w:pPr>
      <w:r>
        <w:t>Replacement v1.5 wording</w:t>
      </w:r>
    </w:p>
    <w:p>
      <w:r>
        <w:t>Content Optimiser suggests refinements to existing copy or drafts created in the platform, using the project context to improve clarity, message alignment and machine readability. It may suggest supporting research. Editors should verify sources and claims and approve the final copy; an optimisation suggestion is not a guaranteed visibility gain.</w:t>
      </w:r>
    </w:p>
    <w:p>
      <w:pPr>
        <w:pStyle w:val="Heading3"/>
      </w:pPr>
      <w:r>
        <w:t>Reason and handling</w:t>
      </w:r>
    </w:p>
    <w:p>
      <w:r>
        <w:t>Keep refinement and research suggestions while distinguishing generated advice from verified sources or proven optimisation.</w:t>
      </w:r>
    </w:p>
    <w:p>
      <w:pPr>
        <w:pStyle w:val="Heading2"/>
      </w:pPr>
      <w:r>
        <w:t>4.3  What is the Content Library?</w:t>
      </w:r>
    </w:p>
    <w:p>
      <w:r>
        <w:t>Decision: retain; simplify</w:t>
      </w:r>
    </w:p>
    <w:p>
      <w:pPr>
        <w:pStyle w:val="Heading3"/>
      </w:pPr>
      <w:r>
        <w:t>Original v1.4 wording</w:t>
      </w:r>
    </w:p>
    <w:p>
      <w:pPr>
        <w:pStyle w:val="Sourcequotation"/>
      </w:pPr>
      <w:r>
        <w:t>Content library</w:t>
      </w:r>
    </w:p>
    <w:p>
      <w:pPr>
        <w:pStyle w:val="Sourcequotation"/>
      </w:pPr>
      <w:r>
        <w:t>Everything created or optimised is stored in a searchable, client-specific library, and feeds directly into the communications planner. Press releases can be exported to Word.</w:t>
      </w:r>
    </w:p>
    <w:p>
      <w:pPr>
        <w:pStyle w:val="Heading3"/>
      </w:pPr>
      <w:r>
        <w:t>Replacement v1.5 wording</w:t>
      </w:r>
    </w:p>
    <w:p>
      <w:r>
        <w:t>The Content Library keeps saved work in a searchable, project-specific collection for reuse and planning. Content can be used in the communications workflow, and press releases can be exported to Word. Save work before leaving an editing session.</w:t>
      </w:r>
    </w:p>
    <w:p>
      <w:pPr>
        <w:pStyle w:val="Heading3"/>
      </w:pPr>
      <w:r>
        <w:t>Reason and handling</w:t>
      </w:r>
    </w:p>
    <w:p>
      <w:r>
        <w:t>Keep searchable project-specific content and Word export. Replace 'everything' automatic-storage language with saved content so the answer does not promise recovery of unsaved drafts.</w:t>
      </w:r>
    </w:p>
    <w:p>
      <w:pPr>
        <w:pStyle w:val="Heading2"/>
      </w:pPr>
      <w:r>
        <w:t>4.4  What does the Communications Planner do?</w:t>
      </w:r>
    </w:p>
    <w:p>
      <w:r>
        <w:t>Decision: retain; simplify; factual confirmation required</w:t>
      </w:r>
    </w:p>
    <w:p>
      <w:pPr>
        <w:pStyle w:val="Heading3"/>
      </w:pPr>
      <w:r>
        <w:t>Original v1.4 wording</w:t>
      </w:r>
    </w:p>
    <w:p>
      <w:pPr>
        <w:pStyle w:val="Sourcequotation"/>
      </w:pPr>
      <w:r>
        <w:t>Communications planner</w:t>
      </w:r>
    </w:p>
    <w:p>
      <w:pPr>
        <w:pStyle w:val="Sourcequotation"/>
      </w:pPr>
      <w:r>
        <w:t>A forward-facing calendar for press releases, event copy, awards entries and the like. Third-party owned content such as directory entries and analyst report submissions is factored into the GEO strategy alongside journalistic coverage, because the models read all of it. Content created anywhere in the platform populates the planner automatically, and it is all informed by the Project Setup information.</w:t>
      </w:r>
    </w:p>
    <w:p>
      <w:pPr>
        <w:pStyle w:val="Heading3"/>
      </w:pPr>
      <w:r>
        <w:t>Replacement v1.5 wording</w:t>
      </w:r>
    </w:p>
    <w:p>
      <w:r>
        <w:t>The Communications Planner organises planned activity such as press releases, event content and awards entries in a calendar. It supports coordination of earned media and other relevant third-party opportunities alongside content work. Project context helps keep the programme aligned to the brand's priorities.</w:t>
      </w:r>
    </w:p>
    <w:p>
      <w:pPr>
        <w:pStyle w:val="Heading3"/>
      </w:pPr>
      <w:r>
        <w:t>Reason and handling</w:t>
      </w:r>
    </w:p>
    <w:p>
      <w:r>
        <w:t>Retain calendar and broad activity planning. Avoid automatic-population and universal model-ingestion claims until the current handoff behaviour is demonstrated.</w:t>
      </w:r>
    </w:p>
    <w:p>
      <w:pPr>
        <w:pStyle w:val="Heading2"/>
      </w:pPr>
      <w:r>
        <w:t>4.5  What sits behind the Planner's projected score?</w:t>
      </w:r>
    </w:p>
    <w:p>
      <w:r>
        <w:t>Decision: simplify; factual confirmation required</w:t>
      </w:r>
    </w:p>
    <w:p>
      <w:pPr>
        <w:pStyle w:val="Heading3"/>
      </w:pPr>
      <w:r>
        <w:t>Original v1.4 wording</w:t>
      </w:r>
    </w:p>
    <w:p>
      <w:pPr>
        <w:pStyle w:val="Sourcequotation"/>
      </w:pPr>
      <w:r>
        <w:t>What sits behind the predicted AI-authority score in the planner?</w:t>
      </w:r>
    </w:p>
    <w:p>
      <w:pPr>
        <w:pStyle w:val="Sourcequotation"/>
      </w:pPr>
      <w:r>
        <w:t>Each planned item can optionally be scored by the AI for its likely GEO impact at the point of planning, so a team can sequence the activity most likely to move the needle. It is a model-generated assessment rather than a fixed rules table.</w:t>
      </w:r>
    </w:p>
    <w:p>
      <w:pPr>
        <w:pStyle w:val="Sourcequotation"/>
      </w:pPr>
      <w:r>
        <w:t>There are two different scores that must not be confused.</w:t>
      </w:r>
    </w:p>
    <w:p>
      <w:pPr>
        <w:pStyle w:val="Sourcequotation"/>
      </w:pPr>
      <w:r>
        <w:t>Earned Media Visibility Audit score</w:t>
      </w:r>
    </w:p>
    <w:p>
      <w:pPr>
        <w:pStyle w:val="Sourcequotation"/>
      </w:pPr>
      <w:r>
        <w:t>This is based on actual answers collected from ChatGPT and Claude. It examines:</w:t>
      </w:r>
    </w:p>
    <w:p>
      <w:pPr>
        <w:pStyle w:val="Sourcequotation"/>
      </w:pPr>
      <w:r>
        <w:t>Whether the company appeared</w:t>
      </w:r>
    </w:p>
    <w:p>
      <w:pPr>
        <w:pStyle w:val="Sourcequotation"/>
      </w:pPr>
      <w:r>
        <w:t>How prominent the company was</w:t>
      </w:r>
    </w:p>
    <w:p>
      <w:pPr>
        <w:pStyle w:val="Sourcequotation"/>
      </w:pPr>
      <w:r>
        <w:t>Which competitors appeared</w:t>
      </w:r>
    </w:p>
    <w:p>
      <w:pPr>
        <w:pStyle w:val="Sourcequotation"/>
      </w:pPr>
      <w:r>
        <w:t>Share of voice</w:t>
      </w:r>
    </w:p>
    <w:p>
      <w:pPr>
        <w:pStyle w:val="Sourcequotation"/>
      </w:pPr>
      <w:r>
        <w:t>Whether the AI description matched supplied messages and facts</w:t>
      </w:r>
    </w:p>
    <w:p>
      <w:pPr>
        <w:pStyle w:val="Sourcequotation"/>
      </w:pPr>
      <w:r>
        <w:t>Supplied evidence links</w:t>
      </w:r>
    </w:p>
    <w:p>
      <w:pPr>
        <w:pStyle w:val="Sourcequotation"/>
      </w:pPr>
      <w:r>
        <w:t>Entity clarity</w:t>
      </w:r>
    </w:p>
    <w:p>
      <w:pPr>
        <w:pStyle w:val="Sourcequotation"/>
      </w:pPr>
      <w:r>
        <w:t>Supplied spokesperson information</w:t>
      </w:r>
    </w:p>
    <w:p>
      <w:pPr>
        <w:pStyle w:val="Sourcequotation"/>
      </w:pPr>
      <w:r>
        <w:t>This is an observed audit assessment, although the final Authority Index still includes an AI scoring stage.</w:t>
      </w:r>
    </w:p>
    <w:p>
      <w:pPr>
        <w:pStyle w:val="Sourcequotation"/>
      </w:pPr>
      <w:r>
        <w:t>Comms Planner projected score</w:t>
      </w:r>
    </w:p>
    <w:p>
      <w:pPr>
        <w:pStyle w:val="Sourcequotation"/>
      </w:pPr>
      <w:r>
        <w:t>This is a planning estimate. It currently uses:</w:t>
      </w:r>
    </w:p>
    <w:p>
      <w:pPr>
        <w:pStyle w:val="Sourcequotation"/>
      </w:pPr>
      <w:r>
        <w:t>Type of activity, such as article, press release, whitepaper, award entry, or social post</w:t>
      </w:r>
    </w:p>
    <w:p>
      <w:pPr>
        <w:pStyle w:val="Sourcequotation"/>
      </w:pPr>
      <w:r>
        <w:t>Number of selected release channels</w:t>
      </w:r>
    </w:p>
    <w:p>
      <w:pPr>
        <w:pStyle w:val="Sourcequotation"/>
      </w:pPr>
      <w:r>
        <w:t>Workflow status, such as planned, drafting, review, or approved</w:t>
      </w:r>
    </w:p>
    <w:p>
      <w:pPr>
        <w:pStyle w:val="Sourcequotation"/>
      </w:pPr>
      <w:r>
        <w:t>Configurable visibility and authority values for each content type</w:t>
      </w:r>
    </w:p>
    <w:p>
      <w:pPr>
        <w:pStyle w:val="Sourcequotation"/>
      </w:pPr>
      <w:r>
        <w:t>It does not currently analyse an actual published article, verify where it was placed, assess the real outlet’s authority, or prove that the activity changed the client’s AI visibility .</w:t>
      </w:r>
    </w:p>
    <w:p>
      <w:pPr>
        <w:pStyle w:val="Sourcequotation"/>
      </w:pPr>
      <w:r>
        <w:t>For example, an article currently receives a stronger default authority value than a social post, but that is a configured planning assumption. It is not an observed outcome.</w:t>
      </w:r>
    </w:p>
    <w:p>
      <w:pPr>
        <w:pStyle w:val="Sourcequotation"/>
      </w:pPr>
      <w:r>
        <w:t>Client-ready wording</w:t>
      </w:r>
    </w:p>
    <w:p>
      <w:pPr>
        <w:pStyle w:val="Sourcequotation"/>
      </w:pPr>
      <w:r>
        <w:t>“The Comms Planner score estimates the potential value of a planned programme based on activity type, channels, and progress. It is a planning guide, not a forecast of the exact movement in the client’s Authority Index.”</w:t>
      </w:r>
    </w:p>
    <w:p>
      <w:pPr>
        <w:pStyle w:val="Heading3"/>
      </w:pPr>
      <w:r>
        <w:t>Replacement v1.5 wording</w:t>
      </w:r>
    </w:p>
    <w:p>
      <w:r>
        <w:t>The Communications Planner score is a planning estimate based on activity type, selected channels, workflow progress and configured assumptions about visibility and authority. It is not a forecast of the exact movement in the Authority Index.</w:t>
      </w:r>
    </w:p>
    <w:p>
      <w:r>
        <w:t>Unlike the audit, it does not establish what an AI model actually said about the company. It does not by itself verify publication, the authority of an outlet, or an activity's effect on visibility. Use it to discuss and organise the programme, not as proof of a future result.</w:t>
      </w:r>
    </w:p>
    <w:p>
      <w:pPr>
        <w:pStyle w:val="Heading3"/>
      </w:pPr>
      <w:r>
        <w:t>Reason and handling</w:t>
      </w:r>
    </w:p>
    <w:p>
      <w:r>
        <w:t>Source first calls this model-generated and not a fixed rules table, then describes configurable type/channel/status values. Use the more specific configured-estimate description, explicitly pending verification in the checklist. Do not conflate article quality, audit authority and Planner projection.</w:t>
      </w:r>
    </w:p>
    <w:p>
      <w:pPr>
        <w:pStyle w:val="Heading2"/>
      </w:pPr>
      <w:r>
        <w:t>4.6  How long does content stay influential once it is published?</w:t>
      </w:r>
    </w:p>
    <w:p>
      <w:r>
        <w:t>Decision: simplify; factual confirmation required</w:t>
      </w:r>
    </w:p>
    <w:p>
      <w:pPr>
        <w:pStyle w:val="Heading3"/>
      </w:pPr>
      <w:r>
        <w:t>Original v1.4 wording</w:t>
      </w:r>
    </w:p>
    <w:p>
      <w:pPr>
        <w:pStyle w:val="Sourcequotation"/>
      </w:pPr>
      <w:r>
        <w:t>How long does content stay influential once it’s published?</w:t>
      </w:r>
    </w:p>
    <w:p>
      <w:pPr>
        <w:pStyle w:val="Sourcequotation"/>
      </w:pPr>
      <w:r>
        <w:t>This is a universal challenge right now. Precise longevity is hard to determine. LLM training and retrieval cycles are opaque and they differ between providers. What the platform does is score content at the moment of publication and track brand authority over time, so the effect shows up in the trend rather than as a decay curve attached to a single article.</w:t>
      </w:r>
    </w:p>
    <w:p>
      <w:pPr>
        <w:pStyle w:val="Heading3"/>
      </w:pPr>
      <w:r>
        <w:t>Replacement v1.5 wording</w:t>
      </w:r>
    </w:p>
    <w:p>
      <w:r>
        <w:t>There is no reliable universal lifespan we can assign to a piece of content's influence on AI answers. Providers' training and retrieval behaviour differ and are not fully visible.</w:t>
      </w:r>
    </w:p>
    <w:p>
      <w:r>
        <w:t>Repeated audits can show changes in the sampled answers over time. They do not provide an article-level decay curve or establish how much a particular publication contributed to a trend.</w:t>
      </w:r>
    </w:p>
    <w:p>
      <w:pPr>
        <w:pStyle w:val="Heading3"/>
      </w:pPr>
      <w:r>
        <w:t>Reason and handling</w:t>
      </w:r>
    </w:p>
    <w:p>
      <w:r>
        <w:t>Preserve uncertainty about training/retrieval cycles. Remove unverified publication-time scoring and the inference that a trend identifies an article's influence.</w:t>
      </w:r>
    </w:p>
    <w:p>
      <w:r>
        <w:br w:type="page"/>
      </w:r>
    </w:p>
    <w:p>
      <w:pPr>
        <w:pStyle w:val="Heading1"/>
      </w:pPr>
      <w:r>
        <w:t>Comparison: 5  Media database</w:t>
      </w:r>
    </w:p>
    <w:p>
      <w:pPr>
        <w:pStyle w:val="Heading2"/>
      </w:pPr>
      <w:r>
        <w:t>5.1  What is in the media database?</w:t>
      </w:r>
    </w:p>
    <w:p>
      <w:r>
        <w:t>Decision: retain; simplify; factual confirmation required</w:t>
      </w:r>
    </w:p>
    <w:p>
      <w:pPr>
        <w:pStyle w:val="Heading3"/>
      </w:pPr>
      <w:r>
        <w:t>Original v1.4 wording</w:t>
      </w:r>
    </w:p>
    <w:p>
      <w:pPr>
        <w:pStyle w:val="Sourcequotation"/>
      </w:pPr>
      <w:r>
        <w:t>What’s in it?</w:t>
      </w:r>
    </w:p>
    <w:p>
      <w:pPr>
        <w:pStyle w:val="Sourcequotation"/>
      </w:pPr>
      <w:r>
        <w:t>An integrated media database covering 125 categories of trade press, business and consumer national media in the UK and US.</w:t>
      </w:r>
    </w:p>
    <w:p>
      <w:pPr>
        <w:pStyle w:val="Sourcequotation"/>
      </w:pPr>
      <w:r>
        <w:t>It scores media outlets both on authority and on GEO impact, that is, how much a placement is likely to influence what the models say about your client.</w:t>
      </w:r>
    </w:p>
    <w:p>
      <w:pPr>
        <w:pStyle w:val="Sourcequotation"/>
      </w:pPr>
      <w:r>
        <w:t>The media research section of the platform works by searching the database for relevant journalists for each article. Users can search for further contacts within each outlet, select those contacts, and build a bespoke set for each project.</w:t>
      </w:r>
    </w:p>
    <w:p>
      <w:pPr>
        <w:pStyle w:val="Heading3"/>
      </w:pPr>
      <w:r>
        <w:t>Replacement v1.5 wording</w:t>
      </w:r>
    </w:p>
    <w:p>
      <w:r>
        <w:t>The media database supports research across UK and US trade, business and consumer national media. Teams can look for journalists relevant to an article, explore contacts at an outlet and build a project-specific selection.</w:t>
      </w:r>
    </w:p>
    <w:p>
      <w:r>
        <w:t>Coverage and contact details should be checked for the intended sector and market before purchase and before outreach. Any relevance or authority indicators are aids to selection, not evidence that a placement will cause a particular change in AI answers.</w:t>
      </w:r>
    </w:p>
    <w:p>
      <w:pPr>
        <w:pStyle w:val="Heading3"/>
      </w:pPr>
      <w:r>
        <w:t>Reason and handling</w:t>
      </w:r>
    </w:p>
    <w:p>
      <w:r>
        <w:t>Keep UK/US trade, business and consumer-national scope and article-based contact research. Defer unverified 125-category total and measured GEO-impact interpretation of outlet scores.</w:t>
      </w:r>
    </w:p>
    <w:p>
      <w:pPr>
        <w:pStyle w:val="Heading2"/>
      </w:pPr>
      <w:r>
        <w:t>5.2  Where does the data come from, and how current is it?</w:t>
      </w:r>
    </w:p>
    <w:p>
      <w:r>
        <w:t>Decision: simplify; restrict to confidential methodology; factual confirmation required</w:t>
      </w:r>
    </w:p>
    <w:p>
      <w:pPr>
        <w:pStyle w:val="Heading3"/>
      </w:pPr>
      <w:r>
        <w:t>Original v1.4 wording</w:t>
      </w:r>
    </w:p>
    <w:p>
      <w:pPr>
        <w:pStyle w:val="Sourcequotation"/>
      </w:pPr>
      <w:r>
        <w:t>Where does the data come from, and how current is it?</w:t>
      </w:r>
    </w:p>
    <w:p>
      <w:pPr>
        <w:pStyle w:val="Sourcequotation"/>
      </w:pPr>
      <w:r>
        <w:t>The database is built in-house using an agentic process of research and validation, rather than licensed from a third party. The categories in the database are updated systematically by that same agentic process on a rolling 30-day basis, so no part of the database goes longer than a month without a refresh.</w:t>
      </w:r>
    </w:p>
    <w:p>
      <w:pPr>
        <w:pStyle w:val="Heading3"/>
      </w:pPr>
      <w:r>
        <w:t>Replacement v1.5 wording</w:t>
      </w:r>
    </w:p>
    <w:p>
      <w:r>
        <w:t>The source describes an in-house researched database rather than a licensed third-party directory. Contacts and roles can change, so records should be checked before use. This draft does not promise a fixed refresh interval or that every record is current.</w:t>
      </w:r>
    </w:p>
    <w:p>
      <w:r>
        <w:t>Buyers can request confirmation of data provenance, coverage and the available evidence of record currency as part of due diligence.</w:t>
      </w:r>
    </w:p>
    <w:p>
      <w:pPr>
        <w:pStyle w:val="Heading3"/>
      </w:pPr>
      <w:r>
        <w:t>Reason and handling</w:t>
      </w:r>
    </w:p>
    <w:p>
      <w:r>
        <w:t>Retain in-house provenance as a source statement. Withhold construction recipe; remove an unsubstantiated rolling 30-day guarantee. Provenance, lawful sourcing and accuracy evidence remain legitimate procurement questions.</w:t>
      </w:r>
    </w:p>
    <w:p>
      <w:pPr>
        <w:pStyle w:val="Heading2"/>
      </w:pPr>
      <w:r>
        <w:t>5.3  What is the privacy position for media contacts?</w:t>
      </w:r>
    </w:p>
    <w:p>
      <w:r>
        <w:t>Decision: factual confirmation required; restrict to procurement</w:t>
      </w:r>
    </w:p>
    <w:p>
      <w:pPr>
        <w:pStyle w:val="Heading3"/>
      </w:pPr>
      <w:r>
        <w:t>Original v1.4 wording</w:t>
      </w:r>
    </w:p>
    <w:p>
      <w:pPr>
        <w:pStyle w:val="Sourcequotation"/>
      </w:pPr>
      <w:r>
        <w:t>GDPR</w:t>
      </w:r>
    </w:p>
    <w:p>
      <w:pPr>
        <w:pStyle w:val="Sourcequotation"/>
      </w:pPr>
      <w:r>
        <w:t>The platform is GDPR compliant.</w:t>
      </w:r>
    </w:p>
    <w:p>
      <w:pPr>
        <w:pStyle w:val="Heading3"/>
      </w:pPr>
      <w:r>
        <w:t>Replacement v1.5 wording</w:t>
      </w:r>
    </w:p>
    <w:p>
      <w:r>
        <w:t>A blanket GDPR-compliance assurance is not made in this draft. Buyers should review the privacy notice and the confirmed position on contact-data sourcing, lawful use, retention and rights requests before relying on the database.</w:t>
      </w:r>
    </w:p>
    <w:p>
      <w:r>
        <w:t>Using a contact database does not remove the user's responsibility to ensure outreach is lawful and appropriate. Section 10 gives the privacy enquiry route.</w:t>
      </w:r>
    </w:p>
    <w:p>
      <w:pPr>
        <w:pStyle w:val="Heading3"/>
      </w:pPr>
      <w:r>
        <w:t>Reason and handling</w:t>
      </w:r>
    </w:p>
    <w:p>
      <w:r>
        <w:t>Replace unsupported GDPR absolute. Contact provenance, lawful basis, notices, correction, objection and suppression procedures need substantiation, not concealment or a blanket NDA.</w:t>
      </w:r>
    </w:p>
    <w:p>
      <w:pPr>
        <w:pStyle w:val="Heading2"/>
      </w:pPr>
      <w:r>
        <w:t>5.4  Can we distribute a press release directly from the platform?</w:t>
      </w:r>
    </w:p>
    <w:p>
      <w:r>
        <w:t>Decision: retain; simplify; factual confirmation required</w:t>
      </w:r>
    </w:p>
    <w:p>
      <w:pPr>
        <w:pStyle w:val="Heading3"/>
      </w:pPr>
      <w:r>
        <w:t>Original v1.4 wording</w:t>
      </w:r>
    </w:p>
    <w:p>
      <w:pPr>
        <w:pStyle w:val="Sourcequotation"/>
      </w:pPr>
      <w:r>
        <w:t>Can you distribute a press release or article directly from the platform?</w:t>
      </w:r>
    </w:p>
    <w:p>
      <w:pPr>
        <w:pStyle w:val="Sourcequotation"/>
      </w:pPr>
      <w:r>
        <w:t>The beta version does not offer a release gateway section, but this is planned and will be added by mid-2027. All content can be downloaded easily for distribution by email or other channels.</w:t>
      </w:r>
    </w:p>
    <w:p>
      <w:pPr>
        <w:pStyle w:val="Heading3"/>
      </w:pPr>
      <w:r>
        <w:t>Replacement v1.5 wording</w:t>
      </w:r>
    </w:p>
    <w:p>
      <w:r>
        <w:t>The beta does not include a direct release-distribution gateway. Content can be exported for distribution through your usual approved channels. A gateway has been proposed, but no delivery date or future channel coverage is committed in this draft.</w:t>
      </w:r>
    </w:p>
    <w:p>
      <w:pPr>
        <w:pStyle w:val="Heading3"/>
      </w:pPr>
      <w:r>
        <w:t>Reason and handling</w:t>
      </w:r>
    </w:p>
    <w:p>
      <w:r>
        <w:t>Retain beta limitation and export route. Remove mid-2027 delivery promise and unverified universal export scope.</w:t>
      </w:r>
    </w:p>
    <w:p>
      <w:r>
        <w:br w:type="page"/>
      </w:r>
    </w:p>
    <w:p>
      <w:pPr>
        <w:pStyle w:val="Heading1"/>
      </w:pPr>
      <w:r>
        <w:t>Comparison: 6  Market intelligence</w:t>
      </w:r>
    </w:p>
    <w:p>
      <w:pPr>
        <w:pStyle w:val="Heading2"/>
      </w:pPr>
      <w:r>
        <w:t>6.1  What does Market Intelligence provide?</w:t>
      </w:r>
    </w:p>
    <w:p>
      <w:r>
        <w:t>Decision: retain; simplify; factual confirmation required</w:t>
      </w:r>
    </w:p>
    <w:p>
      <w:pPr>
        <w:pStyle w:val="Heading3"/>
      </w:pPr>
      <w:r>
        <w:t>Original v1.4 wording</w:t>
      </w:r>
    </w:p>
    <w:p>
      <w:pPr>
        <w:pStyle w:val="Sourcequotation"/>
      </w:pPr>
      <w:r>
        <w:t>A searchable view of conferences, speaker opportunities, awards and networking events across the UK and US, on a six to twelve month horizon. It is in the platform because speaking slots, awards and event presence are underrated GEO assets: they generate exactly the kind of third-party, reference-grade content the models pick up.</w:t>
      </w:r>
    </w:p>
    <w:p>
      <w:pPr>
        <w:pStyle w:val="Heading3"/>
      </w:pPr>
      <w:r>
        <w:t>Replacement v1.5 wording</w:t>
      </w:r>
    </w:p>
    <w:p>
      <w:r>
        <w:t>Market Intelligence helps teams research UK and US conferences, speaking opportunities, awards and networking events for forward planning. The source describes a six-to-twelve-month planning horizon; actual listings and coverage should be confirmed.</w:t>
      </w:r>
    </w:p>
    <w:p>
      <w:r>
        <w:t>Check dates, eligibility, deadlines and availability with the organiser before committing. An opportunity can support a communications programme, but inclusion or an AI-generated summary does not establish its authority or guarantee a visibility benefit.</w:t>
      </w:r>
    </w:p>
    <w:p>
      <w:pPr>
        <w:pStyle w:val="Heading3"/>
      </w:pPr>
      <w:r>
        <w:t>Reason and handling</w:t>
      </w:r>
    </w:p>
    <w:p>
      <w:r>
        <w:t>Convert the source's unheaded paragraph into a Q&amp;A without dropping the section. Keep useful opportunity types and geography; qualify six-to-twelve-month completeness and guaranteed GEO value.</w:t>
      </w:r>
    </w:p>
    <w:p>
      <w:r>
        <w:br w:type="page"/>
      </w:r>
    </w:p>
    <w:p>
      <w:pPr>
        <w:pStyle w:val="Heading1"/>
      </w:pPr>
      <w:r>
        <w:t>Comparison: 7  Reporting and attribution</w:t>
      </w:r>
    </w:p>
    <w:p>
      <w:pPr>
        <w:pStyle w:val="Heading2"/>
      </w:pPr>
      <w:r>
        <w:t>7.1  What does the reporting suite give us?</w:t>
      </w:r>
    </w:p>
    <w:p>
      <w:r>
        <w:t>Decision: retain; simplify; factual confirmation required</w:t>
      </w:r>
    </w:p>
    <w:p>
      <w:pPr>
        <w:pStyle w:val="Heading3"/>
      </w:pPr>
      <w:r>
        <w:t>Original v1.4 wording</w:t>
      </w:r>
    </w:p>
    <w:p>
      <w:pPr>
        <w:pStyle w:val="Sourcequotation"/>
      </w:pPr>
      <w:r>
        <w:t>What does the reporting suite give us?</w:t>
      </w:r>
    </w:p>
    <w:p>
      <w:pPr>
        <w:pStyle w:val="Sourcequotation"/>
      </w:pPr>
      <w:r>
        <w:t>It is built for a monthly audit cadence, tracking earned media and website visibility improvement over time. Reports break performance down by spokesperson, by content type and by key message adherence, so an agency can show a client not only that authority went up, but which spokesperson, which format and which message did the work. Every audit run is saved in full, and every project save writes an append-only snapshot, so the history behind a report can always be reconstructed.</w:t>
      </w:r>
    </w:p>
    <w:p>
      <w:pPr>
        <w:pStyle w:val="Heading3"/>
      </w:pPr>
      <w:r>
        <w:t>Replacement v1.5 wording</w:t>
      </w:r>
    </w:p>
    <w:p>
      <w:r>
        <w:t>Reporting brings together saved audit findings so teams can review earned media and website visibility over time. It supports discussion of what changed in the sampled answers and which issues still need attention.</w:t>
      </w:r>
    </w:p>
    <w:p>
      <w:r>
        <w:t>Before purchase, review a current report to confirm the available breakdowns, exports and history for your use case. A report should distinguish observed responses, AI assessments and planning estimates rather than imply that a score identifies what caused the change.</w:t>
      </w:r>
    </w:p>
    <w:p>
      <w:pPr>
        <w:pStyle w:val="Heading3"/>
      </w:pPr>
      <w:r>
        <w:t>Reason and handling</w:t>
      </w:r>
    </w:p>
    <w:p>
      <w:r>
        <w:t>Keep saved-audit trend reporting. Defer spokesperson/content/message breakdowns, complete audit persistence and append-only reconstruction guarantees until proven in a current customer-facing report.</w:t>
      </w:r>
    </w:p>
    <w:p>
      <w:pPr>
        <w:pStyle w:val="Heading2"/>
      </w:pPr>
      <w:r>
        <w:t>7.2  Can it tell us which article or activity drove a change?</w:t>
      </w:r>
    </w:p>
    <w:p>
      <w:r>
        <w:t>Decision: retain; simplify; factual confirmation required</w:t>
      </w:r>
    </w:p>
    <w:p>
      <w:pPr>
        <w:pStyle w:val="Heading3"/>
      </w:pPr>
      <w:r>
        <w:t>Original v1.4 wording</w:t>
      </w:r>
    </w:p>
    <w:p>
      <w:pPr>
        <w:pStyle w:val="Sourcequotation"/>
      </w:pPr>
      <w:r>
        <w:t>Can the platform tell us which article or activity drove the change in AI visibility, overall and per model?</w:t>
      </w:r>
    </w:p>
    <w:p>
      <w:pPr>
        <w:pStyle w:val="Sourcequotation"/>
      </w:pPr>
      <w:r>
        <w:t>Partly. What the platform gives you is:</w:t>
      </w:r>
    </w:p>
    <w:p>
      <w:pPr>
        <w:pStyle w:val="Sourcequotation"/>
      </w:pPr>
      <w:r>
        <w:t>month-on-month movement in the Authority Index, with the underlying findings, so you can see what changed in the models’ answers</w:t>
      </w:r>
    </w:p>
    <w:p>
      <w:pPr>
        <w:pStyle w:val="Sourcequotation"/>
      </w:pPr>
      <w:r>
        <w:t>a predicted authority score on each piece of content at the point of planning</w:t>
      </w:r>
    </w:p>
    <w:p>
      <w:pPr>
        <w:pStyle w:val="Sourcequotation"/>
      </w:pPr>
      <w:r>
        <w:t>reporting cut by content type, spokesperson and key message, showing an answer to “what kind of activity works for this client”</w:t>
      </w:r>
    </w:p>
    <w:p>
      <w:pPr>
        <w:pStyle w:val="Sourcequotation"/>
      </w:pPr>
      <w:r>
        <w:t>What no platform in this category can honestly offer today is deterministic, single-article causal attribution. The models don’t expose why an answer changed, and in practice several activities land in the same window. Saying that plainly tends to build credibility rather than cost the deal.</w:t>
      </w:r>
    </w:p>
    <w:p>
      <w:pPr>
        <w:pStyle w:val="Heading3"/>
      </w:pPr>
      <w:r>
        <w:t>Replacement v1.5 wording</w:t>
      </w:r>
    </w:p>
    <w:p>
      <w:r>
        <w:t>Not as a causal conclusion. AIO Fusion can help you compare audit findings and review activity undertaken in the same period. That may suggest areas to investigate, but it does not prove which article, spokesperson, format or message caused an improvement.</w:t>
      </w:r>
    </w:p>
    <w:p>
      <w:r>
        <w:t>Providers do not expose a complete explanation of why each answer changes. Several activities and external changes can coincide. The Planner's estimate is not evidence of an achieved outcome, and this draft makes no single-article or per-model causal-attribution promise.</w:t>
      </w:r>
    </w:p>
    <w:p>
      <w:pPr>
        <w:pStyle w:val="Heading3"/>
      </w:pPr>
      <w:r>
        <w:t>Reason and handling</w:t>
      </w:r>
    </w:p>
    <w:p>
      <w:r>
        <w:t>Make the honest limitation direct. Remove 'Partly', unsupported reporting slices and claims about every competitor. A planning score plus trend is not causal evidence.</w:t>
      </w:r>
    </w:p>
    <w:p>
      <w:pPr>
        <w:pStyle w:val="Heading2"/>
      </w:pPr>
      <w:r>
        <w:t>7.3  Does reporting show ChatGPT and Claude separately?</w:t>
      </w:r>
    </w:p>
    <w:p>
      <w:r>
        <w:t>Decision: retain; factual confirmation required</w:t>
      </w:r>
    </w:p>
    <w:p>
      <w:pPr>
        <w:pStyle w:val="Heading3"/>
      </w:pPr>
      <w:r>
        <w:t>Original v1.4 wording</w:t>
      </w:r>
    </w:p>
    <w:p>
      <w:pPr>
        <w:pStyle w:val="Sourcequotation"/>
      </w:pPr>
      <w:r>
        <w:t>Does reporting show ChatGPT and Claude separately?</w:t>
      </w:r>
    </w:p>
    <w:p>
      <w:pPr>
        <w:pStyle w:val="Sourcequotation"/>
      </w:pPr>
      <w:r>
        <w:t>The platform stores answers separately and reports separate mention rates for ChatGPT &amp; Claude. It also shows separate descriptions of how each model frames the company when sufficient evidence exists.</w:t>
      </w:r>
    </w:p>
    <w:p>
      <w:pPr>
        <w:pStyle w:val="Sourcequotation"/>
      </w:pPr>
      <w:r>
        <w:t>The main Authority Index remains a combined assessment, but the model-level split is visible. It is therefore not only a blended score.</w:t>
      </w:r>
    </w:p>
    <w:p>
      <w:pPr>
        <w:pStyle w:val="Sourcequotation"/>
      </w:pPr>
      <w:r>
        <w:t>Client-ready wording</w:t>
      </w:r>
    </w:p>
    <w:p>
      <w:pPr>
        <w:pStyle w:val="Sourcequotation"/>
      </w:pPr>
      <w:r>
        <w:t>“AIO Fusion keeps ChatGPT and Claude results separate, shows the visibility rate for each, and then provides a combined overall assessment.”</w:t>
      </w:r>
    </w:p>
    <w:p>
      <w:pPr>
        <w:pStyle w:val="Heading3"/>
      </w:pPr>
      <w:r>
        <w:t>Replacement v1.5 wording</w:t>
      </w:r>
    </w:p>
    <w:p>
      <w:r>
        <w:t>The reporting described for the beta keeps ChatGPT and Claude responses separate and shows a mention rate for each, with separate descriptions where sufficient evidence is available. The Authority Index is a combined overall assessment.</w:t>
      </w:r>
    </w:p>
    <w:p>
      <w:r>
        <w:t>Confirm the required model-level views in a current report. A combined score should not be mistaken for identical performance across both services.</w:t>
      </w:r>
    </w:p>
    <w:p>
      <w:pPr>
        <w:pStyle w:val="Heading3"/>
      </w:pPr>
      <w:r>
        <w:t>Reason and handling</w:t>
      </w:r>
    </w:p>
    <w:p>
      <w:r>
        <w:t>Retain source's model-level split, with evidence-presence caveat. Checklist requires verifying the live UI and exports rather than treating backend storage as a delivered reporting capability.</w:t>
      </w:r>
    </w:p>
    <w:p>
      <w:pPr>
        <w:pStyle w:val="Heading2"/>
      </w:pPr>
      <w:r>
        <w:t>7.4  Does the platform capture sources and citations?</w:t>
      </w:r>
    </w:p>
    <w:p>
      <w:r>
        <w:t>Decision: retain; simplify; factual confirmation required</w:t>
      </w:r>
    </w:p>
    <w:p>
      <w:pPr>
        <w:pStyle w:val="Heading3"/>
      </w:pPr>
      <w:r>
        <w:t>Original v1.4 wording</w:t>
      </w:r>
    </w:p>
    <w:p>
      <w:pPr>
        <w:pStyle w:val="Sourcequotation"/>
      </w:pPr>
      <w:r>
        <w:t>Does the platform capture sources and citations?</w:t>
      </w:r>
    </w:p>
    <w:p>
      <w:pPr>
        <w:pStyle w:val="Sourcequotation"/>
      </w:pPr>
      <w:r>
        <w:t>The current backend now records:</w:t>
      </w:r>
    </w:p>
    <w:p>
      <w:pPr>
        <w:pStyle w:val="Sourcequotation"/>
      </w:pPr>
      <w:r>
        <w:t>URLs included in an answer</w:t>
      </w:r>
    </w:p>
    <w:p>
      <w:pPr>
        <w:pStyle w:val="Sourcequotation"/>
      </w:pPr>
      <w:r>
        <w:t>The domains of those URLs</w:t>
      </w:r>
    </w:p>
    <w:p>
      <w:pPr>
        <w:pStyle w:val="Sourcequotation"/>
      </w:pPr>
      <w:r>
        <w:t>The relevant question</w:t>
      </w:r>
    </w:p>
    <w:p>
      <w:pPr>
        <w:pStyle w:val="Sourcequotation"/>
      </w:pPr>
      <w:r>
        <w:t>The provider and model</w:t>
      </w:r>
    </w:p>
    <w:p>
      <w:pPr>
        <w:pStyle w:val="Sourcequotation"/>
      </w:pPr>
      <w:r>
        <w:t>Mention rate and answer position</w:t>
      </w:r>
    </w:p>
    <w:p>
      <w:pPr>
        <w:pStyle w:val="Sourcequotation"/>
      </w:pPr>
      <w:r>
        <w:t>Client-ready wording</w:t>
      </w:r>
    </w:p>
    <w:p>
      <w:pPr>
        <w:pStyle w:val="Sourcequotation"/>
      </w:pPr>
      <w:r>
        <w:t>“We record links when an AI answer provides them, but AI models do not always disclose the underlying sources that influenced an answer. We therefore do not claim to have a complete record of every source behind every response.”</w:t>
      </w:r>
    </w:p>
    <w:p>
      <w:pPr>
        <w:pStyle w:val="Heading3"/>
      </w:pPr>
      <w:r>
        <w:t>Replacement v1.5 wording</w:t>
      </w:r>
    </w:p>
    <w:p>
      <w:r>
        <w:t>The audit records links when an AI response provides them, with context about the question and responding service. Models do not always disclose the sources that influenced an answer, so the record is incomplete.</w:t>
      </w:r>
    </w:p>
    <w:p>
      <w:r>
        <w:t>A link in an answer is not automatically a verified citation or proof that the linked page caused the answer. Check important links and confirm which citation details appear in the report you will receive.</w:t>
      </w:r>
    </w:p>
    <w:p>
      <w:pPr>
        <w:pStyle w:val="Heading3"/>
      </w:pPr>
      <w:r>
        <w:t>Reason and handling</w:t>
      </w:r>
    </w:p>
    <w:p>
      <w:r>
        <w:t>Preserve incomplete-citation disclosure. Simplify backend field inventory and distinguish a supplied link from verified provenance. Verify availability to users as well as storage.</w:t>
      </w:r>
    </w:p>
    <w:p>
      <w:pPr>
        <w:pStyle w:val="Heading2"/>
      </w:pPr>
      <w:r>
        <w:t>7.5  How often should audits be run?</w:t>
      </w:r>
    </w:p>
    <w:p>
      <w:r>
        <w:t>Decision: retain; simplify</w:t>
      </w:r>
    </w:p>
    <w:p>
      <w:pPr>
        <w:pStyle w:val="Heading3"/>
      </w:pPr>
      <w:r>
        <w:t>Original v1.4 wording</w:t>
      </w:r>
    </w:p>
    <w:p>
      <w:pPr>
        <w:pStyle w:val="Sourcequotation"/>
      </w:pPr>
      <w:r>
        <w:t>How often should audits be run?</w:t>
      </w:r>
    </w:p>
    <w:p>
      <w:pPr>
        <w:pStyle w:val="Sourcequotation"/>
      </w:pPr>
      <w:r>
        <w:t>Monthly. The reporting suite is designed around that cadence, and it is frequent enough to show movement without being so frequent that normal model variance drowns the signal.</w:t>
      </w:r>
    </w:p>
    <w:p>
      <w:pPr>
        <w:pStyle w:val="Heading3"/>
      </w:pPr>
      <w:r>
        <w:t>Replacement v1.5 wording</w:t>
      </w:r>
    </w:p>
    <w:p>
      <w:r>
        <w:t>A monthly review is a practical starting point for a communications programme. Keep questions and setup comparable, record material changes and examine the evidence behind any movement. Monthly timing does not remove model variation or guarantee that changes will be detectable.</w:t>
      </w:r>
    </w:p>
    <w:p>
      <w:pPr>
        <w:pStyle w:val="Heading3"/>
      </w:pPr>
      <w:r>
        <w:t>Reason and handling</w:t>
      </w:r>
    </w:p>
    <w:p>
      <w:r>
        <w:t>Retain monthly cadence as a practical recommendation, not a validated noise threshold or guaranteed detection interval.</w:t>
      </w:r>
    </w:p>
    <w:p>
      <w:r>
        <w:br w:type="page"/>
      </w:r>
    </w:p>
    <w:p>
      <w:pPr>
        <w:pStyle w:val="Heading1"/>
      </w:pPr>
      <w:r>
        <w:t>Comparison: 8  GEO, AEO and Google AI Overviews</w:t>
      </w:r>
    </w:p>
    <w:p>
      <w:pPr>
        <w:pStyle w:val="Heading2"/>
      </w:pPr>
      <w:r>
        <w:t>8.1  What is the difference between GEO and AEO?</w:t>
      </w:r>
    </w:p>
    <w:p>
      <w:r>
        <w:t>Decision: retain; simplify; factual confirmation required</w:t>
      </w:r>
    </w:p>
    <w:p>
      <w:pPr>
        <w:pStyle w:val="Heading3"/>
      </w:pPr>
      <w:r>
        <w:t>Original v1.4 wording</w:t>
      </w:r>
    </w:p>
    <w:p>
      <w:pPr>
        <w:pStyle w:val="Sourcequotation"/>
      </w:pPr>
      <w:r>
        <w:t>What’s the difference between GEO and AEO?</w:t>
      </w:r>
    </w:p>
    <w:p>
      <w:pPr>
        <w:pStyle w:val="Sourcequotation"/>
      </w:pPr>
      <w:r>
        <w:t>Generative engine optimisation (GEO) influences the long-form output of large language models: the analyses, comparisons and essay-style digests people now use to shortlist suppliers and form opinions. This is where the value sits for most B2B clients.</w:t>
      </w:r>
    </w:p>
    <w:p>
      <w:pPr>
        <w:pStyle w:val="Sourcequotation"/>
      </w:pPr>
      <w:r>
        <w:t>Answer engine optimisation (AEO) influences shorter-form answers, principally Google’s AI Overviews. It matters for specific query types such as “top PR agencies”, consumer services, and anything with a list-shaped answer.</w:t>
      </w:r>
    </w:p>
    <w:p>
      <w:pPr>
        <w:pStyle w:val="Sourcequotation"/>
      </w:pPr>
      <w:r>
        <w:t>AIO Fusion works on both. How far either can be moved depends on three things: outgoing content, PR activity, and the material on the client’s own website.</w:t>
      </w:r>
    </w:p>
    <w:p>
      <w:pPr>
        <w:pStyle w:val="Heading3"/>
      </w:pPr>
      <w:r>
        <w:t>Replacement v1.5 wording</w:t>
      </w:r>
    </w:p>
    <w:p>
      <w:r>
        <w:t>GEO usually describes work intended to improve how a brand or its content is represented in generative AI responses. AEO, or answer engine optimisation, usually refers to making information easier for answer-focused services to find and use. The terms overlap and are not used consistently across the industry.</w:t>
      </w:r>
    </w:p>
    <w:p>
      <w:r>
        <w:t>Clear, well-supported content and accessible website structure can be relevant to both. AIO Fusion's measured coverage in this draft remains ChatGPT and Claude, not every answer engine.</w:t>
      </w:r>
    </w:p>
    <w:p>
      <w:pPr>
        <w:pStyle w:val="Heading3"/>
      </w:pPr>
      <w:r>
        <w:t>Reason and handling</w:t>
      </w:r>
    </w:p>
    <w:p>
      <w:r>
        <w:t>Avoid rigid short/long-answer definitions, universal B2B value claims and the implication that AIO measures both. Treat terms as overlapping industry usage.</w:t>
      </w:r>
    </w:p>
    <w:p>
      <w:pPr>
        <w:pStyle w:val="Heading2"/>
      </w:pPr>
      <w:r>
        <w:t>8.2  Can we see how a brand appears in Google AI Overviews?</w:t>
      </w:r>
    </w:p>
    <w:p>
      <w:r>
        <w:t>Decision: retain; simplify</w:t>
      </w:r>
    </w:p>
    <w:p>
      <w:pPr>
        <w:pStyle w:val="Heading3"/>
      </w:pPr>
      <w:r>
        <w:t>Original v1.4 wording</w:t>
      </w:r>
    </w:p>
    <w:p>
      <w:pPr>
        <w:pStyle w:val="Sourcequotation"/>
      </w:pPr>
      <w:r>
        <w:t>Our clients want to know how they appear in Google AI Overviews, which now show on most searches.</w:t>
      </w:r>
    </w:p>
    <w:p>
      <w:pPr>
        <w:pStyle w:val="Sourcequotation"/>
      </w:pPr>
      <w:r>
        <w:t>The engines we measure today are ChatGPT and Claude. We do not currently probe or report on Google’s AI Overviews. What we do work on are the inputs that drive them: well-structured answer content and schema on the client’s own site, which the website audit identifies and specifies.</w:t>
      </w:r>
    </w:p>
    <w:p>
      <w:pPr>
        <w:pStyle w:val="Heading3"/>
      </w:pPr>
      <w:r>
        <w:t>Replacement v1.5 wording</w:t>
      </w:r>
    </w:p>
    <w:p>
      <w:r>
        <w:t>Not through the current audits described here. AIO Fusion does not currently probe or report on Google AI Overviews. Website recommendations may help improve the clarity and structure of content, but they do not measure or guarantee inclusion in Google AI Overviews.</w:t>
      </w:r>
    </w:p>
    <w:p>
      <w:pPr>
        <w:pStyle w:val="Heading3"/>
      </w:pPr>
      <w:r>
        <w:t>Reason and handling</w:t>
      </w:r>
    </w:p>
    <w:p>
      <w:r>
        <w:t>Retain explicit coverage limitation. Remove unsubstantiated 'most searches' from the question and causal certainty about inputs.</w:t>
      </w:r>
    </w:p>
    <w:p>
      <w:pPr>
        <w:pStyle w:val="Heading2"/>
      </w:pPr>
      <w:r>
        <w:t>8.3  What about social media?</w:t>
      </w:r>
    </w:p>
    <w:p>
      <w:r>
        <w:t>Decision: simplify; factual confirmation required</w:t>
      </w:r>
    </w:p>
    <w:p>
      <w:pPr>
        <w:pStyle w:val="Heading3"/>
      </w:pPr>
      <w:r>
        <w:t>Original v1.4 wording</w:t>
      </w:r>
    </w:p>
    <w:p>
      <w:pPr>
        <w:pStyle w:val="Sourcequotation"/>
      </w:pPr>
      <w:r>
        <w:t>What about social media?</w:t>
      </w:r>
    </w:p>
    <w:p>
      <w:pPr>
        <w:pStyle w:val="Sourcequotation"/>
      </w:pPr>
      <w:r>
        <w:t>Current research indicates most social media is not categorised by LLMs as earned media. However, there are indications that LinkedIn is currently significant and is starting to be picked up and weighted by the models. The relationship between social platforms and model training is dynamic and we expect to adapt as it moves rather than pretend the current picture is permanent.</w:t>
      </w:r>
    </w:p>
    <w:p>
      <w:pPr>
        <w:pStyle w:val="Sourcequotation"/>
      </w:pPr>
      <w:r>
        <w:t>LinkedIn will be included in the forthcoming platform release gateway.</w:t>
      </w:r>
    </w:p>
    <w:p>
      <w:pPr>
        <w:pStyle w:val="Heading3"/>
      </w:pPr>
      <w:r>
        <w:t>Replacement v1.5 wording</w:t>
      </w:r>
    </w:p>
    <w:p>
      <w:r>
        <w:t>Social content can form part of a wider communications programme. Its visibility to AI services depends on the provider, content accessibility and other conditions, so this draft makes no fixed claim about how social platforms are weighted.</w:t>
      </w:r>
    </w:p>
    <w:p>
      <w:r>
        <w:t>AIO Fusion's audit coverage should not be read as a direct measurement of LinkedIn or other social channels. No social-distribution integration is committed here.</w:t>
      </w:r>
    </w:p>
    <w:p>
      <w:pPr>
        <w:pStyle w:val="Heading3"/>
      </w:pPr>
      <w:r>
        <w:t>Reason and handling</w:t>
      </w:r>
    </w:p>
    <w:p>
      <w:r>
        <w:t>Remove uncited research, platform-weighting assertions and LinkedIn gateway commitment. Preserve a useful but limited explanation of social's role.</w:t>
      </w:r>
    </w:p>
    <w:p>
      <w:r>
        <w:br w:type="page"/>
      </w:r>
    </w:p>
    <w:p>
      <w:pPr>
        <w:pStyle w:val="Heading1"/>
      </w:pPr>
      <w:r>
        <w:t>Comparison: 9  Commercials, beta and onboarding</w:t>
      </w:r>
    </w:p>
    <w:p>
      <w:pPr>
        <w:pStyle w:val="Heading2"/>
      </w:pPr>
      <w:r>
        <w:t>9.1  What is the beta programme?</w:t>
      </w:r>
    </w:p>
    <w:p>
      <w:r>
        <w:t>Decision: retain; owner-approved with explicit open terms</w:t>
      </w:r>
    </w:p>
    <w:p>
      <w:pPr>
        <w:pStyle w:val="Heading3"/>
      </w:pPr>
      <w:r>
        <w:t>Original v1.4 wording</w:t>
      </w:r>
    </w:p>
    <w:p>
      <w:pPr>
        <w:pStyle w:val="Sourcequotation"/>
      </w:pPr>
      <w:r>
        <w:t>What is the beta programme?</w:t>
      </w:r>
    </w:p>
    <w:p>
      <w:pPr>
        <w:pStyle w:val="Sourcequotation"/>
      </w:pPr>
      <w:r>
        <w:t>A two-month free trial in exchange for structured feedback, followed by a 30% reduction on the first year. The beta opens on 5 October 2026 and runs to December, supported by webinars and how-to guides in early October.</w:t>
      </w:r>
    </w:p>
    <w:p>
      <w:pPr>
        <w:pStyle w:val="Sourcequotation"/>
      </w:pPr>
      <w:r>
        <w:t>The ask of participants is genuine feedback. We will be asking beta participants to actively help us enhance the product, with the expectation that they continue with the platform afterwards.</w:t>
      </w:r>
    </w:p>
    <w:p>
      <w:pPr>
        <w:pStyle w:val="Heading3"/>
      </w:pPr>
      <w:r>
        <w:t>Replacement v1.5 wording</w:t>
      </w:r>
    </w:p>
    <w:p>
      <w:r>
        <w:t>The owner-approved beta offer is a 60-day free trial in exchange for structured feedback. The programme opens on 5 October 2026 and runs to December 2026, with webinars and how-to guides from early October.</w:t>
      </w:r>
    </w:p>
    <w:p>
      <w:r>
        <w:t>After the trial, customers who proceed pay each scheduled bill in full. During the first 12 months, 30% of each payment is refunded to the customer's payment method. Quarterly payments receive quarterly refunds; annual payments receive an annual refund.</w:t>
      </w:r>
    </w:p>
    <w:p>
      <w:r>
        <w:t>Eligibility, when the 60-day period starts, refund processing time, tax treatment, treatment of additional projects, cancellation and renewal terms must be confirmed in the agreed trial and order terms. There is no automatic-conversion commitment in this Q&amp;A.</w:t>
      </w:r>
    </w:p>
    <w:p>
      <w:pPr>
        <w:pStyle w:val="Heading3"/>
      </w:pPr>
      <w:r>
        <w:t>Reason and handling</w:t>
      </w:r>
    </w:p>
    <w:p>
      <w:r>
        <w:t>Record the owner's 18 September 2026 decisions: 60-day trial, structured feedback and payment-aligned 30% refunds during the first 12 months. Keep unresolved operational and contract terms explicit.</w:t>
      </w:r>
    </w:p>
    <w:p>
      <w:pPr>
        <w:pStyle w:val="Heading2"/>
      </w:pPr>
      <w:r>
        <w:t>9.2  What does it cost?</w:t>
      </w:r>
    </w:p>
    <w:p>
      <w:r>
        <w:t>Decision: retain; owner-approved indicative beta pricing</w:t>
      </w:r>
    </w:p>
    <w:p>
      <w:pPr>
        <w:pStyle w:val="Heading3"/>
      </w:pPr>
      <w:r>
        <w:t>Original v1.4 wording</w:t>
      </w:r>
    </w:p>
    <w:p>
      <w:pPr>
        <w:pStyle w:val="Sourcequotation"/>
      </w:pPr>
      <w:r>
        <w:t>What does it cost?</w:t>
      </w:r>
    </w:p>
    <w:p>
      <w:pPr>
        <w:pStyle w:val="Sourcequotation"/>
      </w:pPr>
      <w:r>
        <w:t>Annual subscriptions, no hidden costs, and all prices exclude VAT. Payments are handled through Stripe. Pricing is indicative while the platform is in beta.</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cantSplit/>
        </w:trPr>
        <w:tc>
          <w:tcPr>
            <w:tcW w:type="dxa" w:w="2416"/>
            <w:shd w:fill="18384B"/>
            <w:vAlign w:val="center"/>
          </w:tcPr>
          <w:p>
            <w:pPr>
              <w:spacing w:after="100" w:before="100"/>
            </w:pPr>
            <w:r>
              <w:rPr>
                <w:b/>
                <w:color w:val="FFFFFF"/>
                <w:sz w:val="19"/>
              </w:rPr>
              <w:t>Plan</w:t>
            </w:r>
          </w:p>
        </w:tc>
        <w:tc>
          <w:tcPr>
            <w:tcW w:type="dxa" w:w="2416"/>
            <w:shd w:fill="18384B"/>
            <w:vAlign w:val="center"/>
          </w:tcPr>
          <w:p>
            <w:pPr>
              <w:spacing w:after="100" w:before="100"/>
            </w:pPr>
            <w:r>
              <w:rPr>
                <w:b/>
                <w:color w:val="FFFFFF"/>
                <w:sz w:val="19"/>
              </w:rPr>
              <w:t>Billed annually</w:t>
            </w:r>
          </w:p>
        </w:tc>
        <w:tc>
          <w:tcPr>
            <w:tcW w:type="dxa" w:w="2416"/>
            <w:shd w:fill="18384B"/>
            <w:vAlign w:val="center"/>
          </w:tcPr>
          <w:p>
            <w:pPr>
              <w:spacing w:after="100" w:before="100"/>
            </w:pPr>
            <w:r>
              <w:rPr>
                <w:b/>
                <w:color w:val="FFFFFF"/>
                <w:sz w:val="19"/>
              </w:rPr>
              <w:t>Billed quarterly</w:t>
            </w:r>
          </w:p>
        </w:tc>
        <w:tc>
          <w:tcPr>
            <w:tcW w:type="dxa" w:w="2416"/>
            <w:shd w:fill="18384B"/>
            <w:vAlign w:val="center"/>
          </w:tcPr>
          <w:p>
            <w:pPr>
              <w:spacing w:after="100" w:before="100"/>
            </w:pPr>
            <w:r>
              <w:rPr>
                <w:b/>
                <w:color w:val="FFFFFF"/>
                <w:sz w:val="19"/>
              </w:rPr>
              <w:t>Projects included</w:t>
            </w:r>
          </w:p>
        </w:tc>
      </w:tr>
      <w:tr>
        <w:trPr>
          <w:cantSplit/>
        </w:trPr>
        <w:tc>
          <w:tcPr>
            <w:tcW w:type="dxa" w:w="2416"/>
            <w:vAlign w:val="center"/>
          </w:tcPr>
          <w:p>
            <w:pPr>
              <w:spacing w:after="100" w:before="100"/>
            </w:pPr>
            <w:r>
              <w:rPr>
                <w:sz w:val="19"/>
              </w:rPr>
              <w:t>In-House</w:t>
            </w:r>
          </w:p>
        </w:tc>
        <w:tc>
          <w:tcPr>
            <w:tcW w:type="dxa" w:w="2416"/>
            <w:vAlign w:val="center"/>
          </w:tcPr>
          <w:p>
            <w:pPr>
              <w:spacing w:after="100" w:before="100"/>
            </w:pPr>
            <w:r>
              <w:rPr>
                <w:sz w:val="19"/>
              </w:rPr>
              <w:t>£4,000 / yr (£333 pm)</w:t>
            </w:r>
          </w:p>
        </w:tc>
        <w:tc>
          <w:tcPr>
            <w:tcW w:type="dxa" w:w="2416"/>
            <w:vAlign w:val="center"/>
          </w:tcPr>
          <w:p>
            <w:pPr>
              <w:spacing w:after="100" w:before="100"/>
            </w:pPr>
            <w:r>
              <w:rPr>
                <w:sz w:val="19"/>
              </w:rPr>
              <w:t>£4,600 / yr (£383 pm)</w:t>
            </w:r>
          </w:p>
        </w:tc>
        <w:tc>
          <w:tcPr>
            <w:tcW w:type="dxa" w:w="2416"/>
            <w:vAlign w:val="center"/>
          </w:tcPr>
          <w:p>
            <w:pPr>
              <w:spacing w:after="100" w:before="100"/>
            </w:pPr>
            <w:r>
              <w:rPr>
                <w:sz w:val="19"/>
              </w:rPr>
              <w:t>1 Premium project</w:t>
            </w:r>
          </w:p>
        </w:tc>
      </w:tr>
      <w:tr>
        <w:trPr>
          <w:cantSplit/>
        </w:trPr>
        <w:tc>
          <w:tcPr>
            <w:tcW w:type="dxa" w:w="2416"/>
            <w:vAlign w:val="center"/>
          </w:tcPr>
          <w:p>
            <w:pPr>
              <w:spacing w:after="100" w:before="100"/>
            </w:pPr>
            <w:r>
              <w:rPr>
                <w:sz w:val="19"/>
              </w:rPr>
              <w:t>Agency</w:t>
            </w:r>
          </w:p>
        </w:tc>
        <w:tc>
          <w:tcPr>
            <w:tcW w:type="dxa" w:w="2416"/>
            <w:vAlign w:val="center"/>
          </w:tcPr>
          <w:p>
            <w:pPr>
              <w:spacing w:after="100" w:before="100"/>
            </w:pPr>
            <w:r>
              <w:rPr>
                <w:sz w:val="19"/>
              </w:rPr>
              <w:t>£5,000 / yr (£417 pm)</w:t>
            </w:r>
          </w:p>
        </w:tc>
        <w:tc>
          <w:tcPr>
            <w:tcW w:type="dxa" w:w="2416"/>
            <w:vAlign w:val="center"/>
          </w:tcPr>
          <w:p>
            <w:pPr>
              <w:spacing w:after="100" w:before="100"/>
            </w:pPr>
            <w:r>
              <w:rPr>
                <w:sz w:val="19"/>
              </w:rPr>
              <w:t>£5,750 / yr (£479 pm)</w:t>
            </w:r>
          </w:p>
        </w:tc>
        <w:tc>
          <w:tcPr>
            <w:tcW w:type="dxa" w:w="2416"/>
            <w:vAlign w:val="center"/>
          </w:tcPr>
          <w:p>
            <w:pPr>
              <w:spacing w:after="100" w:before="100"/>
            </w:pPr>
            <w:r>
              <w:rPr>
                <w:sz w:val="19"/>
              </w:rPr>
              <w:t>3 Premium projects</w:t>
            </w:r>
          </w:p>
        </w:tc>
      </w:tr>
    </w:tbl>
    <w:p>
      <w:pPr>
        <w:spacing w:after="0"/>
      </w:pPr>
    </w:p>
    <w:p>
      <w:pPr>
        <w:pStyle w:val="Sourcequotation"/>
      </w:pPr>
      <w:r>
        <w:t>Both plans include the full standard platform, all ten modules: AI visibility audit and GEO strategy builder, comms planner, content optimiser and editor, content creator, media research, marketing intelligence, website content GEO, website technical GEO, measure and report, and the content library. The agency plan adds multi-client architecture and an agency dashboard, client sub-accounts and reporting, and priority email and chat support in place of email support alone.</w:t>
      </w:r>
    </w:p>
    <w:p>
      <w:pPr>
        <w:pStyle w:val="Heading3"/>
      </w:pPr>
      <w:r>
        <w:t>Replacement v1.5 wording</w:t>
      </w:r>
    </w:p>
    <w:p>
      <w:r>
        <w:t>The following indicative beta figures were approved by Spencer Gallagher on 18 September 2026 and match the published pricing page checked on that date. All prices exclude VAT. Subscriptions are annual; payments are handled through Stripe. Monthly figures are rounded equivalents, not a monthly subscription option. The agreed order controls the final terms.</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cantSplit/>
        </w:trPr>
        <w:tc>
          <w:tcPr>
            <w:tcW w:type="dxa" w:w="2416"/>
            <w:shd w:fill="18384B"/>
            <w:vAlign w:val="center"/>
          </w:tcPr>
          <w:p>
            <w:pPr>
              <w:spacing w:after="100" w:before="100"/>
            </w:pPr>
            <w:r>
              <w:rPr>
                <w:b/>
                <w:color w:val="FFFFFF"/>
                <w:sz w:val="19"/>
              </w:rPr>
              <w:t>Plan</w:t>
            </w:r>
          </w:p>
        </w:tc>
        <w:tc>
          <w:tcPr>
            <w:tcW w:type="dxa" w:w="2416"/>
            <w:shd w:fill="18384B"/>
            <w:vAlign w:val="center"/>
          </w:tcPr>
          <w:p>
            <w:pPr>
              <w:spacing w:after="100" w:before="100"/>
            </w:pPr>
            <w:r>
              <w:rPr>
                <w:b/>
                <w:color w:val="FFFFFF"/>
                <w:sz w:val="19"/>
              </w:rPr>
              <w:t>Annual billing</w:t>
            </w:r>
          </w:p>
        </w:tc>
        <w:tc>
          <w:tcPr>
            <w:tcW w:type="dxa" w:w="2416"/>
            <w:shd w:fill="18384B"/>
            <w:vAlign w:val="center"/>
          </w:tcPr>
          <w:p>
            <w:pPr>
              <w:spacing w:after="100" w:before="100"/>
            </w:pPr>
            <w:r>
              <w:rPr>
                <w:b/>
                <w:color w:val="FFFFFF"/>
                <w:sz w:val="19"/>
              </w:rPr>
              <w:t>Quarterly billing: annual total</w:t>
            </w:r>
          </w:p>
        </w:tc>
        <w:tc>
          <w:tcPr>
            <w:tcW w:type="dxa" w:w="2416"/>
            <w:shd w:fill="18384B"/>
            <w:vAlign w:val="center"/>
          </w:tcPr>
          <w:p>
            <w:pPr>
              <w:spacing w:after="100" w:before="100"/>
            </w:pPr>
            <w:r>
              <w:rPr>
                <w:b/>
                <w:color w:val="FFFFFF"/>
                <w:sz w:val="19"/>
              </w:rPr>
              <w:t>Included projects</w:t>
            </w:r>
          </w:p>
        </w:tc>
      </w:tr>
      <w:tr>
        <w:trPr>
          <w:cantSplit/>
        </w:trPr>
        <w:tc>
          <w:tcPr>
            <w:tcW w:type="dxa" w:w="2416"/>
            <w:vAlign w:val="center"/>
          </w:tcPr>
          <w:p>
            <w:pPr>
              <w:spacing w:after="100" w:before="100"/>
            </w:pPr>
            <w:r>
              <w:rPr>
                <w:sz w:val="19"/>
              </w:rPr>
              <w:t>In-House</w:t>
            </w:r>
          </w:p>
        </w:tc>
        <w:tc>
          <w:tcPr>
            <w:tcW w:type="dxa" w:w="2416"/>
            <w:vAlign w:val="center"/>
          </w:tcPr>
          <w:p>
            <w:pPr>
              <w:spacing w:after="100" w:before="100"/>
            </w:pPr>
            <w:r>
              <w:rPr>
                <w:sz w:val="19"/>
              </w:rPr>
              <w:t>£4,000/year</w:t>
              <w:br/>
              <w:t>£333/month equivalent</w:t>
            </w:r>
          </w:p>
        </w:tc>
        <w:tc>
          <w:tcPr>
            <w:tcW w:type="dxa" w:w="2416"/>
            <w:vAlign w:val="center"/>
          </w:tcPr>
          <w:p>
            <w:pPr>
              <w:spacing w:after="100" w:before="100"/>
            </w:pPr>
            <w:r>
              <w:rPr>
                <w:sz w:val="19"/>
              </w:rPr>
              <w:t>£4,600/year</w:t>
              <w:br/>
              <w:t>£383/month equivalent</w:t>
            </w:r>
          </w:p>
        </w:tc>
        <w:tc>
          <w:tcPr>
            <w:tcW w:type="dxa" w:w="2416"/>
            <w:vAlign w:val="center"/>
          </w:tcPr>
          <w:p>
            <w:pPr>
              <w:spacing w:after="100" w:before="100"/>
            </w:pPr>
            <w:r>
              <w:rPr>
                <w:sz w:val="19"/>
              </w:rPr>
              <w:t>1 Premium</w:t>
            </w:r>
          </w:p>
        </w:tc>
      </w:tr>
      <w:tr>
        <w:trPr>
          <w:cantSplit/>
        </w:trPr>
        <w:tc>
          <w:tcPr>
            <w:tcW w:type="dxa" w:w="2416"/>
            <w:vAlign w:val="center"/>
          </w:tcPr>
          <w:p>
            <w:pPr>
              <w:spacing w:after="100" w:before="100"/>
            </w:pPr>
            <w:r>
              <w:rPr>
                <w:sz w:val="19"/>
              </w:rPr>
              <w:t>Agency</w:t>
            </w:r>
          </w:p>
        </w:tc>
        <w:tc>
          <w:tcPr>
            <w:tcW w:type="dxa" w:w="2416"/>
            <w:vAlign w:val="center"/>
          </w:tcPr>
          <w:p>
            <w:pPr>
              <w:spacing w:after="100" w:before="100"/>
            </w:pPr>
            <w:r>
              <w:rPr>
                <w:sz w:val="19"/>
              </w:rPr>
              <w:t>£5,000/year</w:t>
              <w:br/>
              <w:t>£417/month equivalent</w:t>
            </w:r>
          </w:p>
        </w:tc>
        <w:tc>
          <w:tcPr>
            <w:tcW w:type="dxa" w:w="2416"/>
            <w:vAlign w:val="center"/>
          </w:tcPr>
          <w:p>
            <w:pPr>
              <w:spacing w:after="100" w:before="100"/>
            </w:pPr>
            <w:r>
              <w:rPr>
                <w:sz w:val="19"/>
              </w:rPr>
              <w:t>£5,750/year</w:t>
              <w:br/>
              <w:t>£479/month equivalent</w:t>
            </w:r>
          </w:p>
        </w:tc>
        <w:tc>
          <w:tcPr>
            <w:tcW w:type="dxa" w:w="2416"/>
            <w:vAlign w:val="center"/>
          </w:tcPr>
          <w:p>
            <w:pPr>
              <w:spacing w:after="100" w:before="100"/>
            </w:pPr>
            <w:r>
              <w:rPr>
                <w:sz w:val="19"/>
              </w:rPr>
              <w:t>3 Premium</w:t>
            </w:r>
          </w:p>
        </w:tc>
      </w:tr>
    </w:tbl>
    <w:p>
      <w:pPr>
        <w:spacing w:after="0"/>
      </w:pPr>
    </w:p>
    <w:p>
      <w:r>
        <w:t>Both plans are described as including the full standard platform: AI visibility audit and GEO strategy builder; Communications Planner; Content Optimiser and editor; Content Creator; Media Research; Market Intelligence; Website Content GEO; Website Technical GEO; Measure and Report; and Content Library.</w:t>
      </w:r>
    </w:p>
    <w:p>
      <w:r>
        <w:t>In-House includes email support. Agency adds multi-client working, an agency dashboard, client sub-accounts and reporting, and priority email and chat support. Confirm support arrangements and any additional charges in the order. Proposed features are not included as current capabilities merely because the plan includes the standard platform.</w:t>
      </w:r>
    </w:p>
    <w:p>
      <w:pPr>
        <w:pStyle w:val="Heading3"/>
      </w:pPr>
      <w:r>
        <w:t>Reason and handling</w:t>
      </w:r>
    </w:p>
    <w:p>
      <w:r>
        <w:t>Owner approved the published figures as indicative beta pricing on 18 September 2026. Monthly numbers are rounded equivalents, not instalments. Quarterly column is annual total. Preserve open support and order terms; remove 'no hidden costs'.</w:t>
      </w:r>
    </w:p>
    <w:p>
      <w:pPr>
        <w:pStyle w:val="Heading2"/>
      </w:pPr>
      <w:r>
        <w:t>9.3  How do additional project tiers work?</w:t>
      </w:r>
    </w:p>
    <w:p>
      <w:r>
        <w:t>Decision: retain; simplify; factual confirmation required</w:t>
      </w:r>
    </w:p>
    <w:p>
      <w:pPr>
        <w:pStyle w:val="Heading3"/>
      </w:pPr>
      <w:r>
        <w:t>Original v1.4 wording</w:t>
      </w:r>
    </w:p>
    <w:p>
      <w:pPr>
        <w:pStyle w:val="Sourcequotation"/>
      </w:pPr>
      <w:r>
        <w:t>How do the additional project tiers work?</w:t>
      </w:r>
    </w:p>
    <w:p>
      <w:pPr>
        <w:pStyle w:val="Sourcequotation"/>
      </w:pPr>
      <w:r>
        <w:t>Because no two clients are the same, additional projects come in three brackets, each priced per project per year and defined by a monthly action allowance. An action is a piece of content created or optimised, or a marketing or media intelligence search run.</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cantSplit/>
        </w:trPr>
        <w:tc>
          <w:tcPr>
            <w:tcW w:type="dxa" w:w="2416"/>
            <w:shd w:fill="18384B"/>
            <w:vAlign w:val="center"/>
          </w:tcPr>
          <w:p>
            <w:pPr>
              <w:spacing w:after="100" w:before="100"/>
            </w:pPr>
            <w:r>
              <w:rPr>
                <w:b/>
                <w:color w:val="FFFFFF"/>
                <w:sz w:val="19"/>
              </w:rPr>
              <w:t>Tier</w:t>
            </w:r>
          </w:p>
        </w:tc>
        <w:tc>
          <w:tcPr>
            <w:tcW w:type="dxa" w:w="2416"/>
            <w:shd w:fill="18384B"/>
            <w:vAlign w:val="center"/>
          </w:tcPr>
          <w:p>
            <w:pPr>
              <w:spacing w:after="100" w:before="100"/>
            </w:pPr>
            <w:r>
              <w:rPr>
                <w:b/>
                <w:color w:val="FFFFFF"/>
                <w:sz w:val="19"/>
              </w:rPr>
              <w:t>Price</w:t>
            </w:r>
          </w:p>
        </w:tc>
        <w:tc>
          <w:tcPr>
            <w:tcW w:type="dxa" w:w="2416"/>
            <w:shd w:fill="18384B"/>
            <w:vAlign w:val="center"/>
          </w:tcPr>
          <w:p>
            <w:pPr>
              <w:spacing w:after="100" w:before="100"/>
            </w:pPr>
            <w:r>
              <w:rPr>
                <w:b/>
                <w:color w:val="FFFFFF"/>
                <w:sz w:val="19"/>
              </w:rPr>
              <w:t>Actions / month</w:t>
            </w:r>
          </w:p>
        </w:tc>
        <w:tc>
          <w:tcPr>
            <w:tcW w:type="dxa" w:w="2416"/>
            <w:shd w:fill="18384B"/>
            <w:vAlign w:val="center"/>
          </w:tcPr>
          <w:p>
            <w:pPr>
              <w:spacing w:after="100" w:before="100"/>
            </w:pPr>
            <w:r>
              <w:rPr>
                <w:b/>
                <w:color w:val="FFFFFF"/>
                <w:sz w:val="19"/>
              </w:rPr>
              <w:t>Modelled on</w:t>
            </w:r>
          </w:p>
        </w:tc>
      </w:tr>
      <w:tr>
        <w:trPr>
          <w:cantSplit/>
        </w:trPr>
        <w:tc>
          <w:tcPr>
            <w:tcW w:type="dxa" w:w="2416"/>
            <w:vAlign w:val="center"/>
          </w:tcPr>
          <w:p>
            <w:pPr>
              <w:spacing w:after="100" w:before="100"/>
            </w:pPr>
            <w:r>
              <w:rPr>
                <w:sz w:val="19"/>
              </w:rPr>
              <w:t>Standard</w:t>
            </w:r>
          </w:p>
        </w:tc>
        <w:tc>
          <w:tcPr>
            <w:tcW w:type="dxa" w:w="2416"/>
            <w:vAlign w:val="center"/>
          </w:tcPr>
          <w:p>
            <w:pPr>
              <w:spacing w:after="100" w:before="100"/>
            </w:pPr>
            <w:r>
              <w:rPr>
                <w:sz w:val="19"/>
              </w:rPr>
              <w:t>£500 / yr</w:t>
            </w:r>
          </w:p>
        </w:tc>
        <w:tc>
          <w:tcPr>
            <w:tcW w:type="dxa" w:w="2416"/>
            <w:vAlign w:val="center"/>
          </w:tcPr>
          <w:p>
            <w:pPr>
              <w:spacing w:after="100" w:before="100"/>
            </w:pPr>
            <w:r>
              <w:rPr>
                <w:sz w:val="19"/>
              </w:rPr>
              <w:t>50</w:t>
            </w:r>
          </w:p>
        </w:tc>
        <w:tc>
          <w:tcPr>
            <w:tcW w:type="dxa" w:w="2416"/>
            <w:vAlign w:val="center"/>
          </w:tcPr>
          <w:p>
            <w:pPr>
              <w:spacing w:after="100" w:before="100"/>
            </w:pPr>
            <w:r>
              <w:rPr>
                <w:sz w:val="19"/>
              </w:rPr>
              <w:t>A small trade press account, around £4k a month in fees</w:t>
            </w:r>
          </w:p>
        </w:tc>
      </w:tr>
      <w:tr>
        <w:trPr>
          <w:cantSplit/>
        </w:trPr>
        <w:tc>
          <w:tcPr>
            <w:tcW w:type="dxa" w:w="2416"/>
            <w:vAlign w:val="center"/>
          </w:tcPr>
          <w:p>
            <w:pPr>
              <w:spacing w:after="100" w:before="100"/>
            </w:pPr>
            <w:r>
              <w:rPr>
                <w:sz w:val="19"/>
              </w:rPr>
              <w:t>Premium</w:t>
            </w:r>
          </w:p>
        </w:tc>
        <w:tc>
          <w:tcPr>
            <w:tcW w:type="dxa" w:w="2416"/>
            <w:vAlign w:val="center"/>
          </w:tcPr>
          <w:p>
            <w:pPr>
              <w:spacing w:after="100" w:before="100"/>
            </w:pPr>
            <w:r>
              <w:rPr>
                <w:sz w:val="19"/>
              </w:rPr>
              <w:t>£650 / yr</w:t>
            </w:r>
          </w:p>
        </w:tc>
        <w:tc>
          <w:tcPr>
            <w:tcW w:type="dxa" w:w="2416"/>
            <w:vAlign w:val="center"/>
          </w:tcPr>
          <w:p>
            <w:pPr>
              <w:spacing w:after="100" w:before="100"/>
            </w:pPr>
            <w:r>
              <w:rPr>
                <w:sz w:val="19"/>
              </w:rPr>
              <w:t>75</w:t>
            </w:r>
          </w:p>
        </w:tc>
        <w:tc>
          <w:tcPr>
            <w:tcW w:type="dxa" w:w="2416"/>
            <w:vAlign w:val="center"/>
          </w:tcPr>
          <w:p>
            <w:pPr>
              <w:spacing w:after="100" w:before="100"/>
            </w:pPr>
            <w:r>
              <w:rPr>
                <w:sz w:val="19"/>
              </w:rPr>
              <w:t>A medium national and trade account, around £8k a month</w:t>
            </w:r>
          </w:p>
        </w:tc>
      </w:tr>
      <w:tr>
        <w:trPr>
          <w:cantSplit/>
        </w:trPr>
        <w:tc>
          <w:tcPr>
            <w:tcW w:type="dxa" w:w="2416"/>
            <w:vAlign w:val="center"/>
          </w:tcPr>
          <w:p>
            <w:pPr>
              <w:spacing w:after="100" w:before="100"/>
            </w:pPr>
            <w:r>
              <w:rPr>
                <w:sz w:val="19"/>
              </w:rPr>
              <w:t>Max</w:t>
            </w:r>
          </w:p>
        </w:tc>
        <w:tc>
          <w:tcPr>
            <w:tcW w:type="dxa" w:w="2416"/>
            <w:vAlign w:val="center"/>
          </w:tcPr>
          <w:p>
            <w:pPr>
              <w:spacing w:after="100" w:before="100"/>
            </w:pPr>
            <w:r>
              <w:rPr>
                <w:sz w:val="19"/>
              </w:rPr>
              <w:t>£800 / yr</w:t>
            </w:r>
          </w:p>
        </w:tc>
        <w:tc>
          <w:tcPr>
            <w:tcW w:type="dxa" w:w="2416"/>
            <w:vAlign w:val="center"/>
          </w:tcPr>
          <w:p>
            <w:pPr>
              <w:spacing w:after="100" w:before="100"/>
            </w:pPr>
            <w:r>
              <w:rPr>
                <w:sz w:val="19"/>
              </w:rPr>
              <w:t>150</w:t>
            </w:r>
          </w:p>
        </w:tc>
        <w:tc>
          <w:tcPr>
            <w:tcW w:type="dxa" w:w="2416"/>
            <w:vAlign w:val="center"/>
          </w:tcPr>
          <w:p>
            <w:pPr>
              <w:spacing w:after="100" w:before="100"/>
            </w:pPr>
            <w:r>
              <w:rPr>
                <w:sz w:val="19"/>
              </w:rPr>
              <w:t>A large corporate, multi-aspect account, around £16k a month</w:t>
            </w:r>
          </w:p>
        </w:tc>
      </w:tr>
    </w:tbl>
    <w:p>
      <w:pPr>
        <w:spacing w:after="0"/>
      </w:pPr>
    </w:p>
    <w:p>
      <w:pPr>
        <w:pStyle w:val="Sourcequotation"/>
      </w:pPr>
      <w:r>
        <w:t>The allowances are modelled on the volume of work a client of that size actually generates in a month, and each cap is then set above that expected usage so there is headroom:</w:t>
      </w:r>
    </w:p>
    <w:p>
      <w:pPr>
        <w:pStyle w:val="Sourcequotation"/>
      </w:pPr>
      <w:r>
        <w:t>Standard: around one press release, three articles or blogs, three pitches, three events research rounds and ten media relations sweeps. Allowing two to three actions per article, that comes to around 31 actions a month against a 50-action cap.</w:t>
      </w:r>
    </w:p>
    <w:p>
      <w:pPr>
        <w:pStyle w:val="Sourcequotation"/>
      </w:pPr>
      <w:r>
        <w:t>Premium: around two press releases, six articles or blogs, six pitches, six events research rounds and twenty media relations sweeps, or around 62 actions a month against a 75-action cap.</w:t>
      </w:r>
    </w:p>
    <w:p>
      <w:pPr>
        <w:pStyle w:val="Sourcequotation"/>
      </w:pPr>
      <w:r>
        <w:t>Max: around four press releases, sixteen articles or blogs, twelve pitches, ten events research rounds and forty media relations sweeps, or around 134 actions a month against a 150-action cap.</w:t>
      </w:r>
    </w:p>
    <w:p>
      <w:pPr>
        <w:pStyle w:val="Heading3"/>
      </w:pPr>
      <w:r>
        <w:t>Replacement v1.5 wording</w:t>
      </w:r>
    </w:p>
    <w:p>
      <w:r>
        <w:t>Additional projects are priced per project per year with a monthly action allowance. These are the supplied commercial terms, not independently verified live entitlements.</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cantSplit/>
        </w:trPr>
        <w:tc>
          <w:tcPr>
            <w:tcW w:type="dxa" w:w="3221"/>
            <w:shd w:fill="18384B"/>
            <w:vAlign w:val="center"/>
          </w:tcPr>
          <w:p>
            <w:pPr>
              <w:spacing w:after="100" w:before="100"/>
            </w:pPr>
            <w:r>
              <w:rPr>
                <w:b/>
                <w:color w:val="FFFFFF"/>
                <w:sz w:val="19"/>
              </w:rPr>
              <w:t>Tier</w:t>
            </w:r>
          </w:p>
        </w:tc>
        <w:tc>
          <w:tcPr>
            <w:tcW w:type="dxa" w:w="3221"/>
            <w:shd w:fill="18384B"/>
            <w:vAlign w:val="center"/>
          </w:tcPr>
          <w:p>
            <w:pPr>
              <w:spacing w:after="100" w:before="100"/>
            </w:pPr>
            <w:r>
              <w:rPr>
                <w:b/>
                <w:color w:val="FFFFFF"/>
                <w:sz w:val="19"/>
              </w:rPr>
              <w:t>Annual price, excluding VAT</w:t>
            </w:r>
          </w:p>
        </w:tc>
        <w:tc>
          <w:tcPr>
            <w:tcW w:type="dxa" w:w="3221"/>
            <w:shd w:fill="18384B"/>
            <w:vAlign w:val="center"/>
          </w:tcPr>
          <w:p>
            <w:pPr>
              <w:spacing w:after="100" w:before="100"/>
            </w:pPr>
            <w:r>
              <w:rPr>
                <w:b/>
                <w:color w:val="FFFFFF"/>
                <w:sz w:val="19"/>
              </w:rPr>
              <w:t>Actions per month</w:t>
            </w:r>
          </w:p>
        </w:tc>
      </w:tr>
      <w:tr>
        <w:trPr>
          <w:cantSplit/>
        </w:trPr>
        <w:tc>
          <w:tcPr>
            <w:tcW w:type="dxa" w:w="3221"/>
            <w:vAlign w:val="center"/>
          </w:tcPr>
          <w:p>
            <w:pPr>
              <w:spacing w:after="100" w:before="100"/>
            </w:pPr>
            <w:r>
              <w:rPr>
                <w:sz w:val="19"/>
              </w:rPr>
              <w:t>Standard</w:t>
            </w:r>
          </w:p>
        </w:tc>
        <w:tc>
          <w:tcPr>
            <w:tcW w:type="dxa" w:w="3221"/>
            <w:vAlign w:val="center"/>
          </w:tcPr>
          <w:p>
            <w:pPr>
              <w:spacing w:after="100" w:before="100"/>
            </w:pPr>
            <w:r>
              <w:rPr>
                <w:sz w:val="19"/>
              </w:rPr>
              <w:t>£500</w:t>
            </w:r>
          </w:p>
        </w:tc>
        <w:tc>
          <w:tcPr>
            <w:tcW w:type="dxa" w:w="3221"/>
            <w:vAlign w:val="center"/>
          </w:tcPr>
          <w:p>
            <w:pPr>
              <w:spacing w:after="100" w:before="100"/>
            </w:pPr>
            <w:r>
              <w:rPr>
                <w:sz w:val="19"/>
              </w:rPr>
              <w:t>50</w:t>
            </w:r>
          </w:p>
        </w:tc>
      </w:tr>
      <w:tr>
        <w:trPr>
          <w:cantSplit/>
        </w:trPr>
        <w:tc>
          <w:tcPr>
            <w:tcW w:type="dxa" w:w="3221"/>
            <w:vAlign w:val="center"/>
          </w:tcPr>
          <w:p>
            <w:pPr>
              <w:spacing w:after="100" w:before="100"/>
            </w:pPr>
            <w:r>
              <w:rPr>
                <w:sz w:val="19"/>
              </w:rPr>
              <w:t>Premium</w:t>
            </w:r>
          </w:p>
        </w:tc>
        <w:tc>
          <w:tcPr>
            <w:tcW w:type="dxa" w:w="3221"/>
            <w:vAlign w:val="center"/>
          </w:tcPr>
          <w:p>
            <w:pPr>
              <w:spacing w:after="100" w:before="100"/>
            </w:pPr>
            <w:r>
              <w:rPr>
                <w:sz w:val="19"/>
              </w:rPr>
              <w:t>£650</w:t>
            </w:r>
          </w:p>
        </w:tc>
        <w:tc>
          <w:tcPr>
            <w:tcW w:type="dxa" w:w="3221"/>
            <w:vAlign w:val="center"/>
          </w:tcPr>
          <w:p>
            <w:pPr>
              <w:spacing w:after="100" w:before="100"/>
            </w:pPr>
            <w:r>
              <w:rPr>
                <w:sz w:val="19"/>
              </w:rPr>
              <w:t>75</w:t>
            </w:r>
          </w:p>
        </w:tc>
      </w:tr>
      <w:tr>
        <w:trPr>
          <w:cantSplit/>
        </w:trPr>
        <w:tc>
          <w:tcPr>
            <w:tcW w:type="dxa" w:w="3221"/>
            <w:vAlign w:val="center"/>
          </w:tcPr>
          <w:p>
            <w:pPr>
              <w:spacing w:after="100" w:before="100"/>
            </w:pPr>
            <w:r>
              <w:rPr>
                <w:sz w:val="19"/>
              </w:rPr>
              <w:t>Max</w:t>
            </w:r>
          </w:p>
        </w:tc>
        <w:tc>
          <w:tcPr>
            <w:tcW w:type="dxa" w:w="3221"/>
            <w:vAlign w:val="center"/>
          </w:tcPr>
          <w:p>
            <w:pPr>
              <w:spacing w:after="100" w:before="100"/>
            </w:pPr>
            <w:r>
              <w:rPr>
                <w:sz w:val="19"/>
              </w:rPr>
              <w:t>£800</w:t>
            </w:r>
          </w:p>
        </w:tc>
        <w:tc>
          <w:tcPr>
            <w:tcW w:type="dxa" w:w="3221"/>
            <w:vAlign w:val="center"/>
          </w:tcPr>
          <w:p>
            <w:pPr>
              <w:spacing w:after="100" w:before="100"/>
            </w:pPr>
            <w:r>
              <w:rPr>
                <w:sz w:val="19"/>
              </w:rPr>
              <w:t>150</w:t>
            </w:r>
          </w:p>
        </w:tc>
      </w:tr>
    </w:tbl>
    <w:p>
      <w:pPr>
        <w:spacing w:after="0"/>
      </w:pPr>
    </w:p>
    <w:p>
      <w:r>
        <w:t>The supplied definition of an action is a piece of content created or optimised, or a marketing or media intelligence search run. Confirm exactly which operations count, how repeated work is charged, when allowances reset, and what happens at the limit before agreeing the order. This draft does not introduce rollover, overage or unlimited-use terms.</w:t>
      </w:r>
    </w:p>
    <w:p>
      <w:pPr>
        <w:pStyle w:val="Heading3"/>
      </w:pPr>
      <w:r>
        <w:t>Reason and handling</w:t>
      </w:r>
    </w:p>
    <w:p>
      <w:r>
        <w:t>Keep exact source prices, allowances and action definition. Exclude fee bands, worked workloads, headroom and action arithmetic as internal commercial modelling, not confidential technical methodology. Confirm actual allowance enforcement and exclusions before selling.</w:t>
      </w:r>
    </w:p>
    <w:p>
      <w:pPr>
        <w:pStyle w:val="Heading2"/>
      </w:pPr>
      <w:r>
        <w:t>9.4  Why is it priced this way?</w:t>
      </w:r>
    </w:p>
    <w:p>
      <w:r>
        <w:t>Decision: simplify; factual confirmation required</w:t>
      </w:r>
    </w:p>
    <w:p>
      <w:pPr>
        <w:pStyle w:val="Heading3"/>
      </w:pPr>
      <w:r>
        <w:t>Original v1.4 wording</w:t>
      </w:r>
    </w:p>
    <w:p>
      <w:pPr>
        <w:pStyle w:val="Sourcequotation"/>
      </w:pPr>
      <w:r>
        <w:t>Why is it priced this way?</w:t>
      </w:r>
    </w:p>
    <w:p>
      <w:pPr>
        <w:pStyle w:val="Sourcequotation"/>
      </w:pPr>
      <w:r>
        <w:t>Two audiences, two reasons.</w:t>
      </w:r>
    </w:p>
    <w:p>
      <w:pPr>
        <w:pStyle w:val="Sourcequotation"/>
      </w:pPr>
      <w:r>
        <w:t>For in-house teams, the primary target is a business without PR agency support and without any GEO or AEO support. The price point is deliberately set to appeal to businesses that would not typically subscribe to a PR media database or PR SaaS, and that either have no budget for a PR team or agency or have not yet built one but can see the need. AIO Fusion covers both needs at an accessible price.</w:t>
      </w:r>
    </w:p>
    <w:p>
      <w:pPr>
        <w:pStyle w:val="Sourcequotation"/>
      </w:pPr>
      <w:r>
        <w:t>For agencies, investing in AI visibility is now compelling simply to stay competitive, as the role of PR in AI visibility becomes more widely recognised. The key commercial point is that the cost of the platform can be offset, because it lets an agency add a chargeable GEO service line. That is why the price point matters: in version one the platform is priced at or below most competitors, and most agencies will need between five and twenty additional projects, all of which are costs that can be offset against client fees.</w:t>
      </w:r>
    </w:p>
    <w:p>
      <w:pPr>
        <w:pStyle w:val="Heading3"/>
      </w:pPr>
      <w:r>
        <w:t>Replacement v1.5 wording</w:t>
      </w:r>
    </w:p>
    <w:p>
      <w:r>
        <w:t>The plans reflect two common ways of working: an in-house team managing a brand and an agency managing several client programmes. Additional project tiers let buyers choose an activity allowance appropriate to each programme.</w:t>
      </w:r>
    </w:p>
    <w:p>
      <w:r>
        <w:t>Agencies can incorporate the workflow into their services, but client fees, margins and return on investment depend on how they operate. The subscription does not guarantee a profitable service line.</w:t>
      </w:r>
    </w:p>
    <w:p>
      <w:pPr>
        <w:pStyle w:val="Heading3"/>
      </w:pPr>
      <w:r>
        <w:t>Reason and handling</w:t>
      </w:r>
    </w:p>
    <w:p>
      <w:r>
        <w:t>Remove internal targeting economics, expected 5–20 additional projects, competitor price assertions and guaranteed offset/profitability. Preserve the commercial rationale in customer terms.</w:t>
      </w:r>
    </w:p>
    <w:p>
      <w:pPr>
        <w:pStyle w:val="Heading2"/>
      </w:pPr>
      <w:r>
        <w:t>9.5  How ready does a team need to be to get value?</w:t>
      </w:r>
    </w:p>
    <w:p>
      <w:r>
        <w:t>Decision: retain; simplify</w:t>
      </w:r>
    </w:p>
    <w:p>
      <w:pPr>
        <w:pStyle w:val="Heading3"/>
      </w:pPr>
      <w:r>
        <w:t>Original v1.4 wording</w:t>
      </w:r>
    </w:p>
    <w:p>
      <w:pPr>
        <w:pStyle w:val="Sourcequotation"/>
      </w:pPr>
      <w:r>
        <w:t>How ready does an agency need to be to get value from this?</w:t>
      </w:r>
    </w:p>
    <w:p>
      <w:pPr>
        <w:pStyle w:val="Sourcequotation"/>
      </w:pPr>
      <w:r>
        <w:t>The platform has been designed with a typical account manager, or an in-house comms or marketing manager, in mind. It is designed to mirror the day job, with an intuitive structure that mixes GEO in seamlessly.</w:t>
      </w:r>
    </w:p>
    <w:p>
      <w:pPr>
        <w:pStyle w:val="Sourcequotation"/>
      </w:pPr>
      <w:r>
        <w:t>It offers agencies and in-house teams a single platform from which to manage existing programmes and to augment them with a strategic approach to GEO, and for agencies to resell that process.</w:t>
      </w:r>
    </w:p>
    <w:p>
      <w:pPr>
        <w:pStyle w:val="Sourcequotation"/>
      </w:pPr>
      <w:r>
        <w:t>Setup can be auto-populated from a website, and the website audit produces a developer-ready specification, so a team doesn’t need in-house technical SEO capability to act on the findings. Agencies already working on schema with their developers, as several are, will see results faster, but that work is not a prerequisite.</w:t>
      </w:r>
    </w:p>
    <w:p>
      <w:pPr>
        <w:pStyle w:val="Heading3"/>
      </w:pPr>
      <w:r>
        <w:t>Replacement v1.5 wording</w:t>
      </w:r>
    </w:p>
    <w:p>
      <w:r>
        <w:t>The workflow is designed for account managers and in-house communications or marketing teams. Website-assisted setup can reduce data entry, and audit recommendations can help structure the programme.</w:t>
      </w:r>
    </w:p>
    <w:p>
      <w:r>
        <w:t>Teams still need time to review project information, check drafts and evidence, and carry out the work. Website changes may need a developer or SEO specialist. Technical expertise is not required to start planning, but implementation and outcomes depend on the work undertaken.</w:t>
      </w:r>
    </w:p>
    <w:p>
      <w:pPr>
        <w:pStyle w:val="Heading3"/>
      </w:pPr>
      <w:r>
        <w:t>Reason and handling</w:t>
      </w:r>
    </w:p>
    <w:p>
      <w:r>
        <w:t>Keep familiar workflow and website-assisted setup. Remove 'will see results faster' and the implication no technical capability is needed to implement web changes.</w:t>
      </w:r>
    </w:p>
    <w:p>
      <w:pPr>
        <w:pStyle w:val="Heading2"/>
      </w:pPr>
      <w:r>
        <w:t>9.6  What support comes with onboarding?</w:t>
      </w:r>
    </w:p>
    <w:p>
      <w:r>
        <w:t>Decision: retain; simplify; factual confirmation required</w:t>
      </w:r>
    </w:p>
    <w:p>
      <w:pPr>
        <w:pStyle w:val="Heading3"/>
      </w:pPr>
      <w:r>
        <w:t>Original v1.4 wording</w:t>
      </w:r>
    </w:p>
    <w:p>
      <w:pPr>
        <w:pStyle w:val="Sourcequotation"/>
      </w:pPr>
      <w:r>
        <w:t>What support comes with onboarding?</w:t>
      </w:r>
    </w:p>
    <w:p>
      <w:pPr>
        <w:pStyle w:val="Sourcequotation"/>
      </w:pPr>
      <w:r>
        <w:t>Webinars and how-to guides from early October.</w:t>
      </w:r>
    </w:p>
    <w:p>
      <w:pPr>
        <w:pStyle w:val="Sourcequotation"/>
      </w:pPr>
      <w:r>
        <w:t>Each beta participant will have an onboarding call to walk them through the platform. There will also be a series of how-to articles made available to them through the platform. We will also look to create a series of video how-to guides in due course (possibly post-beta).</w:t>
      </w:r>
    </w:p>
    <w:p>
      <w:pPr>
        <w:pStyle w:val="Sourcequotation"/>
      </w:pPr>
      <w:r>
        <w:t>Within the platform itself is an ‘Ask GEOrge’ function which allows users to type questions into a message box which is then shared directly to the info@aiofusion.ai email address.</w:t>
      </w:r>
    </w:p>
    <w:p>
      <w:pPr>
        <w:pStyle w:val="Heading3"/>
      </w:pPr>
      <w:r>
        <w:t>Replacement v1.5 wording</w:t>
      </w:r>
    </w:p>
    <w:p>
      <w:r>
        <w:t>The supplied beta plan includes an onboarding call for each participant, webinars and how-to guides from early October 2026, and help articles within the platform. Availability and scheduling require confirmation.</w:t>
      </w:r>
    </w:p>
    <w:p>
      <w:r>
        <w:t>The source describes Ask GEOrge as a way to send a question from the platform to info@aiofusion.ai. It should not be assumed to provide an instant AI answer or a guaranteed response time. Any additional training or support commitment should be agreed separately.</w:t>
      </w:r>
    </w:p>
    <w:p>
      <w:pPr>
        <w:pStyle w:val="Heading3"/>
      </w:pPr>
      <w:r>
        <w:t>Reason and handling</w:t>
      </w:r>
    </w:p>
    <w:p>
      <w:r>
        <w:t>Retain supplied onboarding call, webinars, articles and Ask GEOrge email route, pending confirmation. Omit speculative video timing and avoid implying live AI chat or response SLA.</w:t>
      </w:r>
    </w:p>
    <w:p>
      <w:r>
        <w:br w:type="page"/>
      </w:r>
    </w:p>
    <w:p>
      <w:pPr>
        <w:pStyle w:val="Heading1"/>
      </w:pPr>
      <w:r>
        <w:t>Comparison: 10  Security, data and procurement</w:t>
      </w:r>
    </w:p>
    <w:p>
      <w:pPr>
        <w:pStyle w:val="Heading2"/>
      </w:pPr>
      <w:r>
        <w:t>10.1  Where is our client data held, and who can see it?</w:t>
      </w:r>
    </w:p>
    <w:p>
      <w:r>
        <w:t>Decision: retain; simplify; restrict to procurement; factual confirmation required</w:t>
      </w:r>
    </w:p>
    <w:p>
      <w:pPr>
        <w:pStyle w:val="Heading3"/>
      </w:pPr>
      <w:r>
        <w:t>Original v1.4 wording</w:t>
      </w:r>
    </w:p>
    <w:p>
      <w:pPr>
        <w:pStyle w:val="Sourcequotation"/>
      </w:pPr>
      <w:r>
        <w:t>Where is our client data held, and who can see it?</w:t>
      </w:r>
    </w:p>
    <w:p>
      <w:pPr>
        <w:pStyle w:val="Sourcequotation"/>
      </w:pPr>
      <w:r>
        <w:t>Project setup data, audit results, drafts and planner items are held in a PostgreSQL database managed by Replit, the cloud platform the product is built and deployed on. Access is enforced on the server, not in the browser: every request is checked against a valid session before any data is returned, and a strict hierarchy applies. An agency account sees only its own projects and those of its own client sub-accounts, and a client account sees only its own project. Each client sits in its own project with its parameters and data secured within it.</w:t>
      </w:r>
    </w:p>
    <w:p>
      <w:pPr>
        <w:pStyle w:val="Heading3"/>
      </w:pPr>
      <w:r>
        <w:t>Replacement v1.5 wording</w:t>
      </w:r>
    </w:p>
    <w:p>
      <w:r>
        <w:t>The source identifies Replit as the hosting and managed-database provider for project information, audit results, drafts and planning data. Access is described as enforced on the server through authenticated accounts and project permissions, with agency access to authorised client work.</w:t>
      </w:r>
    </w:p>
    <w:p>
      <w:r>
        <w:t>For procurement, request confirmation of hosting and backup locations, the permission model, staff and support access, and the measures protecting separation between customers. This draft does not establish a particular data-residency commitment or independent security certification.</w:t>
      </w:r>
    </w:p>
    <w:p>
      <w:pPr>
        <w:pStyle w:val="Heading3"/>
      </w:pPr>
      <w:r>
        <w:t>Reason and handling</w:t>
      </w:r>
    </w:p>
    <w:p>
      <w:r>
        <w:t>Keep named hosting provider, data types and server-enforced access principle. Defer exact storage stack and permission matrix for verified procurement disclosure, not secrecy. Source is not enough to confirm region, residency, privileged access or absolute isolation.</w:t>
      </w:r>
    </w:p>
    <w:p>
      <w:pPr>
        <w:pStyle w:val="Heading2"/>
      </w:pPr>
      <w:r>
        <w:t>10.2  How are accounts and passwords protected?</w:t>
      </w:r>
    </w:p>
    <w:p>
      <w:r>
        <w:t>Decision: simplify; restrict to procurement; factual confirmation required</w:t>
      </w:r>
    </w:p>
    <w:p>
      <w:pPr>
        <w:pStyle w:val="Heading3"/>
      </w:pPr>
      <w:r>
        <w:t>Original v1.4 wording</w:t>
      </w:r>
    </w:p>
    <w:p>
      <w:pPr>
        <w:pStyle w:val="Sourcequotation"/>
      </w:pPr>
      <w:r>
        <w:t>How are accounts and passwords protected?</w:t>
      </w:r>
    </w:p>
    <w:p>
      <w:pPr>
        <w:pStyle w:val="Sourcequotation"/>
      </w:pPr>
      <w:r>
        <w:t>Passwords are one-way hashed with scrypt and a random per-user salt, so they are never stored in readable form and can only be reset, never recovered. Session cookies are HttpOnly (not readable by JavaScript), Secure (HTTPS only) and SameSite=Lax, with a 30-day lifetime, and signing in revokes all of that user’s previous sessions. Only a partial IP address is stored against a session. API keys and database credentials are held as platform secrets and never appear in source code, and administrative actions are written to an audit log.</w:t>
      </w:r>
    </w:p>
    <w:p>
      <w:pPr>
        <w:pStyle w:val="Heading3"/>
      </w:pPr>
      <w:r>
        <w:t>Replacement v1.5 wording</w:t>
      </w:r>
    </w:p>
    <w:p>
      <w:r>
        <w:t>The source describes one-way password hashing, authenticated sessions, controlled storage of service credentials and logging of administrative actions. Password protection is designed so a password is reset rather than retrieved in readable form.</w:t>
      </w:r>
    </w:p>
    <w:p>
      <w:r>
        <w:t>A technical procurement response should confirm the controls in the deployed service, including session handling and administrative access. A general product description is not a substitute for that evidence.</w:t>
      </w:r>
    </w:p>
    <w:p>
      <w:pPr>
        <w:pStyle w:val="Heading3"/>
      </w:pPr>
      <w:r>
        <w:t>Reason and handling</w:t>
      </w:r>
    </w:p>
    <w:p>
      <w:r>
        <w:t>Keep one-way password protection, access controls, secrets management and audit logging at a high level. Exact hashing, cookie flags/lifetime, revocation and partial-IP assertions are procurement facts to verify, not blanket secret details. Avoid unsupported 'never in source' guarantees.</w:t>
      </w:r>
    </w:p>
    <w:p>
      <w:pPr>
        <w:pStyle w:val="Heading2"/>
      </w:pPr>
      <w:r>
        <w:t>10.3  Which third parties process data, and what about encryption and retention?</w:t>
      </w:r>
    </w:p>
    <w:p>
      <w:r>
        <w:t>Decision: retain; simplify; restrict to procurement; factual confirmation required</w:t>
      </w:r>
    </w:p>
    <w:p>
      <w:pPr>
        <w:pStyle w:val="Heading3"/>
      </w:pPr>
      <w:r>
        <w:t>Original v1.4 wording</w:t>
      </w:r>
    </w:p>
    <w:p>
      <w:pPr>
        <w:pStyle w:val="Sourcequotation"/>
      </w:pPr>
      <w:r>
        <w:t>Which third parties process our data?</w:t>
      </w:r>
    </w:p>
    <w:p>
      <w:pPr>
        <w:pStyle w:val="Sourcequotation"/>
      </w:pPr>
      <w:r>
        <w:t>Anthropic (Claude) and OpenAI (GPT-5) for the AI calls, reached through Replit’s AI integrations proxy; Replit for hosting, the database and secrets management, with backups held in Replit Object Storage, which sits on Google Cloud Storage; and Stripe for payments.</w:t>
      </w:r>
    </w:p>
    <w:p>
      <w:pPr>
        <w:pStyle w:val="Sourcequotation"/>
      </w:pPr>
      <w:r>
        <w:t>Client-ready wording for now</w:t>
      </w:r>
    </w:p>
    <w:p>
      <w:pPr>
        <w:pStyle w:val="Sourcequotation"/>
      </w:pPr>
      <w:r>
        <w:t>“Data is encrypted in transit. We are confirming the documented encryption-at-rest position for each managed storage service.”</w:t>
      </w:r>
    </w:p>
    <w:p>
      <w:pPr>
        <w:pStyle w:val="Sourcequotation"/>
      </w:pPr>
      <w:r>
        <w:t>“Clients can request return or deletion of their data. We are formalising the exact retention periods for live systems, backups, logs, and legally required records.”</w:t>
      </w:r>
    </w:p>
    <w:p>
      <w:pPr>
        <w:pStyle w:val="Heading3"/>
      </w:pPr>
      <w:r>
        <w:t>Replacement v1.5 wording</w:t>
      </w:r>
    </w:p>
    <w:p>
      <w:r>
        <w:t>The source identifies OpenAI and Anthropic for AI processing through Replit's AI integrations; Replit for hosting, database services and credential management; Replit Object Storage backed by Google Cloud Storage for backups; and Stripe for payments.</w:t>
      </w:r>
    </w:p>
    <w:p>
      <w:r>
        <w:t>Relevant inputs are sent to AI providers when AI features are used. Before purchase, confirm the current processor list, data categories, processing locations, transfer arrangements and provider retention or training terms for the contracted service. The list above is not a completed data-processing schedule.</w:t>
      </w:r>
    </w:p>
    <w:p>
      <w:r>
        <w:t>Data is described as encrypted in transit. The documented encryption-at-rest position for each managed storage service remains to be confirmed.</w:t>
      </w:r>
    </w:p>
    <w:p>
      <w:r>
        <w:t>Clients can request return or deletion of their data. Exact retention periods for live systems, backups, logs and legally required records remain to be documented. Requesting deletion should not be understood as an assurance of immediate erasure from every system.</w:t>
      </w:r>
    </w:p>
    <w:p>
      <w:pPr>
        <w:pStyle w:val="Heading3"/>
      </w:pPr>
      <w:r>
        <w:t>Reason and handling</w:t>
      </w:r>
    </w:p>
    <w:p>
      <w:r>
        <w:t>Preserve processor names, proxy route, underlying backup storage, encryption-in-transit statement and candid at-rest/retention gaps. Remove unverified GPT variant. Do not infer regions, no-training terms, completeness of processor list or encryption at rest from provider branding.</w:t>
      </w:r>
    </w:p>
    <w:p>
      <w:pPr>
        <w:pStyle w:val="Heading2"/>
      </w:pPr>
      <w:r>
        <w:t>10.4  How are privacy enquiries and subject access requests handled?</w:t>
      </w:r>
    </w:p>
    <w:p>
      <w:r>
        <w:t>Decision: retain; factual confirmation required</w:t>
      </w:r>
    </w:p>
    <w:p>
      <w:pPr>
        <w:pStyle w:val="Heading3"/>
      </w:pPr>
      <w:r>
        <w:t>Original v1.4 wording</w:t>
      </w:r>
    </w:p>
    <w:p>
      <w:pPr>
        <w:pStyle w:val="Sourcequotation"/>
      </w:pPr>
      <w:r>
        <w:t>Privacy notice and subject access requests</w:t>
      </w:r>
    </w:p>
    <w:p>
      <w:pPr>
        <w:pStyle w:val="Sourcequotation"/>
      </w:pPr>
      <w:r>
        <w:t>A general privacy notice already exists. It states that requests can be sent to info@aiofusion.ai and that AIO Fusion will respond within one calendar month.</w:t>
      </w:r>
    </w:p>
    <w:p>
      <w:pPr>
        <w:pStyle w:val="Heading3"/>
      </w:pPr>
      <w:r>
        <w:t>Replacement v1.5 wording</w:t>
      </w:r>
    </w:p>
    <w:p>
      <w:r>
        <w:t>The source privacy notice directs requests to info@aiofusion.ai and states a response period of one calendar month. Ask for the current notice and applicable data-processing terms, including the request-verification process and any lawful exceptions to the response timetable.</w:t>
      </w:r>
    </w:p>
    <w:p>
      <w:r>
        <w:t>Procurement enquiries should also cover controller and processor roles, contact-data rights, incident handling, retention and deletion. Any unconfirmed answer should be provided in writing once verified; an NDA is not a substitute for an accurate answer.</w:t>
      </w:r>
    </w:p>
    <w:p>
      <w:pPr>
        <w:pStyle w:val="Heading3"/>
      </w:pPr>
      <w:r>
        <w:t>Reason and handling</w:t>
      </w:r>
    </w:p>
    <w:p>
      <w:r>
        <w:t>Keep source contact route and one-calendar-month notice statement, attributing it to the notice rather than giving legal certification. Require checking current published notice, controller roles and operational handling.</w:t>
      </w:r>
    </w:p>
    <w:p>
      <w:r>
        <w:br w:type="page"/>
      </w:r>
    </w:p>
    <w:p>
      <w:pPr>
        <w:pStyle w:val="Heading1"/>
      </w:pPr>
      <w:r>
        <w:t>Editorial approval and release checklist</w:t>
      </w:r>
    </w:p>
    <w:p>
      <w:r>
        <w:t>[ ] Confirm the open facts above with the named functional owners. Keep evidence and its date with the approval record.</w:t>
      </w:r>
    </w:p>
    <w:p>
      <w:r>
        <w:t>[ ] Resolve or explicitly qualify commercial terms, beta dates and module availability. Do not silently update source prices or substitute a staging feature for a live capability.</w:t>
      </w:r>
    </w:p>
    <w:p>
      <w:r>
        <w:t>[ ] Approve the clean wording for the intended audience. Check that observations, AI assessments and planning estimates remain distinct throughout.</w:t>
      </w:r>
    </w:p>
    <w:p>
      <w:r>
        <w:t>[ ] Check the final Word rendering, tables, section sequence and version labels after any owner edits.</w:t>
      </w:r>
    </w:p>
    <w:p>
      <w:r>
        <w:t>[ ] Inspect the final clean file for comments, tracked changes, hidden text, embedded objects and unintended document properties. Regenerate cleanly rather than hiding deleted text.</w:t>
      </w:r>
    </w:p>
    <w:p>
      <w:r>
        <w:t>[ ] Release only the separately approved clean file. Keep this internal review, source documents and withheld material out of prospect attachments.</w:t>
      </w:r>
    </w:p>
    <w:p>
      <w:r>
        <w:t>[ ] For an NDA discussion, record the buyer's question, necessity, approved scope, approver and evidence version. Disclose only what is needed, not the whole internal review.</w:t>
      </w:r>
    </w:p>
    <w:tbl>
      <w:tblPr>
        <w:tblStyle w:val="TableGrid"/>
        <w:tblW w:type="auto" w:w="0"/>
        <w:jc w:val="center"/>
        <w:tblLayout w:type="fixed"/>
        <w:tblLook w:firstColumn="1" w:firstRow="1" w:lastColumn="0" w:lastRow="0" w:noHBand="0" w:noVBand="1" w:val="04A0"/>
      </w:tblPr>
      <w:tblGrid>
        <w:gridCol w:w="4831"/>
        <w:gridCol w:w="4831"/>
      </w:tblGrid>
      <w:tr>
        <w:trPr>
          <w:tblHeader/>
          <w:cantSplit/>
        </w:trPr>
        <w:tc>
          <w:tcPr>
            <w:tcW w:type="dxa" w:w="4831"/>
            <w:shd w:fill="18384B"/>
            <w:vAlign w:val="center"/>
          </w:tcPr>
          <w:p>
            <w:pPr>
              <w:spacing w:after="100" w:before="100"/>
            </w:pPr>
            <w:r>
              <w:rPr>
                <w:b/>
                <w:color w:val="FFFFFF"/>
                <w:sz w:val="19"/>
              </w:rPr>
              <w:t>Approval record</w:t>
            </w:r>
          </w:p>
        </w:tc>
        <w:tc>
          <w:tcPr>
            <w:tcW w:type="dxa" w:w="4831"/>
            <w:shd w:fill="18384B"/>
            <w:vAlign w:val="center"/>
          </w:tcPr>
          <w:p>
            <w:pPr>
              <w:spacing w:after="100" w:before="100"/>
            </w:pPr>
            <w:r>
              <w:rPr>
                <w:b/>
                <w:color w:val="FFFFFF"/>
                <w:sz w:val="19"/>
              </w:rPr>
              <w:t>To be completed by owners</w:t>
            </w:r>
          </w:p>
        </w:tc>
      </w:tr>
      <w:tr>
        <w:trPr>
          <w:cantSplit/>
        </w:trPr>
        <w:tc>
          <w:tcPr>
            <w:tcW w:type="dxa" w:w="4831"/>
            <w:vAlign w:val="center"/>
          </w:tcPr>
          <w:p>
            <w:pPr>
              <w:spacing w:after="100" w:before="100"/>
            </w:pPr>
            <w:r>
              <w:rPr>
                <w:sz w:val="19"/>
              </w:rPr>
              <w:t>Commercial and beta terms</w:t>
            </w:r>
          </w:p>
        </w:tc>
        <w:tc>
          <w:tcPr>
            <w:tcW w:type="dxa" w:w="4831"/>
            <w:vAlign w:val="center"/>
          </w:tcPr>
          <w:p>
            <w:pPr>
              <w:spacing w:after="100" w:before="100"/>
            </w:pPr>
            <w:r>
              <w:rPr>
                <w:sz w:val="19"/>
              </w:rPr>
              <w:t>Spencer Gallagher | 18 September 2026 | approved with explicit open terms</w:t>
            </w:r>
          </w:p>
        </w:tc>
      </w:tr>
      <w:tr>
        <w:trPr>
          <w:cantSplit/>
        </w:trPr>
        <w:tc>
          <w:tcPr>
            <w:tcW w:type="dxa" w:w="4831"/>
            <w:vAlign w:val="center"/>
          </w:tcPr>
          <w:p>
            <w:pPr>
              <w:spacing w:after="100" w:before="100"/>
            </w:pPr>
            <w:r>
              <w:rPr>
                <w:sz w:val="19"/>
              </w:rPr>
              <w:t>Product and measurement claims</w:t>
            </w:r>
          </w:p>
        </w:tc>
        <w:tc>
          <w:tcPr>
            <w:tcW w:type="dxa" w:w="4831"/>
            <w:vAlign w:val="center"/>
          </w:tcPr>
          <w:p>
            <w:pPr>
              <w:spacing w:after="100" w:before="100"/>
            </w:pPr>
            <w:r>
              <w:rPr>
                <w:sz w:val="19"/>
              </w:rPr>
              <w:t>Spencer Gallagher | 18 September 2026 | qualified wording approved</w:t>
            </w:r>
          </w:p>
        </w:tc>
      </w:tr>
      <w:tr>
        <w:trPr>
          <w:cantSplit/>
        </w:trPr>
        <w:tc>
          <w:tcPr>
            <w:tcW w:type="dxa" w:w="4831"/>
            <w:vAlign w:val="center"/>
          </w:tcPr>
          <w:p>
            <w:pPr>
              <w:spacing w:after="100" w:before="100"/>
            </w:pPr>
            <w:r>
              <w:rPr>
                <w:sz w:val="19"/>
              </w:rPr>
              <w:t>Security and privacy claims</w:t>
            </w:r>
          </w:p>
        </w:tc>
        <w:tc>
          <w:tcPr>
            <w:tcW w:type="dxa" w:w="4831"/>
            <w:vAlign w:val="center"/>
          </w:tcPr>
          <w:p>
            <w:pPr>
              <w:spacing w:after="100" w:before="100"/>
            </w:pPr>
            <w:r>
              <w:rPr>
                <w:sz w:val="19"/>
              </w:rPr>
              <w:t>Not approved | limitations retained</w:t>
            </w:r>
          </w:p>
        </w:tc>
      </w:tr>
      <w:tr>
        <w:trPr>
          <w:cantSplit/>
        </w:trPr>
        <w:tc>
          <w:tcPr>
            <w:tcW w:type="dxa" w:w="4831"/>
            <w:vAlign w:val="center"/>
          </w:tcPr>
          <w:p>
            <w:pPr>
              <w:spacing w:after="100" w:before="100"/>
            </w:pPr>
            <w:r>
              <w:rPr>
                <w:sz w:val="19"/>
              </w:rPr>
              <w:t>Final external release</w:t>
            </w:r>
          </w:p>
        </w:tc>
        <w:tc>
          <w:tcPr>
            <w:tcW w:type="dxa" w:w="4831"/>
            <w:vAlign w:val="center"/>
          </w:tcPr>
          <w:p>
            <w:pPr>
              <w:spacing w:after="100" w:before="100"/>
            </w:pPr>
            <w:r>
              <w:rPr>
                <w:sz w:val="19"/>
              </w:rPr>
              <w:t>Not authorised | do not publish or send</w:t>
            </w:r>
          </w:p>
        </w:tc>
      </w:tr>
    </w:tbl>
    <w:p>
      <w:pPr>
        <w:spacing w:after="0"/>
      </w:pPr>
    </w:p>
    <w:p>
      <w:pPr>
        <w:pStyle w:val="Heading2"/>
      </w:pPr>
      <w:r>
        <w:t>Source record</w:t>
      </w:r>
    </w:p>
    <w:p>
      <w:r>
        <w:t>Source A: AIO-Fusion-Master-QA-sales_conversations_1789740507981.docx, labelled v1.4, 17 September 2026.</w:t>
      </w:r>
    </w:p>
    <w:p>
      <w:r>
        <w:t>Source B: Pasted-Drafting-that-email-now-you-ll-be-able-to-paste-it-as-i_1789740530597.txt, accompanying editorial email draft.</w:t>
      </w:r>
    </w:p>
    <w:p>
      <w:r>
        <w:t>Scope excludes changes to the application, website, data, billing configuration and roadmap. This review does not provide legal certification, an IP-protection guarantee, an NDA or a complete procurement pack.</w:t>
      </w:r>
    </w:p>
    <w:sectPr w:rsidR="00FC693F" w:rsidRPr="0006063C" w:rsidSect="00034616">
      <w:headerReference w:type="default" r:id="rId1"/>
      <w:footerReference w:type="default" r:id="rId9"/>
      <w:pgSz w:w="11909" w:h="16834"/>
      <w:pgMar w:top="1037" w:right="1123" w:bottom="1037"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INTERNAL ONLY - separate from prospect copy</w:t>
    </w:r>
    <w:r>
      <w:rPr>
        <w:sz w:val="16"/>
      </w:rPr>
      <w:t xml:space="preserv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57B83"/>
        <w:sz w:val="16"/>
      </w:rPr>
      <w:t>AIO FUSION  |  INTERNAL REVIEW - DO NOT SEND TO PROSPECTS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8384B"/>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8384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57B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color w:val="1838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Calibri" w:hAnsi="Calibri"/>
      <w:i/>
      <w:iCs/>
      <w:color w:val="18384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quotation">
    <w:name w:val="Source quotation"/>
    <w:pPr>
      <w:widowControl/>
      <w:spacing w:after="80"/>
    </w:pPr>
    <w:rPr>
      <w:rFonts w:ascii="Calibri" w:hAnsi="Calibri"/>
      <w:color w:val="52616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 Fusion Master Q&amp;A v1.5 - Internal annotated review</dc:title>
  <dc:subject>Internal editorial review</dc:subject>
  <dc:creator>AIO Fusion</dc:creator>
  <cp:keywords/>
  <dc:description/>
  <cp:lastModifiedBy>AIO Fusion</cp:lastModifiedBy>
  <cp:revision>1</cp:revision>
  <dcterms:created xsi:type="dcterms:W3CDTF">2026-09-18T00:00:00Z</dcterms:created>
  <dcterms:modified xsi:type="dcterms:W3CDTF">2026-09-18T00:00:00Z</dcterms:modified>
  <cp:category>Internal</cp:category>
</cp:coreProperties>
</file>