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AIO Fusion</w:t>
        <w:br/>
        <w:t>Master Q&amp;A v1.5</w:t>
      </w:r>
    </w:p>
    <w:p>
      <w:pPr>
        <w:pStyle w:val="Subtitle"/>
      </w:pPr>
      <w:r>
        <w:t>Sales-ready copy | Draft for owner approval</w:t>
      </w:r>
    </w:p>
    <w:p>
      <w:r>
        <w:t>18 September 2026</w:t>
      </w:r>
    </w:p>
    <w:p>
      <w:r>
        <w:t>Status: not approved for release. This editorial draft is intended for sales conversations and prospect follow-up after owner approval. It is not a binding offer, a security certification or a guarantee of results.</w:t>
      </w:r>
    </w:p>
    <w:p>
      <w:r>
        <w:t>Commercial terms and dated beta arrangements are preserved from the supplied v1.4 and remain subject to confirmation. Where a factual answer is not yet established, the draft says so rather than filling the gap.</w:t>
      </w:r>
    </w:p>
    <w:p>
      <w:pPr>
        <w:pStyle w:val="Heading2"/>
      </w:pPr>
      <w:r>
        <w:t>How to read the answers</w:t>
      </w:r>
    </w:p>
    <w:p>
      <w:r>
        <w:t>An observation is something found in the sampled AI response or fetched website content. An AI assessment interprets evidence and context. A planning estimate uses assumptions to help organise future work. These are different forms of information and should not be treated as interchangeable.</w:t>
      </w:r>
    </w:p>
    <w:p>
      <w:pPr>
        <w:pStyle w:val="Heading2"/>
      </w:pPr>
      <w:r>
        <w:t>Contents</w:t>
      </w:r>
    </w:p>
    <w:p>
      <w:r>
        <w:t>1. Positioning and background</w:t>
      </w:r>
    </w:p>
    <w:p>
      <w:r>
        <w:t>2. The platform</w:t>
      </w:r>
    </w:p>
    <w:p>
      <w:r>
        <w:t>3. Measurement and methodology</w:t>
      </w:r>
    </w:p>
    <w:p>
      <w:r>
        <w:t>4. Turning findings into action</w:t>
      </w:r>
    </w:p>
    <w:p>
      <w:r>
        <w:t>5. Media database</w:t>
      </w:r>
    </w:p>
    <w:p>
      <w:r>
        <w:t>6. Market intelligence</w:t>
      </w:r>
    </w:p>
    <w:p>
      <w:r>
        <w:t>7. Reporting and attribution</w:t>
      </w:r>
    </w:p>
    <w:p>
      <w:r>
        <w:t>8. GEO, AEO and Google AI Overviews</w:t>
      </w:r>
    </w:p>
    <w:p>
      <w:r>
        <w:t>9. Commercials, beta and onboarding</w:t>
      </w:r>
    </w:p>
    <w:p>
      <w:r>
        <w:t>10. Security, data and procurement</w:t>
      </w:r>
    </w:p>
    <w:p>
      <w:r>
        <w:br w:type="page"/>
      </w:r>
    </w:p>
    <w:p>
      <w:pPr>
        <w:pStyle w:val="Heading1"/>
      </w:pPr>
      <w:r>
        <w:t>1  Positioning and background</w:t>
      </w:r>
    </w:p>
    <w:p>
      <w:pPr>
        <w:pStyle w:val="Heading2"/>
      </w:pPr>
      <w:r>
        <w:t>1.1  How should we describe AIO Fusion?</w:t>
      </w:r>
    </w:p>
    <w:p>
      <w:r>
        <w:t>AIO Fusion is a generative engine optimisation (GEO) platform for PR, communications and marketing teams. It brings together AI visibility audits, content creation and optimisation, media research, communications planning and reporting in one project-based workflow.</w:t>
      </w:r>
    </w:p>
    <w:p>
      <w:r>
        <w:t>It helps teams understand how a brand appears in sampled AI answers, prioritise communications work and monitor subsequent changes. It does not control AI providers' answers or guarantee an improvement in visibility.</w:t>
      </w:r>
    </w:p>
    <w:p>
      <w:r>
        <w:t>AI authority for PR and marketing. | www.aiofusion.ai</w:t>
      </w:r>
    </w:p>
    <w:p>
      <w:pPr>
        <w:pStyle w:val="Heading2"/>
      </w:pPr>
      <w:r>
        <w:t>1.2  What is AIO Fusion?</w:t>
      </w:r>
    </w:p>
    <w:p>
      <w:r>
        <w:t>AIO Fusion helps teams examine how supported AI models describe a brand, identify missing or inaccurate information, and plan responses through earned media, owned content and website improvements. Audits, drafting, research and planning sit within the same workflow. Findings guide human decisions rather than replacing them.</w:t>
      </w:r>
    </w:p>
    <w:p>
      <w:pPr>
        <w:pStyle w:val="Heading2"/>
      </w:pPr>
      <w:r>
        <w:t>1.3  Who built it, and why?</w:t>
      </w:r>
    </w:p>
    <w:p>
      <w:r>
        <w:t>AIO Fusion was created by communications professionals with PR, journalism, research and digital-agency experience. Patrick Barrett is CEO and Co-Founder; Natalie Linder is Co-Founder and Chief Product &amp; Experience Officer; Spencer Gallagher leads platform development.</w:t>
      </w:r>
    </w:p>
    <w:p>
      <w:r>
        <w:t>The aim is to connect AI visibility work with the activities communications teams already manage: brand messaging, evidence, editorial content, media relations and reporting.</w:t>
      </w:r>
    </w:p>
    <w:p>
      <w:pPr>
        <w:pStyle w:val="Heading2"/>
      </w:pPr>
      <w:r>
        <w:t>1.4  How is it different from AI visibility trackers?</w:t>
      </w:r>
    </w:p>
    <w:p>
      <w:r>
        <w:t>AIO Fusion combines visibility diagnostics with tools for acting on the findings: content creation and optimisation, media research and communications planning. Teams can move from an audit to a prioritised programme of work without treating measurement as a separate activity.</w:t>
      </w:r>
    </w:p>
    <w:p>
      <w:r>
        <w:t>A consistent audit setup helps make comparisons more interpretable, but model answers can still vary. We do not claim that the process eliminates variation or that every competing tool lacks these capabilities.</w:t>
      </w:r>
    </w:p>
    <w:p>
      <w:pPr>
        <w:pStyle w:val="Heading2"/>
      </w:pPr>
      <w:r>
        <w:t>1.5  Who is it for?</w:t>
      </w:r>
    </w:p>
    <w:p>
      <w:r>
        <w:t>It is designed for PR and communications agencies managing client brands, and in-house communications or marketing teams. A project can represent a client, business, business unit or brand. Agency users can organise work across multiple clients.</w:t>
      </w:r>
    </w:p>
    <w:p>
      <w:pPr>
        <w:pStyle w:val="Heading2"/>
      </w:pPr>
      <w:r>
        <w:t>1.6  What does it cost?</w:t>
      </w:r>
    </w:p>
    <w:p>
      <w:r>
        <w:t>The indicative beta pricing is £4,000 a year for In-House, including one Premium project, and £5,000 a year for Agency, including three Premium projects. Quarterly billing has a higher annual total: £4,600 for In-House and £5,750 for Agency. All prices exclude VAT.</w:t>
      </w:r>
    </w:p>
    <w:p>
      <w:r>
        <w:t>Additional projects are £500, £650 or £800 per project per year, depending on the monthly action allowance. Section 9 sets out the supplied terms in full. Prices, inclusions and beta terms remain subject to owner confirmation and the agreed order.</w:t>
      </w:r>
    </w:p>
    <w:p>
      <w:r>
        <w:br w:type="page"/>
      </w:r>
    </w:p>
    <w:p>
      <w:pPr>
        <w:pStyle w:val="Heading1"/>
      </w:pPr>
      <w:r>
        <w:t>2  The platform</w:t>
      </w:r>
    </w:p>
    <w:p>
      <w:pPr>
        <w:pStyle w:val="Heading2"/>
      </w:pPr>
      <w:r>
        <w:t>2.1  How is the platform structured?</w:t>
      </w:r>
    </w:p>
    <w:p>
      <w:r>
        <w:t>The platform is organised around projects, each representing a client or brand. The dashboard brings together setup progress, earned media and website visibility audits, and the content pipeline. Agency users can move between authorised client projects from one account. Access is intended to follow account and project permissions; section 10 explains the procurement position.</w:t>
      </w:r>
    </w:p>
    <w:p>
      <w:pPr>
        <w:pStyle w:val="Heading2"/>
      </w:pPr>
      <w:r>
        <w:t>2.2  Can we white-label it?</w:t>
      </w:r>
    </w:p>
    <w:p>
      <w:r>
        <w:t>White-labelling is not available in the beta trial. Agency branding and branded report exports are proposed post-beta capabilities, not current deliverables. The source proposal includes them in the Agency package, but scope, timing and inclusion need confirmation in writing before purchase. No scoring-customisation entitlement is included in this draft.</w:t>
      </w:r>
    </w:p>
    <w:p>
      <w:pPr>
        <w:pStyle w:val="Heading2"/>
      </w:pPr>
      <w:r>
        <w:t>2.3  What does Project Set-Up involve?</w:t>
      </w:r>
    </w:p>
    <w:p>
      <w:r>
        <w:t>Project Set-Up captures the business profile, key messages, supporting evidence, associations to avoid, frequently asked questions and business categories. Information can be pre-filled from the client's website and edited by the team.</w:t>
      </w:r>
    </w:p>
    <w:p>
      <w:r>
        <w:t>The agency or communications team and the client should review the information before using it. Supplied messaging is an input for the workflow, not independent proof that a claim is true.</w:t>
      </w:r>
    </w:p>
    <w:p>
      <w:pPr>
        <w:pStyle w:val="Heading2"/>
      </w:pPr>
      <w:r>
        <w:t>2.4  How does it handle competitors?</w:t>
      </w:r>
    </w:p>
    <w:p>
      <w:r>
        <w:t>The platform can compare the client's stated competitors with companies named in sampled model answers. Differences can reveal how the models frame the category or where the brand's positioning is unclear.</w:t>
      </w:r>
    </w:p>
    <w:p>
      <w:r>
        <w:t>The model-named set is not a verified market map. An absent competitor may reflect the question, the provider or normal variation, rather than its level of investment in GEO.</w:t>
      </w:r>
    </w:p>
    <w:p>
      <w:pPr>
        <w:pStyle w:val="Heading2"/>
      </w:pPr>
      <w:r>
        <w:t>2.5  Does supplying our own messaging bias the findings?</w:t>
      </w:r>
    </w:p>
    <w:p>
      <w:r>
        <w:t>Project information helps define relevant questions and provides context for assessing responses. The audit separates collecting model answers from assessing them against the brand's information. Where category questions are used, they serve a different purpose from questions that directly ask about the company.</w:t>
      </w:r>
    </w:p>
    <w:p>
      <w:r>
        <w:t>This separation does not by itself prove an unbiased test. Findings need to be read with the question wording and context in mind, and supplied messaging should not be treated as independent evidence. We can clarify the scope of a particular audit before it is used for a comparison.</w:t>
      </w:r>
    </w:p>
    <w:p>
      <w:r>
        <w:br w:type="page"/>
      </w:r>
    </w:p>
    <w:p>
      <w:pPr>
        <w:pStyle w:val="Heading1"/>
      </w:pPr>
      <w:r>
        <w:t>3  Measurement and methodology</w:t>
      </w:r>
    </w:p>
    <w:p>
      <w:pPr>
        <w:pStyle w:val="Heading2"/>
      </w:pPr>
      <w:r>
        <w:t>3.1  What is the Authority Index and how is it calculated?</w:t>
      </w:r>
    </w:p>
    <w:p>
      <w:r>
        <w:t>The Authority Index is a 0–100 summary assessment of a brand's visibility and representation within the audit's scope. The beta uses ChatGPT and Claude as its named benchmark services.</w:t>
      </w:r>
    </w:p>
    <w:p>
      <w:r>
        <w:t>The process first collects model responses. Observations such as whether a company is mentioned are derived from those responses. A separate AI assessment interprets the evidence and relevant Project Set-Up information. The final index is therefore not a purely objective count, nor a direct measure of everything an AI provider knows about a brand.</w:t>
      </w:r>
    </w:p>
    <w:p>
      <w:r>
        <w:t>Earned media and consistent owned content can provide useful evidence about a business. We do not assign a universal percentage of AI influence to either. The website visibility audit is a separate assessment and should not be confused with the Authority Index.</w:t>
      </w:r>
    </w:p>
    <w:p>
      <w:pPr>
        <w:pStyle w:val="Heading2"/>
      </w:pPr>
      <w:r>
        <w:t>3.2  What aspects of authority does it assess?</w:t>
      </w:r>
    </w:p>
    <w:p>
      <w:r>
        <w:t>The assessment considers eight aspects of how the brand is represented. Some draw on observed responses; others require interpretation of supplied information. They are not eight independently validated measurements.</w:t>
      </w:r>
    </w:p>
    <w:tbl>
      <w:tblPr>
        <w:tblStyle w:val="TableGrid"/>
        <w:tblW w:type="auto" w:w="0"/>
        <w:jc w:val="center"/>
        <w:tblLayout w:type="fixed"/>
        <w:tblLook w:firstColumn="1" w:firstRow="1" w:lastColumn="0" w:lastRow="0" w:noHBand="0" w:noVBand="1" w:val="04A0"/>
      </w:tblPr>
      <w:tblGrid>
        <w:gridCol w:w="4831"/>
        <w:gridCol w:w="4831"/>
      </w:tblGrid>
      <w:tr>
        <w:trPr>
          <w:tblHeader/>
          <w:cantSplit/>
        </w:trPr>
        <w:tc>
          <w:tcPr>
            <w:tcW w:type="dxa" w:w="4831"/>
            <w:shd w:fill="18384B"/>
            <w:vAlign w:val="center"/>
          </w:tcPr>
          <w:p>
            <w:pPr>
              <w:spacing w:after="100" w:before="100"/>
            </w:pPr>
            <w:r>
              <w:rPr>
                <w:b/>
                <w:color w:val="FFFFFF"/>
                <w:sz w:val="19"/>
              </w:rPr>
              <w:t>Aspect</w:t>
            </w:r>
          </w:p>
        </w:tc>
        <w:tc>
          <w:tcPr>
            <w:tcW w:type="dxa" w:w="4831"/>
            <w:shd w:fill="18384B"/>
            <w:vAlign w:val="center"/>
          </w:tcPr>
          <w:p>
            <w:pPr>
              <w:spacing w:after="100" w:before="100"/>
            </w:pPr>
            <w:r>
              <w:rPr>
                <w:b/>
                <w:color w:val="FFFFFF"/>
                <w:sz w:val="19"/>
              </w:rPr>
              <w:t>What it considers</w:t>
            </w:r>
          </w:p>
        </w:tc>
      </w:tr>
      <w:tr>
        <w:trPr>
          <w:cantSplit/>
        </w:trPr>
        <w:tc>
          <w:tcPr>
            <w:tcW w:type="dxa" w:w="4831"/>
            <w:vAlign w:val="center"/>
          </w:tcPr>
          <w:p>
            <w:pPr>
              <w:spacing w:after="100" w:before="100"/>
            </w:pPr>
            <w:r>
              <w:rPr>
                <w:sz w:val="19"/>
              </w:rPr>
              <w:t>Presence</w:t>
            </w:r>
          </w:p>
        </w:tc>
        <w:tc>
          <w:tcPr>
            <w:tcW w:type="dxa" w:w="4831"/>
            <w:vAlign w:val="center"/>
          </w:tcPr>
          <w:p>
            <w:pPr>
              <w:spacing w:after="100" w:before="100"/>
            </w:pPr>
            <w:r>
              <w:rPr>
                <w:sz w:val="19"/>
              </w:rPr>
              <w:t>Whether the brand appears in the sampled answers.</w:t>
            </w:r>
          </w:p>
        </w:tc>
      </w:tr>
      <w:tr>
        <w:trPr>
          <w:cantSplit/>
        </w:trPr>
        <w:tc>
          <w:tcPr>
            <w:tcW w:type="dxa" w:w="4831"/>
            <w:vAlign w:val="center"/>
          </w:tcPr>
          <w:p>
            <w:pPr>
              <w:spacing w:after="100" w:before="100"/>
            </w:pPr>
            <w:r>
              <w:rPr>
                <w:sz w:val="19"/>
              </w:rPr>
              <w:t>Prominence</w:t>
            </w:r>
          </w:p>
        </w:tc>
        <w:tc>
          <w:tcPr>
            <w:tcW w:type="dxa" w:w="4831"/>
            <w:vAlign w:val="center"/>
          </w:tcPr>
          <w:p>
            <w:pPr>
              <w:spacing w:after="100" w:before="100"/>
            </w:pPr>
            <w:r>
              <w:rPr>
                <w:sz w:val="19"/>
              </w:rPr>
              <w:t>Whether it is a leading recommendation or a passing mention.</w:t>
            </w:r>
          </w:p>
        </w:tc>
      </w:tr>
      <w:tr>
        <w:trPr>
          <w:cantSplit/>
        </w:trPr>
        <w:tc>
          <w:tcPr>
            <w:tcW w:type="dxa" w:w="4831"/>
            <w:vAlign w:val="center"/>
          </w:tcPr>
          <w:p>
            <w:pPr>
              <w:spacing w:after="100" w:before="100"/>
            </w:pPr>
            <w:r>
              <w:rPr>
                <w:sz w:val="19"/>
              </w:rPr>
              <w:t>Share of voice</w:t>
            </w:r>
          </w:p>
        </w:tc>
        <w:tc>
          <w:tcPr>
            <w:tcW w:type="dxa" w:w="4831"/>
            <w:vAlign w:val="center"/>
          </w:tcPr>
          <w:p>
            <w:pPr>
              <w:spacing w:after="100" w:before="100"/>
            </w:pPr>
            <w:r>
              <w:rPr>
                <w:sz w:val="19"/>
              </w:rPr>
              <w:t>Its appearances relative to competitors named in the sample, not total market share.</w:t>
            </w:r>
          </w:p>
        </w:tc>
      </w:tr>
      <w:tr>
        <w:trPr>
          <w:cantSplit/>
        </w:trPr>
        <w:tc>
          <w:tcPr>
            <w:tcW w:type="dxa" w:w="4831"/>
            <w:vAlign w:val="center"/>
          </w:tcPr>
          <w:p>
            <w:pPr>
              <w:spacing w:after="100" w:before="100"/>
            </w:pPr>
            <w:r>
              <w:rPr>
                <w:sz w:val="19"/>
              </w:rPr>
              <w:t>Message fidelity</w:t>
            </w:r>
          </w:p>
        </w:tc>
        <w:tc>
          <w:tcPr>
            <w:tcW w:type="dxa" w:w="4831"/>
            <w:vAlign w:val="center"/>
          </w:tcPr>
          <w:p>
            <w:pPr>
              <w:spacing w:after="100" w:before="100"/>
            </w:pPr>
            <w:r>
              <w:rPr>
                <w:sz w:val="19"/>
              </w:rPr>
              <w:t>How descriptions align with the supplied positioning.</w:t>
            </w:r>
          </w:p>
        </w:tc>
      </w:tr>
      <w:tr>
        <w:trPr>
          <w:cantSplit/>
        </w:trPr>
        <w:tc>
          <w:tcPr>
            <w:tcW w:type="dxa" w:w="4831"/>
            <w:vAlign w:val="center"/>
          </w:tcPr>
          <w:p>
            <w:pPr>
              <w:spacing w:after="100" w:before="100"/>
            </w:pPr>
            <w:r>
              <w:rPr>
                <w:sz w:val="19"/>
              </w:rPr>
              <w:t>Factual accuracy</w:t>
            </w:r>
          </w:p>
        </w:tc>
        <w:tc>
          <w:tcPr>
            <w:tcW w:type="dxa" w:w="4831"/>
            <w:vAlign w:val="center"/>
          </w:tcPr>
          <w:p>
            <w:pPr>
              <w:spacing w:after="100" w:before="100"/>
            </w:pPr>
            <w:r>
              <w:rPr>
                <w:sz w:val="19"/>
              </w:rPr>
              <w:t>How descriptions compare with supplied company facts, which still need checking.</w:t>
            </w:r>
          </w:p>
        </w:tc>
      </w:tr>
      <w:tr>
        <w:trPr>
          <w:cantSplit/>
        </w:trPr>
        <w:tc>
          <w:tcPr>
            <w:tcW w:type="dxa" w:w="4831"/>
            <w:vAlign w:val="center"/>
          </w:tcPr>
          <w:p>
            <w:pPr>
              <w:spacing w:after="100" w:before="100"/>
            </w:pPr>
            <w:r>
              <w:rPr>
                <w:sz w:val="19"/>
              </w:rPr>
              <w:t>Source quality</w:t>
            </w:r>
          </w:p>
        </w:tc>
        <w:tc>
          <w:tcPr>
            <w:tcW w:type="dxa" w:w="4831"/>
            <w:vAlign w:val="center"/>
          </w:tcPr>
          <w:p>
            <w:pPr>
              <w:spacing w:after="100" w:before="100"/>
            </w:pPr>
            <w:r>
              <w:rPr>
                <w:sz w:val="19"/>
              </w:rPr>
              <w:t>The relevance and strength of supporting evidence.</w:t>
            </w:r>
          </w:p>
        </w:tc>
      </w:tr>
      <w:tr>
        <w:trPr>
          <w:cantSplit/>
        </w:trPr>
        <w:tc>
          <w:tcPr>
            <w:tcW w:type="dxa" w:w="4831"/>
            <w:vAlign w:val="center"/>
          </w:tcPr>
          <w:p>
            <w:pPr>
              <w:spacing w:after="100" w:before="100"/>
            </w:pPr>
            <w:r>
              <w:rPr>
                <w:sz w:val="19"/>
              </w:rPr>
              <w:t>Entity clarity</w:t>
            </w:r>
          </w:p>
        </w:tc>
        <w:tc>
          <w:tcPr>
            <w:tcW w:type="dxa" w:w="4831"/>
            <w:vAlign w:val="center"/>
          </w:tcPr>
          <w:p>
            <w:pPr>
              <w:spacing w:after="100" w:before="100"/>
            </w:pPr>
            <w:r>
              <w:rPr>
                <w:sz w:val="19"/>
              </w:rPr>
              <w:t>Whether the answers refer to the intended company.</w:t>
            </w:r>
          </w:p>
        </w:tc>
      </w:tr>
      <w:tr>
        <w:trPr>
          <w:cantSplit/>
        </w:trPr>
        <w:tc>
          <w:tcPr>
            <w:tcW w:type="dxa" w:w="4831"/>
            <w:vAlign w:val="center"/>
          </w:tcPr>
          <w:p>
            <w:pPr>
              <w:spacing w:after="100" w:before="100"/>
            </w:pPr>
            <w:r>
              <w:rPr>
                <w:sz w:val="19"/>
              </w:rPr>
              <w:t>Spokesperson authority</w:t>
            </w:r>
          </w:p>
        </w:tc>
        <w:tc>
          <w:tcPr>
            <w:tcW w:type="dxa" w:w="4831"/>
            <w:vAlign w:val="center"/>
          </w:tcPr>
          <w:p>
            <w:pPr>
              <w:spacing w:after="100" w:before="100"/>
            </w:pPr>
            <w:r>
              <w:rPr>
                <w:sz w:val="19"/>
              </w:rPr>
              <w:t>The expertise and evidence supplied for named spokespeople.</w:t>
            </w:r>
          </w:p>
        </w:tc>
      </w:tr>
    </w:tbl>
    <w:p>
      <w:pPr>
        <w:spacing w:after="0"/>
      </w:pPr>
    </w:p>
    <w:p>
      <w:pPr>
        <w:pStyle w:val="Heading2"/>
      </w:pPr>
      <w:r>
        <w:t>3.3  How are the dimensions weighted?</w:t>
      </w:r>
    </w:p>
    <w:p>
      <w:r>
        <w:t>The overall index is an evidence-informed assessment, not a simple average of eight equally weighted scores. The framework distinguishes commercially relevant category or buyer questions from direct company questions. Detailed scoring information should be confirmed for the methodology used in the audit before a buyer relies on it.</w:t>
      </w:r>
    </w:p>
    <w:p>
      <w:pPr>
        <w:pStyle w:val="Heading2"/>
      </w:pPr>
      <w:r>
        <w:t>3.4  How many probes are used?</w:t>
      </w:r>
    </w:p>
    <w:p>
      <w:r>
        <w:t>An audit uses a defined set of relevant questions and repeated responses across the supported services. The results are brought together to summarise the sample, including mentions and competitors. Repeated sampling is intended to reduce reliance on a single response, but it does not establish a margin of error or guarantee repeatability.</w:t>
      </w:r>
    </w:p>
    <w:p>
      <w:r>
        <w:t>For a comparison, confirm that the question set, providers, model versions, sampling approach and methodology are comparable.</w:t>
      </w:r>
    </w:p>
    <w:p>
      <w:pPr>
        <w:pStyle w:val="Heading2"/>
      </w:pPr>
      <w:r>
        <w:t>3.5  Is the Authority Index a 0–100 scale?</w:t>
      </w:r>
    </w:p>
    <w:p>
      <w:r>
        <w:t>Yes. Its strongest use is establishing a baseline for a company and following that company over time with comparable questions, inputs and methodology.</w:t>
      </w:r>
    </w:p>
    <w:p>
      <w:r>
        <w:t>It is not a universal league table across unrelated brands or sectors. Different questions, markets, competitors, company maturity and setup information affect the result. Changes in provider behaviour can affect even a like-for-like comparison. A score change alone does not prove that communications activity caused it.</w:t>
      </w:r>
    </w:p>
    <w:p>
      <w:pPr>
        <w:pStyle w:val="Heading2"/>
      </w:pPr>
      <w:r>
        <w:t>3.6  How should we interpret variation between audit runs?</w:t>
      </w:r>
    </w:p>
    <w:p>
      <w:r>
        <w:t>AI responses can change between runs and as providers update their services. Consistent inputs and a defined audit process support interpretation, but identical scores are not guaranteed.</w:t>
      </w:r>
    </w:p>
    <w:p>
      <w:r>
        <w:t>The audit samples responses obtained through the providers' APIs. It should not be presented as an exact reproduction of what every user sees in a consumer chat application, where search, personalisation and other settings may differ. Treat small score movements cautiously and examine the underlying answers.</w:t>
      </w:r>
    </w:p>
    <w:p>
      <w:pPr>
        <w:pStyle w:val="Heading2"/>
      </w:pPr>
      <w:r>
        <w:t>3.7  How are the questions determined?</w:t>
      </w:r>
    </w:p>
    <w:p>
      <w:r>
        <w:t>Questions are generated from Project Set-Up information such as the business profile, categories, messages and FAQs. The current approach does not use external search-volume or People Also Ask data.</w:t>
      </w:r>
    </w:p>
    <w:p>
      <w:r>
        <w:t>These are candidate questions for exploring the category, not evidence of what customers actually ask or how often. Teams should review their relevance and keep the agreed question set consistent when tracking change, or clearly note revisions.</w:t>
      </w:r>
    </w:p>
    <w:p>
      <w:pPr>
        <w:pStyle w:val="Heading2"/>
      </w:pPr>
      <w:r>
        <w:t>3.8  Which models do you audit against?</w:t>
      </w:r>
    </w:p>
    <w:p>
      <w:r>
        <w:t>The beta benchmark coverage described here is ChatGPT and Claude, accessed through their providers' APIs. The actual model versions and configuration used for a particular audit should be confirmed when interpreting or comparing results. Naming the same services does not guarantee their behaviour stays unchanged.</w:t>
      </w:r>
    </w:p>
    <w:p>
      <w:pPr>
        <w:pStyle w:val="Heading2"/>
      </w:pPr>
      <w:r>
        <w:t>3.9  What about other AI services?</w:t>
      </w:r>
    </w:p>
    <w:p>
      <w:r>
        <w:t>This draft makes no commitment to additional providers or delivery dates. The measurement coverage described here is limited to ChatGPT and Claude; it does not include Google AI Overviews or Google AI Mode. Any future expansion should be discussed separately and confirmed in writing rather than assumed to be part of the current package.</w:t>
      </w:r>
    </w:p>
    <w:p>
      <w:pPr>
        <w:pStyle w:val="Heading2"/>
      </w:pPr>
      <w:r>
        <w:t>3.10  What does the earned media visibility audit show?</w:t>
      </w:r>
    </w:p>
    <w:p>
      <w:r>
        <w:t>It shows whether the brand appears in the sampled answers, which competitors are named, how the company is described and where those descriptions may conflict with supplied facts or refer to a different entity. Saved audits can support comparisons over time, subject to the comparability limits above.</w:t>
      </w:r>
    </w:p>
    <w:p>
      <w:pPr>
        <w:pStyle w:val="Heading2"/>
      </w:pPr>
      <w:r>
        <w:t>3.11  What does the website visibility audit cover?</w:t>
      </w:r>
    </w:p>
    <w:p>
      <w:r>
        <w:t>The website audit examines the fetched page for machine-readability signals such as structured data, headings, metadata, page structure and FAQ content. Checks of crawler directives should be interpreted within the pages and resources actually examined.</w:t>
      </w:r>
    </w:p>
    <w:p>
      <w:r>
        <w:t>Observed page findings inform an AI-generated assessment and prioritised recommendations. The assessment is not itself a measured fact, and the audit should not be assumed to cover every page or certify site performance.</w:t>
      </w:r>
    </w:p>
    <w:p>
      <w:r>
        <w:t>A downloadable developer brief helps the team discuss changes with a web developer or SEO specialist. Recommendations still require technical review and testing before implementation.</w:t>
      </w:r>
    </w:p>
    <w:p>
      <w:r>
        <w:br w:type="page"/>
      </w:r>
    </w:p>
    <w:p>
      <w:pPr>
        <w:pStyle w:val="Heading1"/>
      </w:pPr>
      <w:r>
        <w:t>4  Turning findings into action</w:t>
      </w:r>
    </w:p>
    <w:p>
      <w:pPr>
        <w:pStyle w:val="Heading2"/>
      </w:pPr>
      <w:r>
        <w:t>4.1  What does Content Creator do?</w:t>
      </w:r>
    </w:p>
    <w:p>
      <w:r>
        <w:t>Content Creator turns interview notes, transcripts or research into draft articles, case studies or pitches using the project's approved messaging. It supports editorial work rather than publishing automatically.</w:t>
      </w:r>
    </w:p>
    <w:p>
      <w:r>
        <w:t>Writers and approvers remain responsible for accuracy, evidence, permissions and tone. Suggested changes and explanations can inform editing, but are not proof that a particular phrase will improve AI visibility. Only upload material you are authorised to use.</w:t>
      </w:r>
    </w:p>
    <w:p>
      <w:pPr>
        <w:pStyle w:val="Heading2"/>
      </w:pPr>
      <w:r>
        <w:t>4.2  What does Content Optimiser do?</w:t>
      </w:r>
    </w:p>
    <w:p>
      <w:r>
        <w:t>Content Optimiser suggests refinements to existing copy or drafts created in the platform, using the project context to improve clarity, message alignment and machine readability. It may suggest supporting research. Editors should verify sources and claims and approve the final copy; an optimisation suggestion is not a guaranteed visibility gain.</w:t>
      </w:r>
    </w:p>
    <w:p>
      <w:pPr>
        <w:pStyle w:val="Heading2"/>
      </w:pPr>
      <w:r>
        <w:t>4.3  What is the Content Library?</w:t>
      </w:r>
    </w:p>
    <w:p>
      <w:r>
        <w:t>The Content Library keeps saved work in a searchable, project-specific collection for reuse and planning. Content can be used in the communications workflow, and press releases can be exported to Word. Save work before leaving an editing session.</w:t>
      </w:r>
    </w:p>
    <w:p>
      <w:pPr>
        <w:pStyle w:val="Heading2"/>
      </w:pPr>
      <w:r>
        <w:t>4.4  What does the Communications Planner do?</w:t>
      </w:r>
    </w:p>
    <w:p>
      <w:r>
        <w:t>The Communications Planner organises planned activity such as press releases, event content and awards entries in a calendar. It supports coordination of earned media and other relevant third-party opportunities alongside content work. Project context helps keep the programme aligned to the brand's priorities.</w:t>
      </w:r>
    </w:p>
    <w:p>
      <w:pPr>
        <w:pStyle w:val="Heading2"/>
      </w:pPr>
      <w:r>
        <w:t>4.5  What sits behind the Planner's projected score?</w:t>
      </w:r>
    </w:p>
    <w:p>
      <w:r>
        <w:t>The Communications Planner score is a planning estimate based on activity type, selected channels, workflow progress and configured assumptions about visibility and authority. It is not a forecast of the exact movement in the Authority Index.</w:t>
      </w:r>
    </w:p>
    <w:p>
      <w:r>
        <w:t>Unlike the audit, it does not establish what an AI model actually said about the company. It does not by itself verify publication, the authority of an outlet, or an activity's effect on visibility. Use it to discuss and organise the programme, not as proof of a future result.</w:t>
      </w:r>
    </w:p>
    <w:p>
      <w:pPr>
        <w:pStyle w:val="Heading2"/>
      </w:pPr>
      <w:r>
        <w:t>4.6  How long does content stay influential once it is published?</w:t>
      </w:r>
    </w:p>
    <w:p>
      <w:r>
        <w:t>There is no reliable universal lifespan we can assign to a piece of content's influence on AI answers. Providers' training and retrieval behaviour differ and are not fully visible.</w:t>
      </w:r>
    </w:p>
    <w:p>
      <w:r>
        <w:t>Repeated audits can show changes in the sampled answers over time. They do not provide an article-level decay curve or establish how much a particular publication contributed to a trend.</w:t>
      </w:r>
    </w:p>
    <w:p>
      <w:r>
        <w:br w:type="page"/>
      </w:r>
    </w:p>
    <w:p>
      <w:pPr>
        <w:pStyle w:val="Heading1"/>
      </w:pPr>
      <w:r>
        <w:t>5  Media database</w:t>
      </w:r>
    </w:p>
    <w:p>
      <w:pPr>
        <w:pStyle w:val="Heading2"/>
      </w:pPr>
      <w:r>
        <w:t>5.1  What is in the media database?</w:t>
      </w:r>
    </w:p>
    <w:p>
      <w:r>
        <w:t>The media database supports research across UK and US trade, business and consumer national media. Teams can look for journalists relevant to an article, explore contacts at an outlet and build a project-specific selection.</w:t>
      </w:r>
    </w:p>
    <w:p>
      <w:r>
        <w:t>Coverage and contact details should be checked for the intended sector and market before purchase and before outreach. Any relevance or authority indicators are aids to selection, not evidence that a placement will cause a particular change in AI answers.</w:t>
      </w:r>
    </w:p>
    <w:p>
      <w:pPr>
        <w:pStyle w:val="Heading2"/>
      </w:pPr>
      <w:r>
        <w:t>5.2  Where does the data come from, and how current is it?</w:t>
      </w:r>
    </w:p>
    <w:p>
      <w:r>
        <w:t>The source describes an in-house researched database rather than a licensed third-party directory. Contacts and roles can change, so records should be checked before use. This draft does not promise a fixed refresh interval or that every record is current.</w:t>
      </w:r>
    </w:p>
    <w:p>
      <w:r>
        <w:t>Buyers can request confirmation of data provenance, coverage and the available evidence of record currency as part of due diligence.</w:t>
      </w:r>
    </w:p>
    <w:p>
      <w:pPr>
        <w:pStyle w:val="Heading2"/>
      </w:pPr>
      <w:r>
        <w:t>5.3  What is the privacy position for media contacts?</w:t>
      </w:r>
    </w:p>
    <w:p>
      <w:r>
        <w:t>A blanket GDPR-compliance assurance is not made in this draft. Buyers should review the privacy notice and the confirmed position on contact-data sourcing, lawful use, retention and rights requests before relying on the database.</w:t>
      </w:r>
    </w:p>
    <w:p>
      <w:r>
        <w:t>Using a contact database does not remove the user's responsibility to ensure outreach is lawful and appropriate. Section 10 gives the privacy enquiry route.</w:t>
      </w:r>
    </w:p>
    <w:p>
      <w:pPr>
        <w:pStyle w:val="Heading2"/>
      </w:pPr>
      <w:r>
        <w:t>5.4  Can we distribute a press release directly from the platform?</w:t>
      </w:r>
    </w:p>
    <w:p>
      <w:r>
        <w:t>The beta does not include a direct release-distribution gateway. Content can be exported for distribution through your usual approved channels. A gateway has been proposed, but no delivery date or future channel coverage is committed in this draft.</w:t>
      </w:r>
    </w:p>
    <w:p>
      <w:r>
        <w:br w:type="page"/>
      </w:r>
    </w:p>
    <w:p>
      <w:pPr>
        <w:pStyle w:val="Heading1"/>
      </w:pPr>
      <w:r>
        <w:t>6  Market intelligence</w:t>
      </w:r>
    </w:p>
    <w:p>
      <w:pPr>
        <w:pStyle w:val="Heading2"/>
      </w:pPr>
      <w:r>
        <w:t>6.1  What does Market Intelligence provide?</w:t>
      </w:r>
    </w:p>
    <w:p>
      <w:r>
        <w:t>Market Intelligence helps teams research UK and US conferences, speaking opportunities, awards and networking events for forward planning. The source describes a six-to-twelve-month planning horizon; actual listings and coverage should be confirmed.</w:t>
      </w:r>
    </w:p>
    <w:p>
      <w:r>
        <w:t>Check dates, eligibility, deadlines and availability with the organiser before committing. An opportunity can support a communications programme, but inclusion or an AI-generated summary does not establish its authority or guarantee a visibility benefit.</w:t>
      </w:r>
    </w:p>
    <w:p>
      <w:r>
        <w:br w:type="page"/>
      </w:r>
    </w:p>
    <w:p>
      <w:pPr>
        <w:pStyle w:val="Heading1"/>
      </w:pPr>
      <w:r>
        <w:t>7  Reporting and attribution</w:t>
      </w:r>
    </w:p>
    <w:p>
      <w:pPr>
        <w:pStyle w:val="Heading2"/>
      </w:pPr>
      <w:r>
        <w:t>7.1  What does the reporting suite give us?</w:t>
      </w:r>
    </w:p>
    <w:p>
      <w:r>
        <w:t>Reporting brings together saved audit findings so teams can review earned media and website visibility over time. It supports discussion of what changed in the sampled answers and which issues still need attention.</w:t>
      </w:r>
    </w:p>
    <w:p>
      <w:r>
        <w:t>Before purchase, review a current report to confirm the available breakdowns, exports and history for your use case. A report should distinguish observed responses, AI assessments and planning estimates rather than imply that a score identifies what caused the change.</w:t>
      </w:r>
    </w:p>
    <w:p>
      <w:pPr>
        <w:pStyle w:val="Heading2"/>
      </w:pPr>
      <w:r>
        <w:t>7.2  Can it tell us which article or activity drove a change?</w:t>
      </w:r>
    </w:p>
    <w:p>
      <w:r>
        <w:t>Not as a causal conclusion. AIO Fusion can help you compare audit findings and review activity undertaken in the same period. That may suggest areas to investigate, but it does not prove which article, spokesperson, format or message caused an improvement.</w:t>
      </w:r>
    </w:p>
    <w:p>
      <w:r>
        <w:t>Providers do not expose a complete explanation of why each answer changes. Several activities and external changes can coincide. The Planner's estimate is not evidence of an achieved outcome, and this draft makes no single-article or per-model causal-attribution promise.</w:t>
      </w:r>
    </w:p>
    <w:p>
      <w:pPr>
        <w:pStyle w:val="Heading2"/>
      </w:pPr>
      <w:r>
        <w:t>7.3  Does reporting show ChatGPT and Claude separately?</w:t>
      </w:r>
    </w:p>
    <w:p>
      <w:r>
        <w:t>The reporting described for the beta keeps ChatGPT and Claude responses separate and shows a mention rate for each, with separate descriptions where sufficient evidence is available. The Authority Index is a combined overall assessment.</w:t>
      </w:r>
    </w:p>
    <w:p>
      <w:r>
        <w:t>Confirm the required model-level views in a current report. A combined score should not be mistaken for identical performance across both services.</w:t>
      </w:r>
    </w:p>
    <w:p>
      <w:pPr>
        <w:pStyle w:val="Heading2"/>
      </w:pPr>
      <w:r>
        <w:t>7.4  Does the platform capture sources and citations?</w:t>
      </w:r>
    </w:p>
    <w:p>
      <w:r>
        <w:t>The audit records links when an AI response provides them, with context about the question and responding service. Models do not always disclose the sources that influenced an answer, so the record is incomplete.</w:t>
      </w:r>
    </w:p>
    <w:p>
      <w:r>
        <w:t>A link in an answer is not automatically a verified citation or proof that the linked page caused the answer. Check important links and confirm which citation details appear in the report you will receive.</w:t>
      </w:r>
    </w:p>
    <w:p>
      <w:pPr>
        <w:pStyle w:val="Heading2"/>
      </w:pPr>
      <w:r>
        <w:t>7.5  How often should audits be run?</w:t>
      </w:r>
    </w:p>
    <w:p>
      <w:r>
        <w:t>A monthly review is a practical starting point for a communications programme. Keep questions and setup comparable, record material changes and examine the evidence behind any movement. Monthly timing does not remove model variation or guarantee that changes will be detectable.</w:t>
      </w:r>
    </w:p>
    <w:p>
      <w:r>
        <w:br w:type="page"/>
      </w:r>
    </w:p>
    <w:p>
      <w:pPr>
        <w:pStyle w:val="Heading1"/>
      </w:pPr>
      <w:r>
        <w:t>8  GEO, AEO and Google AI Overviews</w:t>
      </w:r>
    </w:p>
    <w:p>
      <w:pPr>
        <w:pStyle w:val="Heading2"/>
      </w:pPr>
      <w:r>
        <w:t>8.1  What is the difference between GEO and AEO?</w:t>
      </w:r>
    </w:p>
    <w:p>
      <w:r>
        <w:t>GEO usually describes work intended to improve how a brand or its content is represented in generative AI responses. AEO, or answer engine optimisation, usually refers to making information easier for answer-focused services to find and use. The terms overlap and are not used consistently across the industry.</w:t>
      </w:r>
    </w:p>
    <w:p>
      <w:r>
        <w:t>Clear, well-supported content and accessible website structure can be relevant to both. AIO Fusion's measured coverage in this draft remains ChatGPT and Claude, not every answer engine.</w:t>
      </w:r>
    </w:p>
    <w:p>
      <w:pPr>
        <w:pStyle w:val="Heading2"/>
      </w:pPr>
      <w:r>
        <w:t>8.2  Can we see how a brand appears in Google AI Overviews?</w:t>
      </w:r>
    </w:p>
    <w:p>
      <w:r>
        <w:t>Not through the current audits described here. AIO Fusion does not currently probe or report on Google AI Overviews. Website recommendations may help improve the clarity and structure of content, but they do not measure or guarantee inclusion in Google AI Overviews.</w:t>
      </w:r>
    </w:p>
    <w:p>
      <w:pPr>
        <w:pStyle w:val="Heading2"/>
      </w:pPr>
      <w:r>
        <w:t>8.3  What about social media?</w:t>
      </w:r>
    </w:p>
    <w:p>
      <w:r>
        <w:t>Social content can form part of a wider communications programme. Its visibility to AI services depends on the provider, content accessibility and other conditions, so this draft makes no fixed claim about how social platforms are weighted.</w:t>
      </w:r>
    </w:p>
    <w:p>
      <w:r>
        <w:t>AIO Fusion's audit coverage should not be read as a direct measurement of LinkedIn or other social channels. No social-distribution integration is committed here.</w:t>
      </w:r>
    </w:p>
    <w:p>
      <w:r>
        <w:br w:type="page"/>
      </w:r>
    </w:p>
    <w:p>
      <w:pPr>
        <w:pStyle w:val="Heading1"/>
      </w:pPr>
      <w:r>
        <w:t>9  Commercials, beta and onboarding</w:t>
      </w:r>
    </w:p>
    <w:p>
      <w:pPr>
        <w:pStyle w:val="Heading2"/>
      </w:pPr>
      <w:r>
        <w:t>9.1  What is the beta programme?</w:t>
      </w:r>
    </w:p>
    <w:p>
      <w:r>
        <w:t>The proposed beta offer is a two-month free trial in exchange for structured feedback, followed by a 30% reduction on the first year. The supplied schedule opens on 5 October 2026 and runs to December 2026, with webinars and how-to guides from early October.</w:t>
      </w:r>
    </w:p>
    <w:p>
      <w:r>
        <w:t>These dates, eligibility and discount terms require owner confirmation. The source expresses an expectation that participants continue afterwards; any renewal, payment, cancellation or conversion obligation must be set out in the agreed trial terms rather than inferred from that expectation.</w:t>
      </w:r>
    </w:p>
    <w:p>
      <w:pPr>
        <w:pStyle w:val="Heading2"/>
      </w:pPr>
      <w:r>
        <w:t>9.2  What does it cost?</w:t>
      </w:r>
    </w:p>
    <w:p>
      <w:r>
        <w:t>The following are the supplied indicative beta terms, subject to owner confirmation and the agreed order. All prices exclude VAT. Subscriptions are annual; payments are handled through Stripe. Monthly figures are rounded equivalents from the source, not a monthly subscription option.</w:t>
      </w:r>
    </w:p>
    <w:tbl>
      <w:tblPr>
        <w:tblStyle w:val="TableGrid"/>
        <w:tblW w:type="auto" w:w="0"/>
        <w:jc w:val="center"/>
        <w:tblLayout w:type="fixed"/>
        <w:tblLook w:firstColumn="1" w:firstRow="1" w:lastColumn="0" w:lastRow="0" w:noHBand="0" w:noVBand="1" w:val="04A0"/>
      </w:tblPr>
      <w:tblGrid>
        <w:gridCol w:w="2416"/>
        <w:gridCol w:w="2416"/>
        <w:gridCol w:w="2416"/>
        <w:gridCol w:w="2416"/>
      </w:tblGrid>
      <w:tr>
        <w:trPr>
          <w:tblHeader/>
          <w:cantSplit/>
        </w:trPr>
        <w:tc>
          <w:tcPr>
            <w:tcW w:type="dxa" w:w="2416"/>
            <w:shd w:fill="18384B"/>
            <w:vAlign w:val="center"/>
          </w:tcPr>
          <w:p>
            <w:pPr>
              <w:spacing w:after="100" w:before="100"/>
            </w:pPr>
            <w:r>
              <w:rPr>
                <w:b/>
                <w:color w:val="FFFFFF"/>
                <w:sz w:val="19"/>
              </w:rPr>
              <w:t>Plan</w:t>
            </w:r>
          </w:p>
        </w:tc>
        <w:tc>
          <w:tcPr>
            <w:tcW w:type="dxa" w:w="2416"/>
            <w:shd w:fill="18384B"/>
            <w:vAlign w:val="center"/>
          </w:tcPr>
          <w:p>
            <w:pPr>
              <w:spacing w:after="100" w:before="100"/>
            </w:pPr>
            <w:r>
              <w:rPr>
                <w:b/>
                <w:color w:val="FFFFFF"/>
                <w:sz w:val="19"/>
              </w:rPr>
              <w:t>Annual billing</w:t>
            </w:r>
          </w:p>
        </w:tc>
        <w:tc>
          <w:tcPr>
            <w:tcW w:type="dxa" w:w="2416"/>
            <w:shd w:fill="18384B"/>
            <w:vAlign w:val="center"/>
          </w:tcPr>
          <w:p>
            <w:pPr>
              <w:spacing w:after="100" w:before="100"/>
            </w:pPr>
            <w:r>
              <w:rPr>
                <w:b/>
                <w:color w:val="FFFFFF"/>
                <w:sz w:val="19"/>
              </w:rPr>
              <w:t>Quarterly billing: annual total</w:t>
            </w:r>
          </w:p>
        </w:tc>
        <w:tc>
          <w:tcPr>
            <w:tcW w:type="dxa" w:w="2416"/>
            <w:shd w:fill="18384B"/>
            <w:vAlign w:val="center"/>
          </w:tcPr>
          <w:p>
            <w:pPr>
              <w:spacing w:after="100" w:before="100"/>
            </w:pPr>
            <w:r>
              <w:rPr>
                <w:b/>
                <w:color w:val="FFFFFF"/>
                <w:sz w:val="19"/>
              </w:rPr>
              <w:t>Included projects</w:t>
            </w:r>
          </w:p>
        </w:tc>
      </w:tr>
      <w:tr>
        <w:trPr>
          <w:cantSplit/>
        </w:trPr>
        <w:tc>
          <w:tcPr>
            <w:tcW w:type="dxa" w:w="2416"/>
            <w:vAlign w:val="center"/>
          </w:tcPr>
          <w:p>
            <w:pPr>
              <w:spacing w:after="100" w:before="100"/>
            </w:pPr>
            <w:r>
              <w:rPr>
                <w:sz w:val="19"/>
              </w:rPr>
              <w:t>In-House</w:t>
            </w:r>
          </w:p>
        </w:tc>
        <w:tc>
          <w:tcPr>
            <w:tcW w:type="dxa" w:w="2416"/>
            <w:vAlign w:val="center"/>
          </w:tcPr>
          <w:p>
            <w:pPr>
              <w:spacing w:after="100" w:before="100"/>
            </w:pPr>
            <w:r>
              <w:rPr>
                <w:sz w:val="19"/>
              </w:rPr>
              <w:t>£4,000/year</w:t>
              <w:br/>
              <w:t>£333/month equivalent</w:t>
            </w:r>
          </w:p>
        </w:tc>
        <w:tc>
          <w:tcPr>
            <w:tcW w:type="dxa" w:w="2416"/>
            <w:vAlign w:val="center"/>
          </w:tcPr>
          <w:p>
            <w:pPr>
              <w:spacing w:after="100" w:before="100"/>
            </w:pPr>
            <w:r>
              <w:rPr>
                <w:sz w:val="19"/>
              </w:rPr>
              <w:t>£4,600/year</w:t>
              <w:br/>
              <w:t>£383/month equivalent</w:t>
            </w:r>
          </w:p>
        </w:tc>
        <w:tc>
          <w:tcPr>
            <w:tcW w:type="dxa" w:w="2416"/>
            <w:vAlign w:val="center"/>
          </w:tcPr>
          <w:p>
            <w:pPr>
              <w:spacing w:after="100" w:before="100"/>
            </w:pPr>
            <w:r>
              <w:rPr>
                <w:sz w:val="19"/>
              </w:rPr>
              <w:t>1 Premium</w:t>
            </w:r>
          </w:p>
        </w:tc>
      </w:tr>
      <w:tr>
        <w:trPr>
          <w:cantSplit/>
        </w:trPr>
        <w:tc>
          <w:tcPr>
            <w:tcW w:type="dxa" w:w="2416"/>
            <w:vAlign w:val="center"/>
          </w:tcPr>
          <w:p>
            <w:pPr>
              <w:spacing w:after="100" w:before="100"/>
            </w:pPr>
            <w:r>
              <w:rPr>
                <w:sz w:val="19"/>
              </w:rPr>
              <w:t>Agency</w:t>
            </w:r>
          </w:p>
        </w:tc>
        <w:tc>
          <w:tcPr>
            <w:tcW w:type="dxa" w:w="2416"/>
            <w:vAlign w:val="center"/>
          </w:tcPr>
          <w:p>
            <w:pPr>
              <w:spacing w:after="100" w:before="100"/>
            </w:pPr>
            <w:r>
              <w:rPr>
                <w:sz w:val="19"/>
              </w:rPr>
              <w:t>£5,000/year</w:t>
              <w:br/>
              <w:t>£417/month equivalent</w:t>
            </w:r>
          </w:p>
        </w:tc>
        <w:tc>
          <w:tcPr>
            <w:tcW w:type="dxa" w:w="2416"/>
            <w:vAlign w:val="center"/>
          </w:tcPr>
          <w:p>
            <w:pPr>
              <w:spacing w:after="100" w:before="100"/>
            </w:pPr>
            <w:r>
              <w:rPr>
                <w:sz w:val="19"/>
              </w:rPr>
              <w:t>£5,750/year</w:t>
              <w:br/>
              <w:t>£479/month equivalent</w:t>
            </w:r>
          </w:p>
        </w:tc>
        <w:tc>
          <w:tcPr>
            <w:tcW w:type="dxa" w:w="2416"/>
            <w:vAlign w:val="center"/>
          </w:tcPr>
          <w:p>
            <w:pPr>
              <w:spacing w:after="100" w:before="100"/>
            </w:pPr>
            <w:r>
              <w:rPr>
                <w:sz w:val="19"/>
              </w:rPr>
              <w:t>3 Premium</w:t>
            </w:r>
          </w:p>
        </w:tc>
      </w:tr>
    </w:tbl>
    <w:p>
      <w:pPr>
        <w:spacing w:after="0"/>
      </w:pPr>
    </w:p>
    <w:p>
      <w:r>
        <w:t>Both plans are described as including the full standard platform: AI visibility audit and GEO strategy builder; Communications Planner; Content Optimiser and editor; Content Creator; Media Research; Market Intelligence; Website Content GEO; Website Technical GEO; Measure and Report; and Content Library.</w:t>
      </w:r>
    </w:p>
    <w:p>
      <w:r>
        <w:t>In-House includes email support. Agency adds multi-client working, an agency dashboard, client sub-accounts and reporting, and priority email and chat support. Confirm the current scope of each module, support arrangements and any additional charges in the order. Proposed features are not included as current capabilities merely because the plan includes the standard platform.</w:t>
      </w:r>
    </w:p>
    <w:p>
      <w:pPr>
        <w:pStyle w:val="Heading2"/>
      </w:pPr>
      <w:r>
        <w:t>9.3  How do additional project tiers work?</w:t>
      </w:r>
    </w:p>
    <w:p>
      <w:r>
        <w:t>Additional projects are priced per project per year with a monthly action allowance. These are the supplied commercial terms, not independently verified live entitlements.</w:t>
      </w:r>
    </w:p>
    <w:tbl>
      <w:tblPr>
        <w:tblStyle w:val="TableGrid"/>
        <w:tblW w:type="auto" w:w="0"/>
        <w:jc w:val="center"/>
        <w:tblLayout w:type="fixed"/>
        <w:tblLook w:firstColumn="1" w:firstRow="1" w:lastColumn="0" w:lastRow="0" w:noHBand="0" w:noVBand="1" w:val="04A0"/>
      </w:tblPr>
      <w:tblGrid>
        <w:gridCol w:w="3221"/>
        <w:gridCol w:w="3221"/>
        <w:gridCol w:w="3221"/>
      </w:tblGrid>
      <w:tr>
        <w:trPr>
          <w:tblHeader/>
          <w:cantSplit/>
        </w:trPr>
        <w:tc>
          <w:tcPr>
            <w:tcW w:type="dxa" w:w="3221"/>
            <w:shd w:fill="18384B"/>
            <w:vAlign w:val="center"/>
          </w:tcPr>
          <w:p>
            <w:pPr>
              <w:spacing w:after="100" w:before="100"/>
            </w:pPr>
            <w:r>
              <w:rPr>
                <w:b/>
                <w:color w:val="FFFFFF"/>
                <w:sz w:val="19"/>
              </w:rPr>
              <w:t>Tier</w:t>
            </w:r>
          </w:p>
        </w:tc>
        <w:tc>
          <w:tcPr>
            <w:tcW w:type="dxa" w:w="3221"/>
            <w:shd w:fill="18384B"/>
            <w:vAlign w:val="center"/>
          </w:tcPr>
          <w:p>
            <w:pPr>
              <w:spacing w:after="100" w:before="100"/>
            </w:pPr>
            <w:r>
              <w:rPr>
                <w:b/>
                <w:color w:val="FFFFFF"/>
                <w:sz w:val="19"/>
              </w:rPr>
              <w:t>Annual price, excluding VAT</w:t>
            </w:r>
          </w:p>
        </w:tc>
        <w:tc>
          <w:tcPr>
            <w:tcW w:type="dxa" w:w="3221"/>
            <w:shd w:fill="18384B"/>
            <w:vAlign w:val="center"/>
          </w:tcPr>
          <w:p>
            <w:pPr>
              <w:spacing w:after="100" w:before="100"/>
            </w:pPr>
            <w:r>
              <w:rPr>
                <w:b/>
                <w:color w:val="FFFFFF"/>
                <w:sz w:val="19"/>
              </w:rPr>
              <w:t>Actions per month</w:t>
            </w:r>
          </w:p>
        </w:tc>
      </w:tr>
      <w:tr>
        <w:trPr>
          <w:cantSplit/>
        </w:trPr>
        <w:tc>
          <w:tcPr>
            <w:tcW w:type="dxa" w:w="3221"/>
            <w:vAlign w:val="center"/>
          </w:tcPr>
          <w:p>
            <w:pPr>
              <w:spacing w:after="100" w:before="100"/>
            </w:pPr>
            <w:r>
              <w:rPr>
                <w:sz w:val="19"/>
              </w:rPr>
              <w:t>Standard</w:t>
            </w:r>
          </w:p>
        </w:tc>
        <w:tc>
          <w:tcPr>
            <w:tcW w:type="dxa" w:w="3221"/>
            <w:vAlign w:val="center"/>
          </w:tcPr>
          <w:p>
            <w:pPr>
              <w:spacing w:after="100" w:before="100"/>
            </w:pPr>
            <w:r>
              <w:rPr>
                <w:sz w:val="19"/>
              </w:rPr>
              <w:t>£500</w:t>
            </w:r>
          </w:p>
        </w:tc>
        <w:tc>
          <w:tcPr>
            <w:tcW w:type="dxa" w:w="3221"/>
            <w:vAlign w:val="center"/>
          </w:tcPr>
          <w:p>
            <w:pPr>
              <w:spacing w:after="100" w:before="100"/>
            </w:pPr>
            <w:r>
              <w:rPr>
                <w:sz w:val="19"/>
              </w:rPr>
              <w:t>50</w:t>
            </w:r>
          </w:p>
        </w:tc>
      </w:tr>
      <w:tr>
        <w:trPr>
          <w:cantSplit/>
        </w:trPr>
        <w:tc>
          <w:tcPr>
            <w:tcW w:type="dxa" w:w="3221"/>
            <w:vAlign w:val="center"/>
          </w:tcPr>
          <w:p>
            <w:pPr>
              <w:spacing w:after="100" w:before="100"/>
            </w:pPr>
            <w:r>
              <w:rPr>
                <w:sz w:val="19"/>
              </w:rPr>
              <w:t>Premium</w:t>
            </w:r>
          </w:p>
        </w:tc>
        <w:tc>
          <w:tcPr>
            <w:tcW w:type="dxa" w:w="3221"/>
            <w:vAlign w:val="center"/>
          </w:tcPr>
          <w:p>
            <w:pPr>
              <w:spacing w:after="100" w:before="100"/>
            </w:pPr>
            <w:r>
              <w:rPr>
                <w:sz w:val="19"/>
              </w:rPr>
              <w:t>£650</w:t>
            </w:r>
          </w:p>
        </w:tc>
        <w:tc>
          <w:tcPr>
            <w:tcW w:type="dxa" w:w="3221"/>
            <w:vAlign w:val="center"/>
          </w:tcPr>
          <w:p>
            <w:pPr>
              <w:spacing w:after="100" w:before="100"/>
            </w:pPr>
            <w:r>
              <w:rPr>
                <w:sz w:val="19"/>
              </w:rPr>
              <w:t>75</w:t>
            </w:r>
          </w:p>
        </w:tc>
      </w:tr>
      <w:tr>
        <w:trPr>
          <w:cantSplit/>
        </w:trPr>
        <w:tc>
          <w:tcPr>
            <w:tcW w:type="dxa" w:w="3221"/>
            <w:vAlign w:val="center"/>
          </w:tcPr>
          <w:p>
            <w:pPr>
              <w:spacing w:after="100" w:before="100"/>
            </w:pPr>
            <w:r>
              <w:rPr>
                <w:sz w:val="19"/>
              </w:rPr>
              <w:t>Max</w:t>
            </w:r>
          </w:p>
        </w:tc>
        <w:tc>
          <w:tcPr>
            <w:tcW w:type="dxa" w:w="3221"/>
            <w:vAlign w:val="center"/>
          </w:tcPr>
          <w:p>
            <w:pPr>
              <w:spacing w:after="100" w:before="100"/>
            </w:pPr>
            <w:r>
              <w:rPr>
                <w:sz w:val="19"/>
              </w:rPr>
              <w:t>£800</w:t>
            </w:r>
          </w:p>
        </w:tc>
        <w:tc>
          <w:tcPr>
            <w:tcW w:type="dxa" w:w="3221"/>
            <w:vAlign w:val="center"/>
          </w:tcPr>
          <w:p>
            <w:pPr>
              <w:spacing w:after="100" w:before="100"/>
            </w:pPr>
            <w:r>
              <w:rPr>
                <w:sz w:val="19"/>
              </w:rPr>
              <w:t>150</w:t>
            </w:r>
          </w:p>
        </w:tc>
      </w:tr>
    </w:tbl>
    <w:p>
      <w:pPr>
        <w:spacing w:after="0"/>
      </w:pPr>
    </w:p>
    <w:p>
      <w:r>
        <w:t>The supplied definition of an action is a piece of content created or optimised, or a marketing or media intelligence search run. Confirm exactly which operations count, how repeated work is charged, when allowances reset, and what happens at the limit before agreeing the order. This draft does not introduce rollover, overage or unlimited-use terms.</w:t>
      </w:r>
    </w:p>
    <w:p>
      <w:pPr>
        <w:pStyle w:val="Heading2"/>
      </w:pPr>
      <w:r>
        <w:t>9.4  Why is it priced this way?</w:t>
      </w:r>
    </w:p>
    <w:p>
      <w:r>
        <w:t>The plans reflect two common ways of working: an in-house team managing a brand and an agency managing several client programmes. Additional project tiers let buyers choose an activity allowance appropriate to each programme.</w:t>
      </w:r>
    </w:p>
    <w:p>
      <w:r>
        <w:t>Agencies can incorporate the workflow into their services, but client fees, margins and return on investment depend on how they operate. The subscription does not guarantee a profitable service line.</w:t>
      </w:r>
    </w:p>
    <w:p>
      <w:pPr>
        <w:pStyle w:val="Heading2"/>
      </w:pPr>
      <w:r>
        <w:t>9.5  How ready does a team need to be to get value?</w:t>
      </w:r>
    </w:p>
    <w:p>
      <w:r>
        <w:t>The workflow is designed for account managers and in-house communications or marketing teams. Website-assisted setup can reduce data entry, and audit recommendations can help structure the programme.</w:t>
      </w:r>
    </w:p>
    <w:p>
      <w:r>
        <w:t>Teams still need time to review project information, check drafts and evidence, and carry out the work. Website changes may need a developer or SEO specialist. Technical expertise is not required to start planning, but implementation and outcomes depend on the work undertaken.</w:t>
      </w:r>
    </w:p>
    <w:p>
      <w:pPr>
        <w:pStyle w:val="Heading2"/>
      </w:pPr>
      <w:r>
        <w:t>9.6  What support comes with onboarding?</w:t>
      </w:r>
    </w:p>
    <w:p>
      <w:r>
        <w:t>The supplied beta plan includes an onboarding call for each participant, webinars and how-to guides from early October 2026, and help articles within the platform. Availability and scheduling require confirmation.</w:t>
      </w:r>
    </w:p>
    <w:p>
      <w:r>
        <w:t>The source describes Ask GEOrge as a way to send a question from the platform to info@aiofusion.ai. It should not be assumed to provide an instant AI answer or a guaranteed response time. Any additional training or support commitment should be agreed separately.</w:t>
      </w:r>
    </w:p>
    <w:p>
      <w:r>
        <w:br w:type="page"/>
      </w:r>
    </w:p>
    <w:p>
      <w:pPr>
        <w:pStyle w:val="Heading1"/>
      </w:pPr>
      <w:r>
        <w:t>10  Security, data and procurement</w:t>
      </w:r>
    </w:p>
    <w:p>
      <w:pPr>
        <w:pStyle w:val="Heading2"/>
      </w:pPr>
      <w:r>
        <w:t>10.1  Where is our client data held, and who can see it?</w:t>
      </w:r>
    </w:p>
    <w:p>
      <w:r>
        <w:t>The source identifies Replit as the hosting and managed-database provider for project information, audit results, drafts and planning data. Access is described as enforced on the server through authenticated accounts and project permissions, with agency access to authorised client work.</w:t>
      </w:r>
    </w:p>
    <w:p>
      <w:r>
        <w:t>For procurement, request confirmation of hosting and backup locations, the permission model, staff and support access, and the measures protecting separation between customers. This draft does not establish a particular data-residency commitment or independent security certification.</w:t>
      </w:r>
    </w:p>
    <w:p>
      <w:pPr>
        <w:pStyle w:val="Heading2"/>
      </w:pPr>
      <w:r>
        <w:t>10.2  How are accounts and passwords protected?</w:t>
      </w:r>
    </w:p>
    <w:p>
      <w:r>
        <w:t>The source describes one-way password hashing, authenticated sessions, controlled storage of service credentials and logging of administrative actions. Password protection is designed so a password is reset rather than retrieved in readable form.</w:t>
      </w:r>
    </w:p>
    <w:p>
      <w:r>
        <w:t>A technical procurement response should confirm the controls in the deployed service, including session handling and administrative access. A general product description is not a substitute for that evidence.</w:t>
      </w:r>
    </w:p>
    <w:p>
      <w:pPr>
        <w:pStyle w:val="Heading2"/>
      </w:pPr>
      <w:r>
        <w:t>10.3  Which third parties process data, and what about encryption and retention?</w:t>
      </w:r>
    </w:p>
    <w:p>
      <w:r>
        <w:t>The source identifies OpenAI and Anthropic for AI processing through Replit's AI integrations; Replit for hosting, database services and credential management; Replit Object Storage backed by Google Cloud Storage for backups; and Stripe for payments.</w:t>
      </w:r>
    </w:p>
    <w:p>
      <w:r>
        <w:t>Relevant inputs are sent to AI providers when AI features are used. Before purchase, confirm the current processor list, data categories, processing locations, transfer arrangements and provider retention or training terms for the contracted service. The list above is not a completed data-processing schedule.</w:t>
      </w:r>
    </w:p>
    <w:p>
      <w:r>
        <w:t>Data is described as encrypted in transit. The documented encryption-at-rest position for each managed storage service remains to be confirmed.</w:t>
      </w:r>
    </w:p>
    <w:p>
      <w:r>
        <w:t>Clients can request return or deletion of their data. Exact retention periods for live systems, backups, logs and legally required records remain to be documented. Requesting deletion should not be understood as an assurance of immediate erasure from every system.</w:t>
      </w:r>
    </w:p>
    <w:p>
      <w:pPr>
        <w:pStyle w:val="Heading2"/>
      </w:pPr>
      <w:r>
        <w:t>10.4  How are privacy enquiries and subject access requests handled?</w:t>
      </w:r>
    </w:p>
    <w:p>
      <w:r>
        <w:t>The source privacy notice directs requests to info@aiofusion.ai and states a response period of one calendar month. Ask for the current notice and applicable data-processing terms, including the request-verification process and any lawful exceptions to the response timetable.</w:t>
      </w:r>
    </w:p>
    <w:p>
      <w:r>
        <w:t>Procurement enquiries should also cover controller and processor roles, contact-data rights, incident handling, retention and deletion. Any unconfirmed answer should be provided in writing once verified; an NDA is not a substitute for an accurate answer.</w:t>
      </w:r>
    </w:p>
    <w:sectPr w:rsidR="00FC693F" w:rsidRPr="0006063C" w:rsidSect="00034616">
      <w:headerReference w:type="default" r:id="rId1"/>
      <w:footerReference w:type="default" r:id="rId9"/>
      <w:pgSz w:w="11909" w:h="16834"/>
      <w:pgMar w:top="1037" w:right="1123" w:bottom="1037"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DRAFT FOR OWNER APPROVAL - NOT APPROVED FOR RELEASE</w:t>
    </w:r>
    <w:r>
      <w:rPr>
        <w:sz w:val="16"/>
      </w:rPr>
      <w:t xml:space="preserve">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157B83"/>
        <w:sz w:val="16"/>
      </w:rPr>
      <w:t>AIO FUSION  |  MASTER Q&amp;A v1.5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8384B"/>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8384B"/>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57B8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Calibri" w:hAnsi="Calibri"/>
      <w:color w:val="18384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20"/>
    </w:pPr>
    <w:rPr>
      <w:rFonts w:asciiTheme="majorHAnsi" w:eastAsiaTheme="majorEastAsia" w:hAnsiTheme="majorHAnsi" w:cstheme="majorBidi" w:ascii="Calibri" w:hAnsi="Calibri"/>
      <w:i/>
      <w:iCs/>
      <w:color w:val="18384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quotation">
    <w:name w:val="Source quotation"/>
    <w:pPr>
      <w:widowControl/>
      <w:spacing w:after="80"/>
    </w:pPr>
    <w:rPr>
      <w:rFonts w:ascii="Calibri" w:hAnsi="Calibri"/>
      <w:color w:val="52616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AIO Fusion Master Q&amp;A v1.5</dc:title>
  <dc:subject>Sales-ready copy: draft for owner approval</dc:subject>
  <dc:creator>AIO Fusion</dc:creator>
  <cp:keywords/>
  <dc:description/>
  <cp:lastModifiedBy>AIO Fusion</cp:lastModifiedBy>
  <cp:revision>1</cp:revision>
  <dcterms:created xsi:type="dcterms:W3CDTF">2026-09-18T00:00:00Z</dcterms:created>
  <dcterms:modified xsi:type="dcterms:W3CDTF">2026-09-18T00:00:00Z</dcterms:modified>
  <cp:category>Owner approval draft</cp:category>
</cp:coreProperties>
</file>