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155113">
        <w:rPr>
          <w:lang w:val="es-MX"/>
        </w:rPr>
        <w:t xml:space="preserve">     </w:t>
      </w:r>
      <w:r w:rsidR="00655D51">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C91825">
        <w:rPr>
          <w:rFonts w:ascii="Times New Roman" w:hAnsi="Times New Roman"/>
          <w:bCs/>
          <w:lang w:val="es-MX"/>
        </w:rPr>
        <w:t>22</w:t>
      </w:r>
      <w:r w:rsidR="004906BD">
        <w:rPr>
          <w:rFonts w:ascii="Times New Roman" w:hAnsi="Times New Roman"/>
          <w:bCs/>
          <w:lang w:val="es-MX"/>
        </w:rPr>
        <w:t xml:space="preserve"> </w:t>
      </w:r>
      <w:r w:rsidR="00063E65">
        <w:rPr>
          <w:rFonts w:ascii="Times New Roman" w:hAnsi="Times New Roman"/>
          <w:bCs/>
          <w:lang w:val="es-MX"/>
        </w:rPr>
        <w:t xml:space="preserve">al </w:t>
      </w:r>
      <w:r w:rsidR="00C91825">
        <w:rPr>
          <w:rFonts w:ascii="Times New Roman" w:hAnsi="Times New Roman"/>
          <w:bCs/>
          <w:lang w:val="es-MX"/>
        </w:rPr>
        <w:t>30</w:t>
      </w:r>
      <w:r w:rsidR="00063E65">
        <w:rPr>
          <w:rFonts w:ascii="Times New Roman" w:hAnsi="Times New Roman"/>
          <w:bCs/>
          <w:lang w:val="es-MX"/>
        </w:rPr>
        <w:t xml:space="preserve"> de Septiembre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9C79A4"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056CFE" w:rsidRPr="009C79A4" w:rsidRDefault="00056CFE" w:rsidP="001E6129">
      <w:pPr>
        <w:pStyle w:val="Sinespaciado"/>
        <w:rPr>
          <w:rFonts w:ascii="Times New Roman" w:hAnsi="Times New Roman"/>
          <w:sz w:val="20"/>
          <w:szCs w:val="20"/>
          <w:lang w:val="en-US"/>
        </w:rPr>
      </w:pPr>
    </w:p>
    <w:p w:rsidR="001E6129" w:rsidRPr="00145EF0" w:rsidRDefault="001E6129" w:rsidP="00C91825">
      <w:pPr>
        <w:pStyle w:val="Sinespaciado"/>
        <w:jc w:val="both"/>
        <w:rPr>
          <w:rFonts w:ascii="Times New Roman" w:hAnsi="Times New Roman"/>
          <w:sz w:val="20"/>
          <w:szCs w:val="20"/>
          <w:lang w:val="en-US"/>
        </w:rPr>
      </w:pPr>
    </w:p>
    <w:p w:rsidR="00AF3195" w:rsidRPr="00B41DA2" w:rsidRDefault="003A3B2E" w:rsidP="00C91825">
      <w:pPr>
        <w:pStyle w:val="Sinespaciado"/>
        <w:jc w:val="both"/>
        <w:rPr>
          <w:rFonts w:ascii="Times New Roman" w:eastAsia="Times New Roman" w:hAnsi="Times New Roman"/>
          <w:b/>
          <w:color w:val="FF0000"/>
          <w:sz w:val="20"/>
          <w:szCs w:val="20"/>
          <w:lang w:val="en-US" w:eastAsia="es-ES"/>
        </w:rPr>
      </w:pPr>
      <w:hyperlink r:id="rId10" w:tooltip="Clinical interventions in aging." w:history="1">
        <w:r w:rsidR="00AF3195" w:rsidRPr="00B41DA2">
          <w:rPr>
            <w:rFonts w:ascii="Times New Roman" w:eastAsia="Times New Roman" w:hAnsi="Times New Roman"/>
            <w:b/>
            <w:color w:val="FF0000"/>
            <w:sz w:val="20"/>
            <w:szCs w:val="20"/>
            <w:lang w:val="en-US" w:eastAsia="es-ES"/>
          </w:rPr>
          <w:t>Clin Interv Aging.</w:t>
        </w:r>
      </w:hyperlink>
      <w:r w:rsidR="00AF3195" w:rsidRPr="00B41DA2">
        <w:rPr>
          <w:rFonts w:ascii="Times New Roman" w:eastAsia="Times New Roman" w:hAnsi="Times New Roman"/>
          <w:b/>
          <w:color w:val="FF0000"/>
          <w:sz w:val="20"/>
          <w:szCs w:val="20"/>
          <w:lang w:val="en-US" w:eastAsia="es-ES"/>
        </w:rPr>
        <w:t xml:space="preserve"> 2014 Sep 16;9:1573-1579. eCollection 2014.</w:t>
      </w:r>
    </w:p>
    <w:p w:rsidR="00AF3195" w:rsidRPr="00B41DA2" w:rsidRDefault="00AF3195" w:rsidP="00C91825">
      <w:pPr>
        <w:pStyle w:val="Sinespaciado"/>
        <w:jc w:val="both"/>
        <w:rPr>
          <w:rFonts w:ascii="Times New Roman" w:eastAsia="Times New Roman" w:hAnsi="Times New Roman"/>
          <w:b/>
          <w:bCs/>
          <w:color w:val="3333FF"/>
          <w:kern w:val="36"/>
          <w:sz w:val="28"/>
          <w:szCs w:val="28"/>
          <w:lang w:val="en-US" w:eastAsia="es-ES"/>
        </w:rPr>
      </w:pPr>
      <w:r w:rsidRPr="00B41DA2">
        <w:rPr>
          <w:rFonts w:ascii="Times New Roman" w:eastAsia="Times New Roman" w:hAnsi="Times New Roman"/>
          <w:b/>
          <w:bCs/>
          <w:color w:val="3333FF"/>
          <w:kern w:val="36"/>
          <w:sz w:val="28"/>
          <w:szCs w:val="28"/>
          <w:lang w:val="en-US" w:eastAsia="es-ES"/>
        </w:rPr>
        <w:t>The relationship between health-related fitness and quality of life in postmenopausal women from Southern Taiwan.</w:t>
      </w:r>
    </w:p>
    <w:p w:rsidR="00AF3195" w:rsidRPr="00B41DA2" w:rsidRDefault="003A3B2E" w:rsidP="00C91825">
      <w:pPr>
        <w:pStyle w:val="Sinespaciado"/>
        <w:jc w:val="both"/>
        <w:rPr>
          <w:rFonts w:ascii="Times New Roman" w:eastAsia="Times New Roman" w:hAnsi="Times New Roman"/>
          <w:sz w:val="20"/>
          <w:szCs w:val="20"/>
          <w:lang w:val="en-US" w:eastAsia="es-ES"/>
        </w:rPr>
      </w:pPr>
      <w:hyperlink r:id="rId11" w:history="1">
        <w:r w:rsidR="00AF3195" w:rsidRPr="00B41DA2">
          <w:rPr>
            <w:rFonts w:ascii="Times New Roman" w:eastAsia="Times New Roman" w:hAnsi="Times New Roman"/>
            <w:sz w:val="20"/>
            <w:szCs w:val="20"/>
            <w:lang w:val="en-US" w:eastAsia="es-ES"/>
          </w:rPr>
          <w:t>Hsu WH</w:t>
        </w:r>
      </w:hyperlink>
      <w:r w:rsidR="00AF3195" w:rsidRPr="00B41DA2">
        <w:rPr>
          <w:rFonts w:ascii="Times New Roman" w:eastAsia="Times New Roman" w:hAnsi="Times New Roman"/>
          <w:sz w:val="20"/>
          <w:szCs w:val="20"/>
          <w:vertAlign w:val="superscript"/>
          <w:lang w:val="en-US" w:eastAsia="es-ES"/>
        </w:rPr>
        <w:t>1</w:t>
      </w:r>
      <w:r w:rsidR="00AF3195" w:rsidRPr="00B41DA2">
        <w:rPr>
          <w:rFonts w:ascii="Times New Roman" w:eastAsia="Times New Roman" w:hAnsi="Times New Roman"/>
          <w:sz w:val="20"/>
          <w:szCs w:val="20"/>
          <w:lang w:val="en-US" w:eastAsia="es-ES"/>
        </w:rPr>
        <w:t xml:space="preserve">, </w:t>
      </w:r>
      <w:hyperlink r:id="rId12" w:history="1">
        <w:r w:rsidR="00AF3195" w:rsidRPr="00B41DA2">
          <w:rPr>
            <w:rFonts w:ascii="Times New Roman" w:eastAsia="Times New Roman" w:hAnsi="Times New Roman"/>
            <w:sz w:val="20"/>
            <w:szCs w:val="20"/>
            <w:lang w:val="en-US" w:eastAsia="es-ES"/>
          </w:rPr>
          <w:t>Chen CL</w:t>
        </w:r>
      </w:hyperlink>
      <w:r w:rsidR="00AF3195" w:rsidRPr="00B41DA2">
        <w:rPr>
          <w:rFonts w:ascii="Times New Roman" w:eastAsia="Times New Roman" w:hAnsi="Times New Roman"/>
          <w:sz w:val="20"/>
          <w:szCs w:val="20"/>
          <w:vertAlign w:val="superscript"/>
          <w:lang w:val="en-US" w:eastAsia="es-ES"/>
        </w:rPr>
        <w:t>2</w:t>
      </w:r>
      <w:r w:rsidR="00AF3195" w:rsidRPr="00B41DA2">
        <w:rPr>
          <w:rFonts w:ascii="Times New Roman" w:eastAsia="Times New Roman" w:hAnsi="Times New Roman"/>
          <w:sz w:val="20"/>
          <w:szCs w:val="20"/>
          <w:lang w:val="en-US" w:eastAsia="es-ES"/>
        </w:rPr>
        <w:t xml:space="preserve">, </w:t>
      </w:r>
      <w:hyperlink r:id="rId13" w:history="1">
        <w:r w:rsidR="00AF3195" w:rsidRPr="00B41DA2">
          <w:rPr>
            <w:rFonts w:ascii="Times New Roman" w:eastAsia="Times New Roman" w:hAnsi="Times New Roman"/>
            <w:sz w:val="20"/>
            <w:szCs w:val="20"/>
            <w:lang w:val="en-US" w:eastAsia="es-ES"/>
          </w:rPr>
          <w:t>Kuo LT</w:t>
        </w:r>
      </w:hyperlink>
      <w:r w:rsidR="00AF3195" w:rsidRPr="00B41DA2">
        <w:rPr>
          <w:rFonts w:ascii="Times New Roman" w:eastAsia="Times New Roman" w:hAnsi="Times New Roman"/>
          <w:sz w:val="20"/>
          <w:szCs w:val="20"/>
          <w:vertAlign w:val="superscript"/>
          <w:lang w:val="en-US" w:eastAsia="es-ES"/>
        </w:rPr>
        <w:t>2</w:t>
      </w:r>
      <w:r w:rsidR="00AF3195" w:rsidRPr="00B41DA2">
        <w:rPr>
          <w:rFonts w:ascii="Times New Roman" w:eastAsia="Times New Roman" w:hAnsi="Times New Roman"/>
          <w:sz w:val="20"/>
          <w:szCs w:val="20"/>
          <w:lang w:val="en-US" w:eastAsia="es-ES"/>
        </w:rPr>
        <w:t xml:space="preserve">, </w:t>
      </w:r>
      <w:hyperlink r:id="rId14" w:history="1">
        <w:r w:rsidR="00AF3195" w:rsidRPr="00B41DA2">
          <w:rPr>
            <w:rFonts w:ascii="Times New Roman" w:eastAsia="Times New Roman" w:hAnsi="Times New Roman"/>
            <w:sz w:val="20"/>
            <w:szCs w:val="20"/>
            <w:lang w:val="en-US" w:eastAsia="es-ES"/>
          </w:rPr>
          <w:t>Fan CH</w:t>
        </w:r>
      </w:hyperlink>
      <w:r w:rsidR="00AF3195" w:rsidRPr="00B41DA2">
        <w:rPr>
          <w:rFonts w:ascii="Times New Roman" w:eastAsia="Times New Roman" w:hAnsi="Times New Roman"/>
          <w:sz w:val="20"/>
          <w:szCs w:val="20"/>
          <w:vertAlign w:val="superscript"/>
          <w:lang w:val="en-US" w:eastAsia="es-ES"/>
        </w:rPr>
        <w:t>3</w:t>
      </w:r>
      <w:r w:rsidR="00AF3195" w:rsidRPr="00B41DA2">
        <w:rPr>
          <w:rFonts w:ascii="Times New Roman" w:eastAsia="Times New Roman" w:hAnsi="Times New Roman"/>
          <w:sz w:val="20"/>
          <w:szCs w:val="20"/>
          <w:lang w:val="en-US" w:eastAsia="es-ES"/>
        </w:rPr>
        <w:t xml:space="preserve">, </w:t>
      </w:r>
      <w:hyperlink r:id="rId15" w:history="1">
        <w:r w:rsidR="00AF3195" w:rsidRPr="00B41DA2">
          <w:rPr>
            <w:rFonts w:ascii="Times New Roman" w:eastAsia="Times New Roman" w:hAnsi="Times New Roman"/>
            <w:sz w:val="20"/>
            <w:szCs w:val="20"/>
            <w:lang w:val="en-US" w:eastAsia="es-ES"/>
          </w:rPr>
          <w:t>Lee MS</w:t>
        </w:r>
      </w:hyperlink>
      <w:r w:rsidR="00AF3195" w:rsidRPr="00B41DA2">
        <w:rPr>
          <w:rFonts w:ascii="Times New Roman" w:eastAsia="Times New Roman" w:hAnsi="Times New Roman"/>
          <w:sz w:val="20"/>
          <w:szCs w:val="20"/>
          <w:vertAlign w:val="superscript"/>
          <w:lang w:val="en-US" w:eastAsia="es-ES"/>
        </w:rPr>
        <w:t>2</w:t>
      </w:r>
      <w:r w:rsidR="00AF3195" w:rsidRPr="00B41DA2">
        <w:rPr>
          <w:rFonts w:ascii="Times New Roman" w:eastAsia="Times New Roman" w:hAnsi="Times New Roman"/>
          <w:sz w:val="20"/>
          <w:szCs w:val="20"/>
          <w:lang w:val="en-US" w:eastAsia="es-ES"/>
        </w:rPr>
        <w:t xml:space="preserve">, </w:t>
      </w:r>
      <w:hyperlink r:id="rId16" w:history="1">
        <w:r w:rsidR="00AF3195" w:rsidRPr="00B41DA2">
          <w:rPr>
            <w:rFonts w:ascii="Times New Roman" w:eastAsia="Times New Roman" w:hAnsi="Times New Roman"/>
            <w:sz w:val="20"/>
            <w:szCs w:val="20"/>
            <w:lang w:val="en-US" w:eastAsia="es-ES"/>
          </w:rPr>
          <w:t>Hsu RW</w:t>
        </w:r>
      </w:hyperlink>
      <w:r w:rsidR="00AF3195" w:rsidRPr="00B41DA2">
        <w:rPr>
          <w:rFonts w:ascii="Times New Roman" w:eastAsia="Times New Roman" w:hAnsi="Times New Roman"/>
          <w:sz w:val="20"/>
          <w:szCs w:val="20"/>
          <w:vertAlign w:val="superscript"/>
          <w:lang w:val="en-US" w:eastAsia="es-ES"/>
        </w:rPr>
        <w:t>2</w:t>
      </w:r>
      <w:r w:rsidR="00AF3195" w:rsidRPr="00B41DA2">
        <w:rPr>
          <w:rFonts w:ascii="Times New Roman" w:eastAsia="Times New Roman" w:hAnsi="Times New Roman"/>
          <w:sz w:val="20"/>
          <w:szCs w:val="20"/>
          <w:lang w:val="en-US" w:eastAsia="es-ES"/>
        </w:rPr>
        <w:t>.</w:t>
      </w:r>
    </w:p>
    <w:p w:rsidR="00AF3195" w:rsidRPr="00B41DA2" w:rsidRDefault="00AF3195" w:rsidP="00C91825">
      <w:pPr>
        <w:pStyle w:val="Sinespaciado"/>
        <w:jc w:val="both"/>
        <w:rPr>
          <w:rFonts w:ascii="Times New Roman" w:eastAsia="Times New Roman" w:hAnsi="Times New Roman"/>
          <w:sz w:val="20"/>
          <w:szCs w:val="20"/>
          <w:lang w:val="en-US" w:eastAsia="es-ES"/>
        </w:rPr>
      </w:pPr>
      <w:r w:rsidRPr="00B41DA2">
        <w:rPr>
          <w:rFonts w:ascii="Times New Roman" w:eastAsia="Times New Roman" w:hAnsi="Times New Roman"/>
          <w:b/>
          <w:bCs/>
          <w:sz w:val="20"/>
          <w:szCs w:val="20"/>
          <w:lang w:val="en-US" w:eastAsia="es-ES"/>
        </w:rPr>
        <w:t xml:space="preserve">BACKGROUND: </w:t>
      </w:r>
      <w:r w:rsidRPr="00B41DA2">
        <w:rPr>
          <w:rFonts w:ascii="Times New Roman" w:eastAsia="Times New Roman" w:hAnsi="Times New Roman"/>
          <w:sz w:val="20"/>
          <w:szCs w:val="20"/>
          <w:lang w:val="en-US" w:eastAsia="es-ES"/>
        </w:rPr>
        <w:t>Health-related fitness has been reported to be associated with improved quality of life (QoL) in the elderly. Health-related fitness is comprised of several dimensions that could be enhanced by specific training regimens. It has remained unclear how various dimensions of health-related fitness interact with QoL in postmenopausal women.</w:t>
      </w:r>
      <w:r w:rsidR="00B41DA2">
        <w:rPr>
          <w:rFonts w:ascii="Times New Roman" w:eastAsia="Times New Roman" w:hAnsi="Times New Roman"/>
          <w:sz w:val="20"/>
          <w:szCs w:val="20"/>
          <w:lang w:val="en-US" w:eastAsia="es-ES"/>
        </w:rPr>
        <w:t xml:space="preserve"> </w:t>
      </w:r>
      <w:r w:rsidRPr="00B41DA2">
        <w:rPr>
          <w:rFonts w:ascii="Times New Roman" w:eastAsia="Times New Roman" w:hAnsi="Times New Roman"/>
          <w:b/>
          <w:bCs/>
          <w:sz w:val="20"/>
          <w:szCs w:val="20"/>
          <w:lang w:val="en-US" w:eastAsia="es-ES"/>
        </w:rPr>
        <w:t>OBJECTIVE:</w:t>
      </w:r>
      <w:r w:rsidR="00B41DA2">
        <w:rPr>
          <w:rFonts w:ascii="Times New Roman" w:eastAsia="Times New Roman" w:hAnsi="Times New Roman"/>
          <w:b/>
          <w:bCs/>
          <w:sz w:val="20"/>
          <w:szCs w:val="20"/>
          <w:lang w:val="en-US" w:eastAsia="es-ES"/>
        </w:rPr>
        <w:t xml:space="preserve"> </w:t>
      </w:r>
      <w:r w:rsidRPr="00B41DA2">
        <w:rPr>
          <w:rFonts w:ascii="Times New Roman" w:eastAsia="Times New Roman" w:hAnsi="Times New Roman"/>
          <w:sz w:val="20"/>
          <w:szCs w:val="20"/>
          <w:lang w:val="en-US" w:eastAsia="es-ES"/>
        </w:rPr>
        <w:t>The purpose of the current study was to investigate the relationship between the dimensions of health-related fitness and QoL in elderly women.</w:t>
      </w:r>
      <w:r w:rsidR="00B41DA2">
        <w:rPr>
          <w:rFonts w:ascii="Times New Roman" w:eastAsia="Times New Roman" w:hAnsi="Times New Roman"/>
          <w:sz w:val="20"/>
          <w:szCs w:val="20"/>
          <w:lang w:val="en-US" w:eastAsia="es-ES"/>
        </w:rPr>
        <w:t xml:space="preserve"> </w:t>
      </w:r>
      <w:r w:rsidRPr="00B41DA2">
        <w:rPr>
          <w:rFonts w:ascii="Times New Roman" w:eastAsia="Times New Roman" w:hAnsi="Times New Roman"/>
          <w:b/>
          <w:bCs/>
          <w:sz w:val="20"/>
          <w:szCs w:val="20"/>
          <w:lang w:val="en-US" w:eastAsia="es-ES"/>
        </w:rPr>
        <w:t xml:space="preserve">METHODS: </w:t>
      </w:r>
      <w:r w:rsidRPr="00B41DA2">
        <w:rPr>
          <w:rFonts w:ascii="Times New Roman" w:eastAsia="Times New Roman" w:hAnsi="Times New Roman"/>
          <w:sz w:val="20"/>
          <w:szCs w:val="20"/>
          <w:lang w:val="en-US" w:eastAsia="es-ES"/>
        </w:rPr>
        <w:t xml:space="preserve">A cohort of 408 postmenopausal women in a rural area of Taiwan was prospectively collected. Dimensions of health-related fitness, consisting of muscular strength, balance, cardiorespiratory endurance, flexibility, muscle endurance, and agility, were assessed. QoL was determined using the Short Form Health Survey (SF-36). Differences between age groups (stratified by decades) were calculated using a one-way analysis of variance (ANOVA) and multiple comparisons using a Scheffé test. A Spearman's correlation analysis was performed to examine differences between QoL and each dimension of fitness. Multiple linear regression with forced-entry procedure was performed to evaluate the effects of health-related fitness. A </w:t>
      </w:r>
      <w:r w:rsidRPr="00B41DA2">
        <w:rPr>
          <w:rFonts w:ascii="Times New Roman" w:eastAsia="Times New Roman" w:hAnsi="Times New Roman"/>
          <w:i/>
          <w:iCs/>
          <w:sz w:val="20"/>
          <w:szCs w:val="20"/>
          <w:lang w:val="en-US" w:eastAsia="es-ES"/>
        </w:rPr>
        <w:t>P</w:t>
      </w:r>
      <w:r w:rsidRPr="00B41DA2">
        <w:rPr>
          <w:rFonts w:ascii="Times New Roman" w:eastAsia="Times New Roman" w:hAnsi="Times New Roman"/>
          <w:sz w:val="20"/>
          <w:szCs w:val="20"/>
          <w:lang w:val="en-US" w:eastAsia="es-ES"/>
        </w:rPr>
        <w:t>-value of &lt;0.05 was considered statistically significant.</w:t>
      </w:r>
      <w:r w:rsidR="00B41DA2">
        <w:rPr>
          <w:rFonts w:ascii="Times New Roman" w:eastAsia="Times New Roman" w:hAnsi="Times New Roman"/>
          <w:sz w:val="20"/>
          <w:szCs w:val="20"/>
          <w:lang w:val="en-US" w:eastAsia="es-ES"/>
        </w:rPr>
        <w:t xml:space="preserve"> </w:t>
      </w:r>
      <w:r w:rsidRPr="00B41DA2">
        <w:rPr>
          <w:rFonts w:ascii="Times New Roman" w:eastAsia="Times New Roman" w:hAnsi="Times New Roman"/>
          <w:b/>
          <w:bCs/>
          <w:sz w:val="20"/>
          <w:szCs w:val="20"/>
          <w:lang w:val="en-US" w:eastAsia="es-ES"/>
        </w:rPr>
        <w:t xml:space="preserve">RESULTS: </w:t>
      </w:r>
      <w:r w:rsidRPr="00B41DA2">
        <w:rPr>
          <w:rFonts w:ascii="Times New Roman" w:eastAsia="Times New Roman" w:hAnsi="Times New Roman"/>
          <w:sz w:val="20"/>
          <w:szCs w:val="20"/>
          <w:lang w:val="en-US" w:eastAsia="es-ES"/>
        </w:rPr>
        <w:t>Age-related decreases in health-related fitness were shown for sit-ups, back strength, grip strength, side steps, trunk extension, and agility (</w:t>
      </w:r>
      <w:r w:rsidRPr="00B41DA2">
        <w:rPr>
          <w:rFonts w:ascii="Times New Roman" w:eastAsia="Times New Roman" w:hAnsi="Times New Roman"/>
          <w:i/>
          <w:iCs/>
          <w:sz w:val="20"/>
          <w:szCs w:val="20"/>
          <w:lang w:val="en-US" w:eastAsia="es-ES"/>
        </w:rPr>
        <w:t>P</w:t>
      </w:r>
      <w:r w:rsidRPr="00B41DA2">
        <w:rPr>
          <w:rFonts w:ascii="Times New Roman" w:eastAsia="Times New Roman" w:hAnsi="Times New Roman"/>
          <w:sz w:val="20"/>
          <w:szCs w:val="20"/>
          <w:lang w:val="en-US" w:eastAsia="es-ES"/>
        </w:rPr>
        <w:t>&lt;0.05). An age-related decrease in QoL, specifically in physical functioning, role limitation due to physical problems, and physical component score, was also demonstrated (</w:t>
      </w:r>
      <w:r w:rsidRPr="00B41DA2">
        <w:rPr>
          <w:rFonts w:ascii="Times New Roman" w:eastAsia="Times New Roman" w:hAnsi="Times New Roman"/>
          <w:i/>
          <w:iCs/>
          <w:sz w:val="20"/>
          <w:szCs w:val="20"/>
          <w:lang w:val="en-US" w:eastAsia="es-ES"/>
        </w:rPr>
        <w:t>P</w:t>
      </w:r>
      <w:r w:rsidRPr="00B41DA2">
        <w:rPr>
          <w:rFonts w:ascii="Times New Roman" w:eastAsia="Times New Roman" w:hAnsi="Times New Roman"/>
          <w:sz w:val="20"/>
          <w:szCs w:val="20"/>
          <w:lang w:val="en-US" w:eastAsia="es-ES"/>
        </w:rPr>
        <w:t>&lt;0.05). Multiple linear regression analyses demonstrated that back strength significantly contributed to the physical component of QoL (adjusted beta of 0.268 [</w:t>
      </w:r>
      <w:r w:rsidRPr="00B41DA2">
        <w:rPr>
          <w:rFonts w:ascii="Times New Roman" w:eastAsia="Times New Roman" w:hAnsi="Times New Roman"/>
          <w:i/>
          <w:iCs/>
          <w:sz w:val="20"/>
          <w:szCs w:val="20"/>
          <w:lang w:val="en-US" w:eastAsia="es-ES"/>
        </w:rPr>
        <w:t>P</w:t>
      </w:r>
      <w:r w:rsidRPr="00B41DA2">
        <w:rPr>
          <w:rFonts w:ascii="Times New Roman" w:eastAsia="Times New Roman" w:hAnsi="Times New Roman"/>
          <w:sz w:val="20"/>
          <w:szCs w:val="20"/>
          <w:lang w:val="en-US" w:eastAsia="es-ES"/>
        </w:rPr>
        <w:t>&lt;0.05]).</w:t>
      </w:r>
      <w:r w:rsidR="00B41DA2">
        <w:rPr>
          <w:rFonts w:ascii="Times New Roman" w:eastAsia="Times New Roman" w:hAnsi="Times New Roman"/>
          <w:sz w:val="20"/>
          <w:szCs w:val="20"/>
          <w:lang w:val="en-US" w:eastAsia="es-ES"/>
        </w:rPr>
        <w:t xml:space="preserve"> </w:t>
      </w:r>
      <w:r w:rsidRPr="00B41DA2">
        <w:rPr>
          <w:rFonts w:ascii="Times New Roman" w:eastAsia="Times New Roman" w:hAnsi="Times New Roman"/>
          <w:b/>
          <w:bCs/>
          <w:sz w:val="20"/>
          <w:szCs w:val="20"/>
          <w:lang w:val="en-US" w:eastAsia="es-ES"/>
        </w:rPr>
        <w:t xml:space="preserve">CONCLUSION: </w:t>
      </w:r>
      <w:r w:rsidRPr="00B41DA2">
        <w:rPr>
          <w:rFonts w:ascii="Times New Roman" w:eastAsia="Times New Roman" w:hAnsi="Times New Roman"/>
          <w:sz w:val="20"/>
          <w:szCs w:val="20"/>
          <w:lang w:val="en-US" w:eastAsia="es-ES"/>
        </w:rPr>
        <w:t>Back strength was positively correlated with the physical component of QoL among the examined dimensions of health-related fitness. Health-related fitness, as well as the physical component of QoL, declined with increasing age.</w:t>
      </w:r>
    </w:p>
    <w:p w:rsidR="00AF3195" w:rsidRDefault="00AF3195" w:rsidP="00C91825">
      <w:pPr>
        <w:pStyle w:val="Sinespaciado"/>
        <w:jc w:val="both"/>
        <w:rPr>
          <w:rFonts w:ascii="Times New Roman" w:hAnsi="Times New Roman"/>
          <w:b/>
          <w:sz w:val="20"/>
          <w:szCs w:val="20"/>
          <w:lang w:val="en-US"/>
        </w:rPr>
      </w:pPr>
    </w:p>
    <w:p w:rsidR="00B41DA2" w:rsidRPr="00B41DA2" w:rsidRDefault="00B41DA2" w:rsidP="00C91825">
      <w:pPr>
        <w:pStyle w:val="Sinespaciado"/>
        <w:jc w:val="both"/>
        <w:rPr>
          <w:rFonts w:ascii="Times New Roman" w:hAnsi="Times New Roman"/>
          <w:b/>
          <w:sz w:val="20"/>
          <w:szCs w:val="20"/>
          <w:lang w:val="en-US"/>
        </w:rPr>
      </w:pPr>
    </w:p>
    <w:p w:rsidR="00AF3195" w:rsidRPr="00B41DA2" w:rsidRDefault="003A3B2E" w:rsidP="00C91825">
      <w:pPr>
        <w:pStyle w:val="Sinespaciado"/>
        <w:jc w:val="both"/>
        <w:rPr>
          <w:rFonts w:ascii="Times New Roman" w:hAnsi="Times New Roman"/>
          <w:b/>
          <w:color w:val="FF0000"/>
          <w:sz w:val="20"/>
          <w:szCs w:val="20"/>
          <w:lang w:val="en-US"/>
        </w:rPr>
      </w:pPr>
      <w:hyperlink r:id="rId17" w:tooltip="Cancer epidemiology, biomarkers &amp; prevention : a publication of the American Association for Cancer Research, cosponsored by the American Society of Preventive Oncology." w:history="1">
        <w:r w:rsidR="00AF3195" w:rsidRPr="00B41DA2">
          <w:rPr>
            <w:rFonts w:ascii="Times New Roman" w:hAnsi="Times New Roman"/>
            <w:b/>
            <w:color w:val="FF0000"/>
            <w:sz w:val="20"/>
            <w:szCs w:val="20"/>
            <w:lang w:val="en-US"/>
          </w:rPr>
          <w:t>Cancer Epidemiol Biomarkers Prev.</w:t>
        </w:r>
      </w:hyperlink>
      <w:r w:rsidR="00AF3195" w:rsidRPr="00B41DA2">
        <w:rPr>
          <w:rFonts w:ascii="Times New Roman" w:hAnsi="Times New Roman"/>
          <w:b/>
          <w:color w:val="FF0000"/>
          <w:sz w:val="20"/>
          <w:szCs w:val="20"/>
          <w:lang w:val="en-US"/>
        </w:rPr>
        <w:t xml:space="preserve"> 2014 Sep 25. pii: cebp.0922.2014. [Epub ahead of print]</w:t>
      </w:r>
    </w:p>
    <w:p w:rsidR="00AF3195" w:rsidRPr="00B41DA2" w:rsidRDefault="00AF3195" w:rsidP="00C91825">
      <w:pPr>
        <w:pStyle w:val="Sinespaciado"/>
        <w:jc w:val="both"/>
        <w:rPr>
          <w:rFonts w:ascii="Times New Roman" w:hAnsi="Times New Roman"/>
          <w:b/>
          <w:color w:val="3333FF"/>
          <w:sz w:val="28"/>
          <w:szCs w:val="28"/>
          <w:lang w:val="en-US"/>
        </w:rPr>
      </w:pPr>
      <w:r w:rsidRPr="00B41DA2">
        <w:rPr>
          <w:rFonts w:ascii="Times New Roman" w:hAnsi="Times New Roman"/>
          <w:b/>
          <w:color w:val="3333FF"/>
          <w:sz w:val="28"/>
          <w:szCs w:val="28"/>
          <w:lang w:val="en-US"/>
        </w:rPr>
        <w:t>Cancer Incidence and Mortality during the intervention and post intervention periods of the Women's Health Initiative Dietary Modification Trial.</w:t>
      </w:r>
    </w:p>
    <w:p w:rsidR="00AF3195" w:rsidRPr="00B41DA2" w:rsidRDefault="003A3B2E" w:rsidP="00B41DA2">
      <w:pPr>
        <w:pStyle w:val="Sinespaciado"/>
        <w:jc w:val="both"/>
        <w:rPr>
          <w:rFonts w:ascii="Times New Roman" w:hAnsi="Times New Roman"/>
          <w:sz w:val="20"/>
          <w:szCs w:val="20"/>
          <w:lang w:val="en-US"/>
        </w:rPr>
      </w:pPr>
      <w:hyperlink r:id="rId18" w:history="1">
        <w:r w:rsidR="00AF3195" w:rsidRPr="00B41DA2">
          <w:rPr>
            <w:rFonts w:ascii="Times New Roman" w:hAnsi="Times New Roman"/>
            <w:sz w:val="20"/>
            <w:szCs w:val="20"/>
            <w:lang w:val="en-US"/>
          </w:rPr>
          <w:t>Thomson CA</w:t>
        </w:r>
      </w:hyperlink>
      <w:r w:rsidR="00AF3195" w:rsidRPr="00B41DA2">
        <w:rPr>
          <w:rFonts w:ascii="Times New Roman" w:hAnsi="Times New Roman"/>
          <w:sz w:val="20"/>
          <w:szCs w:val="20"/>
          <w:lang w:val="en-US"/>
        </w:rPr>
        <w:t xml:space="preserve">, </w:t>
      </w:r>
      <w:hyperlink r:id="rId19" w:history="1">
        <w:r w:rsidR="00AF3195" w:rsidRPr="00B41DA2">
          <w:rPr>
            <w:rFonts w:ascii="Times New Roman" w:hAnsi="Times New Roman"/>
            <w:sz w:val="20"/>
            <w:szCs w:val="20"/>
            <w:lang w:val="en-US"/>
          </w:rPr>
          <w:t>Van Horn L</w:t>
        </w:r>
      </w:hyperlink>
      <w:r w:rsidR="00AF3195" w:rsidRPr="00B41DA2">
        <w:rPr>
          <w:rFonts w:ascii="Times New Roman" w:hAnsi="Times New Roman"/>
          <w:sz w:val="20"/>
          <w:szCs w:val="20"/>
          <w:lang w:val="en-US"/>
        </w:rPr>
        <w:t xml:space="preserve">, </w:t>
      </w:r>
      <w:hyperlink r:id="rId20" w:history="1">
        <w:r w:rsidR="00AF3195" w:rsidRPr="00B41DA2">
          <w:rPr>
            <w:rFonts w:ascii="Times New Roman" w:hAnsi="Times New Roman"/>
            <w:sz w:val="20"/>
            <w:szCs w:val="20"/>
            <w:lang w:val="en-US"/>
          </w:rPr>
          <w:t>Caan BJ</w:t>
        </w:r>
      </w:hyperlink>
      <w:r w:rsidR="00AF3195" w:rsidRPr="00B41DA2">
        <w:rPr>
          <w:rFonts w:ascii="Times New Roman" w:hAnsi="Times New Roman"/>
          <w:sz w:val="20"/>
          <w:szCs w:val="20"/>
          <w:lang w:val="en-US"/>
        </w:rPr>
        <w:t xml:space="preserve">, </w:t>
      </w:r>
      <w:hyperlink r:id="rId21" w:history="1">
        <w:r w:rsidR="00AF3195" w:rsidRPr="00B41DA2">
          <w:rPr>
            <w:rFonts w:ascii="Times New Roman" w:hAnsi="Times New Roman"/>
            <w:sz w:val="20"/>
            <w:szCs w:val="20"/>
            <w:lang w:val="en-US"/>
          </w:rPr>
          <w:t>Aragaki AK</w:t>
        </w:r>
      </w:hyperlink>
      <w:r w:rsidR="00AF3195" w:rsidRPr="00B41DA2">
        <w:rPr>
          <w:rFonts w:ascii="Times New Roman" w:hAnsi="Times New Roman"/>
          <w:sz w:val="20"/>
          <w:szCs w:val="20"/>
          <w:lang w:val="en-US"/>
        </w:rPr>
        <w:t xml:space="preserve">, </w:t>
      </w:r>
      <w:hyperlink r:id="rId22" w:history="1">
        <w:r w:rsidR="00AF3195" w:rsidRPr="00B41DA2">
          <w:rPr>
            <w:rFonts w:ascii="Times New Roman" w:hAnsi="Times New Roman"/>
            <w:sz w:val="20"/>
            <w:szCs w:val="20"/>
            <w:lang w:val="en-US"/>
          </w:rPr>
          <w:t>Chlebowski RT</w:t>
        </w:r>
      </w:hyperlink>
      <w:r w:rsidR="00AF3195" w:rsidRPr="00B41DA2">
        <w:rPr>
          <w:rFonts w:ascii="Times New Roman" w:hAnsi="Times New Roman"/>
          <w:sz w:val="20"/>
          <w:szCs w:val="20"/>
          <w:lang w:val="en-US"/>
        </w:rPr>
        <w:t xml:space="preserve">, </w:t>
      </w:r>
      <w:hyperlink r:id="rId23" w:history="1">
        <w:r w:rsidR="00AF3195" w:rsidRPr="00B41DA2">
          <w:rPr>
            <w:rFonts w:ascii="Times New Roman" w:hAnsi="Times New Roman"/>
            <w:sz w:val="20"/>
            <w:szCs w:val="20"/>
            <w:lang w:val="en-US"/>
          </w:rPr>
          <w:t>Manson JE</w:t>
        </w:r>
      </w:hyperlink>
      <w:r w:rsidR="00AF3195" w:rsidRPr="00B41DA2">
        <w:rPr>
          <w:rFonts w:ascii="Times New Roman" w:hAnsi="Times New Roman"/>
          <w:sz w:val="20"/>
          <w:szCs w:val="20"/>
          <w:lang w:val="en-US"/>
        </w:rPr>
        <w:t xml:space="preserve">, </w:t>
      </w:r>
      <w:hyperlink r:id="rId24" w:history="1">
        <w:r w:rsidR="00AF3195" w:rsidRPr="00B41DA2">
          <w:rPr>
            <w:rFonts w:ascii="Times New Roman" w:hAnsi="Times New Roman"/>
            <w:sz w:val="20"/>
            <w:szCs w:val="20"/>
            <w:lang w:val="en-US"/>
          </w:rPr>
          <w:t>Rohan TE</w:t>
        </w:r>
      </w:hyperlink>
      <w:r w:rsidR="00AF3195" w:rsidRPr="00B41DA2">
        <w:rPr>
          <w:rFonts w:ascii="Times New Roman" w:hAnsi="Times New Roman"/>
          <w:sz w:val="20"/>
          <w:szCs w:val="20"/>
          <w:lang w:val="en-US"/>
        </w:rPr>
        <w:t xml:space="preserve">, </w:t>
      </w:r>
      <w:hyperlink r:id="rId25" w:history="1">
        <w:r w:rsidR="00AF3195" w:rsidRPr="00B41DA2">
          <w:rPr>
            <w:rFonts w:ascii="Times New Roman" w:hAnsi="Times New Roman"/>
            <w:sz w:val="20"/>
            <w:szCs w:val="20"/>
            <w:lang w:val="en-US"/>
          </w:rPr>
          <w:t>Tinker LF</w:t>
        </w:r>
      </w:hyperlink>
      <w:r w:rsidR="00AF3195" w:rsidRPr="00B41DA2">
        <w:rPr>
          <w:rFonts w:ascii="Times New Roman" w:hAnsi="Times New Roman"/>
          <w:sz w:val="20"/>
          <w:szCs w:val="20"/>
          <w:vertAlign w:val="superscript"/>
          <w:lang w:val="en-US"/>
        </w:rPr>
        <w:t>4</w:t>
      </w:r>
      <w:r w:rsidR="00AF3195" w:rsidRPr="00B41DA2">
        <w:rPr>
          <w:rFonts w:ascii="Times New Roman" w:hAnsi="Times New Roman"/>
          <w:sz w:val="20"/>
          <w:szCs w:val="20"/>
          <w:lang w:val="en-US"/>
        </w:rPr>
        <w:t xml:space="preserve">, </w:t>
      </w:r>
      <w:hyperlink r:id="rId26" w:history="1">
        <w:r w:rsidR="00AF3195" w:rsidRPr="00B41DA2">
          <w:rPr>
            <w:rFonts w:ascii="Times New Roman" w:hAnsi="Times New Roman"/>
            <w:sz w:val="20"/>
            <w:szCs w:val="20"/>
            <w:lang w:val="en-US"/>
          </w:rPr>
          <w:t>Kuller LH</w:t>
        </w:r>
      </w:hyperlink>
      <w:r w:rsidR="00AF3195" w:rsidRPr="00B41DA2">
        <w:rPr>
          <w:rFonts w:ascii="Times New Roman" w:hAnsi="Times New Roman"/>
          <w:sz w:val="20"/>
          <w:szCs w:val="20"/>
          <w:vertAlign w:val="superscript"/>
          <w:lang w:val="en-US"/>
        </w:rPr>
        <w:t>8</w:t>
      </w:r>
      <w:r w:rsidR="00AF3195" w:rsidRPr="00B41DA2">
        <w:rPr>
          <w:rFonts w:ascii="Times New Roman" w:hAnsi="Times New Roman"/>
          <w:sz w:val="20"/>
          <w:szCs w:val="20"/>
          <w:lang w:val="en-US"/>
        </w:rPr>
        <w:t xml:space="preserve">, </w:t>
      </w:r>
      <w:r w:rsidR="00B41DA2" w:rsidRPr="00B41DA2">
        <w:rPr>
          <w:rFonts w:ascii="Times New Roman" w:hAnsi="Times New Roman"/>
          <w:sz w:val="20"/>
          <w:szCs w:val="20"/>
          <w:lang w:val="en-US"/>
        </w:rPr>
        <w:t>et al.</w:t>
      </w:r>
    </w:p>
    <w:p w:rsidR="00AF3195" w:rsidRPr="00B41DA2" w:rsidRDefault="00AF3195" w:rsidP="00C91825">
      <w:pPr>
        <w:pStyle w:val="Sinespaciado"/>
        <w:jc w:val="both"/>
        <w:rPr>
          <w:rFonts w:ascii="Times New Roman" w:hAnsi="Times New Roman"/>
          <w:sz w:val="20"/>
          <w:szCs w:val="20"/>
          <w:lang w:val="en-US"/>
        </w:rPr>
      </w:pPr>
      <w:r w:rsidRPr="00B41DA2">
        <w:rPr>
          <w:rFonts w:ascii="Times New Roman" w:hAnsi="Times New Roman"/>
          <w:sz w:val="20"/>
          <w:szCs w:val="20"/>
          <w:lang w:val="en-US"/>
        </w:rPr>
        <w:t xml:space="preserve">Background: The Women's Health Initiative (WHI) low fat (20% kcal) diet modification (DM) trial (1993-2005) demonstrated a non-significant reduction in breast cancer, a nominally significant reduction in ovarian cancer and no effect on other cancers (mean 8.3 years intervention). Consent to non-intervention follow-up was 83% (n=37,858). This analysis was designed to assess post-intervention cancer risk in women randomized to the low-fat diet (40%) versus usual diet comparison (60%). Methods: Randomized, controlled low fat diet intervention for prevention of breast and colorectal cancers conducted in 48,835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U.S. women, aged 50-79 years at 40 U.S. sites. Outcomes included total invasive cancer, breast and colorectal cancer, cancer-specific and overall mortality. Results: There were no intervention effects on invasive breast 1.08 (0.94, 1.24) or colorectal cancer, other cancers, cancer-specific or overall mortality during the post-intervention period or the combined intervention and follow-up periods. For invasive breast cancer, the HRs were 0.92 (0.84, 1.01) during intervention, during the post-intervention period, and 0.97 (0.89, 1.05) during cumulative follow up. A reduced risk for estrogen receptor positive/progesterone receptor negative tumors was demonstrated during follow-up. Women with higher baseline fat intake (quartile), point estimates of breast cancer risk were HR-0.76; 0.62, 0.92 during intervention versus HR-1.11; 0.84, 1.4 during post-intervention follow-up (p-diff=.03). Conclusions: Dietary fat intake rose post-intervention in intervention women; no long-term reduction in cancer risk or mortality was shown in the WHI DM trial. Impact: Dietary advisement to reduce fat for cancer prevention after </w:t>
      </w:r>
      <w:r w:rsidRPr="00B41DA2">
        <w:rPr>
          <w:rStyle w:val="highlight2"/>
          <w:rFonts w:ascii="Times New Roman" w:hAnsi="Times New Roman"/>
          <w:sz w:val="20"/>
          <w:szCs w:val="20"/>
          <w:lang w:val="en-US"/>
        </w:rPr>
        <w:t>menopause</w:t>
      </w:r>
      <w:r w:rsidRPr="00B41DA2">
        <w:rPr>
          <w:rFonts w:ascii="Times New Roman" w:hAnsi="Times New Roman"/>
          <w:sz w:val="20"/>
          <w:szCs w:val="20"/>
          <w:lang w:val="en-US"/>
        </w:rPr>
        <w:t xml:space="preserve"> generally was not supported by the WHI DM trial.</w:t>
      </w:r>
    </w:p>
    <w:p w:rsidR="00AF3195" w:rsidRPr="00B41DA2" w:rsidRDefault="00AF3195" w:rsidP="00C91825">
      <w:pPr>
        <w:pStyle w:val="Sinespaciado"/>
        <w:jc w:val="both"/>
        <w:rPr>
          <w:rFonts w:ascii="Times New Roman" w:hAnsi="Times New Roman"/>
          <w:b/>
          <w:sz w:val="20"/>
          <w:szCs w:val="20"/>
          <w:lang w:val="en-US"/>
        </w:rPr>
      </w:pPr>
    </w:p>
    <w:p w:rsidR="00AF3195" w:rsidRPr="00B41DA2" w:rsidRDefault="00AF3195" w:rsidP="00C91825">
      <w:pPr>
        <w:pStyle w:val="Sinespaciado"/>
        <w:jc w:val="both"/>
        <w:rPr>
          <w:rFonts w:ascii="Times New Roman" w:hAnsi="Times New Roman"/>
          <w:b/>
          <w:sz w:val="20"/>
          <w:szCs w:val="20"/>
          <w:lang w:val="en-US"/>
        </w:rPr>
      </w:pPr>
    </w:p>
    <w:p w:rsidR="00AF3195" w:rsidRPr="00B41DA2" w:rsidRDefault="003A3B2E" w:rsidP="00C91825">
      <w:pPr>
        <w:pStyle w:val="Sinespaciado"/>
        <w:jc w:val="both"/>
        <w:rPr>
          <w:rFonts w:ascii="Times New Roman" w:hAnsi="Times New Roman"/>
          <w:b/>
          <w:color w:val="FF0000"/>
          <w:sz w:val="20"/>
          <w:szCs w:val="20"/>
          <w:lang w:val="en-US"/>
        </w:rPr>
      </w:pPr>
      <w:hyperlink r:id="rId27" w:tooltip="Fertility and sterility." w:history="1">
        <w:r w:rsidR="00AF3195" w:rsidRPr="00B41DA2">
          <w:rPr>
            <w:rFonts w:ascii="Times New Roman" w:hAnsi="Times New Roman"/>
            <w:b/>
            <w:color w:val="FF0000"/>
            <w:sz w:val="20"/>
            <w:szCs w:val="20"/>
            <w:lang w:val="en-US"/>
          </w:rPr>
          <w:t>Fertil Steril.</w:t>
        </w:r>
      </w:hyperlink>
      <w:r w:rsidR="00AF3195" w:rsidRPr="00B41DA2">
        <w:rPr>
          <w:rFonts w:ascii="Times New Roman" w:hAnsi="Times New Roman"/>
          <w:b/>
          <w:color w:val="FF0000"/>
          <w:sz w:val="20"/>
          <w:szCs w:val="20"/>
          <w:lang w:val="en-US"/>
        </w:rPr>
        <w:t xml:space="preserve"> 2014 Sep 23. pii: S0015-0282(14)02075-5. doi: 10.1016/j.fertnstert.2014.08.016. [Epub ahead of print]</w:t>
      </w:r>
    </w:p>
    <w:p w:rsidR="00AF3195" w:rsidRPr="00B41DA2" w:rsidRDefault="00AF3195" w:rsidP="00C91825">
      <w:pPr>
        <w:pStyle w:val="Sinespaciado"/>
        <w:jc w:val="both"/>
        <w:rPr>
          <w:rFonts w:ascii="Times New Roman" w:hAnsi="Times New Roman"/>
          <w:b/>
          <w:color w:val="3333FF"/>
          <w:sz w:val="28"/>
          <w:szCs w:val="28"/>
          <w:lang w:val="en-US"/>
        </w:rPr>
      </w:pPr>
      <w:r w:rsidRPr="00B41DA2">
        <w:rPr>
          <w:rFonts w:ascii="Times New Roman" w:hAnsi="Times New Roman"/>
          <w:b/>
          <w:color w:val="3333FF"/>
          <w:sz w:val="28"/>
          <w:szCs w:val="28"/>
          <w:lang w:val="en-US"/>
        </w:rPr>
        <w:t>Magnitude of the impact of hot flashes on sleep in perimenopausal women.</w:t>
      </w:r>
    </w:p>
    <w:p w:rsidR="00AF3195" w:rsidRPr="00C63EE9" w:rsidRDefault="003A3B2E" w:rsidP="00C91825">
      <w:pPr>
        <w:pStyle w:val="Sinespaciado"/>
        <w:jc w:val="both"/>
        <w:rPr>
          <w:rFonts w:ascii="Times New Roman" w:hAnsi="Times New Roman"/>
          <w:sz w:val="20"/>
          <w:szCs w:val="20"/>
          <w:lang w:val="en-US"/>
        </w:rPr>
      </w:pPr>
      <w:hyperlink r:id="rId28" w:history="1">
        <w:r w:rsidR="00AF3195" w:rsidRPr="00C63EE9">
          <w:rPr>
            <w:rFonts w:ascii="Times New Roman" w:hAnsi="Times New Roman"/>
            <w:sz w:val="20"/>
            <w:szCs w:val="20"/>
            <w:lang w:val="en-US"/>
          </w:rPr>
          <w:t>de Zambotti M</w:t>
        </w:r>
      </w:hyperlink>
      <w:r w:rsidR="00AF3195" w:rsidRPr="00C63EE9">
        <w:rPr>
          <w:rFonts w:ascii="Times New Roman" w:hAnsi="Times New Roman"/>
          <w:sz w:val="20"/>
          <w:szCs w:val="20"/>
          <w:vertAlign w:val="superscript"/>
          <w:lang w:val="en-US"/>
        </w:rPr>
        <w:t>1</w:t>
      </w:r>
      <w:r w:rsidR="00AF3195" w:rsidRPr="00C63EE9">
        <w:rPr>
          <w:rFonts w:ascii="Times New Roman" w:hAnsi="Times New Roman"/>
          <w:sz w:val="20"/>
          <w:szCs w:val="20"/>
          <w:lang w:val="en-US"/>
        </w:rPr>
        <w:t xml:space="preserve">, </w:t>
      </w:r>
      <w:hyperlink r:id="rId29" w:history="1">
        <w:r w:rsidR="00AF3195" w:rsidRPr="00C63EE9">
          <w:rPr>
            <w:rFonts w:ascii="Times New Roman" w:hAnsi="Times New Roman"/>
            <w:sz w:val="20"/>
            <w:szCs w:val="20"/>
            <w:lang w:val="en-US"/>
          </w:rPr>
          <w:t>Colrain IM</w:t>
        </w:r>
      </w:hyperlink>
      <w:r w:rsidR="00AF3195" w:rsidRPr="00C63EE9">
        <w:rPr>
          <w:rFonts w:ascii="Times New Roman" w:hAnsi="Times New Roman"/>
          <w:sz w:val="20"/>
          <w:szCs w:val="20"/>
          <w:vertAlign w:val="superscript"/>
          <w:lang w:val="en-US"/>
        </w:rPr>
        <w:t>2</w:t>
      </w:r>
      <w:r w:rsidR="00AF3195" w:rsidRPr="00C63EE9">
        <w:rPr>
          <w:rFonts w:ascii="Times New Roman" w:hAnsi="Times New Roman"/>
          <w:sz w:val="20"/>
          <w:szCs w:val="20"/>
          <w:lang w:val="en-US"/>
        </w:rPr>
        <w:t xml:space="preserve">, </w:t>
      </w:r>
      <w:hyperlink r:id="rId30" w:history="1">
        <w:r w:rsidR="00AF3195" w:rsidRPr="00C63EE9">
          <w:rPr>
            <w:rFonts w:ascii="Times New Roman" w:hAnsi="Times New Roman"/>
            <w:sz w:val="20"/>
            <w:szCs w:val="20"/>
            <w:lang w:val="en-US"/>
          </w:rPr>
          <w:t>Javitz HS</w:t>
        </w:r>
      </w:hyperlink>
      <w:r w:rsidR="00AF3195" w:rsidRPr="00C63EE9">
        <w:rPr>
          <w:rFonts w:ascii="Times New Roman" w:hAnsi="Times New Roman"/>
          <w:sz w:val="20"/>
          <w:szCs w:val="20"/>
          <w:vertAlign w:val="superscript"/>
          <w:lang w:val="en-US"/>
        </w:rPr>
        <w:t>1</w:t>
      </w:r>
      <w:r w:rsidR="00AF3195" w:rsidRPr="00C63EE9">
        <w:rPr>
          <w:rFonts w:ascii="Times New Roman" w:hAnsi="Times New Roman"/>
          <w:sz w:val="20"/>
          <w:szCs w:val="20"/>
          <w:lang w:val="en-US"/>
        </w:rPr>
        <w:t xml:space="preserve">, </w:t>
      </w:r>
      <w:hyperlink r:id="rId31" w:history="1">
        <w:r w:rsidR="00AF3195" w:rsidRPr="00C63EE9">
          <w:rPr>
            <w:rFonts w:ascii="Times New Roman" w:hAnsi="Times New Roman"/>
            <w:sz w:val="20"/>
            <w:szCs w:val="20"/>
            <w:lang w:val="en-US"/>
          </w:rPr>
          <w:t>Baker FC</w:t>
        </w:r>
      </w:hyperlink>
      <w:r w:rsidR="00AF3195" w:rsidRPr="00C63EE9">
        <w:rPr>
          <w:rFonts w:ascii="Times New Roman" w:hAnsi="Times New Roman"/>
          <w:sz w:val="20"/>
          <w:szCs w:val="20"/>
          <w:vertAlign w:val="superscript"/>
          <w:lang w:val="en-US"/>
        </w:rPr>
        <w:t>3</w:t>
      </w:r>
      <w:r w:rsidR="00AF3195" w:rsidRPr="00C63EE9">
        <w:rPr>
          <w:rFonts w:ascii="Times New Roman" w:hAnsi="Times New Roman"/>
          <w:sz w:val="20"/>
          <w:szCs w:val="20"/>
          <w:lang w:val="en-US"/>
        </w:rPr>
        <w:t>.</w:t>
      </w:r>
    </w:p>
    <w:p w:rsidR="00AF3195" w:rsidRPr="00B41DA2" w:rsidRDefault="00AF3195" w:rsidP="00C91825">
      <w:pPr>
        <w:pStyle w:val="Sinespaciado"/>
        <w:jc w:val="both"/>
        <w:rPr>
          <w:rFonts w:ascii="Times New Roman" w:hAnsi="Times New Roman"/>
          <w:sz w:val="20"/>
          <w:szCs w:val="20"/>
          <w:lang w:val="en-US"/>
        </w:rPr>
      </w:pPr>
      <w:r w:rsidRPr="00B41DA2">
        <w:rPr>
          <w:rFonts w:ascii="Times New Roman" w:hAnsi="Times New Roman"/>
          <w:sz w:val="20"/>
          <w:szCs w:val="20"/>
          <w:lang w:val="en-US"/>
        </w:rPr>
        <w:lastRenderedPageBreak/>
        <w:t>OBJECTIVE: To quantify the impact of objectively recorded hot flashes on objective sleep in perimenopausal women.</w:t>
      </w:r>
      <w:r w:rsidR="00B41DA2">
        <w:rPr>
          <w:rFonts w:ascii="Times New Roman" w:hAnsi="Times New Roman"/>
          <w:sz w:val="20"/>
          <w:szCs w:val="20"/>
          <w:lang w:val="en-US"/>
        </w:rPr>
        <w:t xml:space="preserve"> </w:t>
      </w:r>
      <w:r w:rsidRPr="00B41DA2">
        <w:rPr>
          <w:rFonts w:ascii="Times New Roman" w:hAnsi="Times New Roman"/>
          <w:sz w:val="20"/>
          <w:szCs w:val="20"/>
          <w:lang w:val="en-US"/>
        </w:rPr>
        <w:t>DESIGN: Cross-sectional study. Participants underwent 1-5 laboratory-based polysomnographic recordings for a total of 63 nights, including sternal skin-conductance measures, from which 222 hot flashes were identified according to established criteria. Data were analyzed with hierarchical mixed-effect models and Spearman's rank correlations.</w:t>
      </w:r>
      <w:r w:rsidR="00B41DA2">
        <w:rPr>
          <w:rFonts w:ascii="Times New Roman" w:hAnsi="Times New Roman"/>
          <w:sz w:val="20"/>
          <w:szCs w:val="20"/>
          <w:lang w:val="en-US"/>
        </w:rPr>
        <w:t xml:space="preserve"> </w:t>
      </w:r>
      <w:r w:rsidRPr="00B41DA2">
        <w:rPr>
          <w:rFonts w:ascii="Times New Roman" w:hAnsi="Times New Roman"/>
          <w:sz w:val="20"/>
          <w:szCs w:val="20"/>
          <w:lang w:val="en-US"/>
        </w:rPr>
        <w:t>SETTING: Sleep laboratory.</w:t>
      </w:r>
      <w:r w:rsidR="00B41DA2">
        <w:rPr>
          <w:rFonts w:ascii="Times New Roman" w:hAnsi="Times New Roman"/>
          <w:sz w:val="20"/>
          <w:szCs w:val="20"/>
          <w:lang w:val="en-US"/>
        </w:rPr>
        <w:t xml:space="preserve"> </w:t>
      </w:r>
      <w:r w:rsidRPr="00B41DA2">
        <w:rPr>
          <w:rFonts w:ascii="Times New Roman" w:hAnsi="Times New Roman"/>
          <w:sz w:val="20"/>
          <w:szCs w:val="20"/>
          <w:lang w:val="en-US"/>
        </w:rPr>
        <w:t>PATIENT(S): Thirty-four perimenopausal women (age ± SD: 50.4 ± 2.7 years).</w:t>
      </w:r>
      <w:r w:rsidR="00B41DA2">
        <w:rPr>
          <w:rFonts w:ascii="Times New Roman" w:hAnsi="Times New Roman"/>
          <w:sz w:val="20"/>
          <w:szCs w:val="20"/>
          <w:lang w:val="en-US"/>
        </w:rPr>
        <w:t xml:space="preserve"> </w:t>
      </w:r>
      <w:r w:rsidRPr="00B41DA2">
        <w:rPr>
          <w:rFonts w:ascii="Times New Roman" w:hAnsi="Times New Roman"/>
          <w:sz w:val="20"/>
          <w:szCs w:val="20"/>
          <w:lang w:val="en-US"/>
        </w:rPr>
        <w:t>INTERVENTION(S): None.</w:t>
      </w:r>
      <w:r w:rsidR="00B41DA2">
        <w:rPr>
          <w:rFonts w:ascii="Times New Roman" w:hAnsi="Times New Roman"/>
          <w:sz w:val="20"/>
          <w:szCs w:val="20"/>
          <w:lang w:val="en-US"/>
        </w:rPr>
        <w:t xml:space="preserve"> </w:t>
      </w:r>
      <w:r w:rsidRPr="00B41DA2">
        <w:rPr>
          <w:rFonts w:ascii="Times New Roman" w:hAnsi="Times New Roman"/>
          <w:sz w:val="20"/>
          <w:szCs w:val="20"/>
          <w:lang w:val="en-US"/>
        </w:rPr>
        <w:t>MAIN OUTCOME MEASURE(S): Perceived and polysomnographic sleep measures (sleep quality, amount of time spent awake after sleep onset, and number of awakenings). Subjective (frequency and level of bother) and objective (frequency and amount of hot flash-associated awake time) hot-flash measures.</w:t>
      </w:r>
      <w:r w:rsidR="00B41DA2">
        <w:rPr>
          <w:rFonts w:ascii="Times New Roman" w:hAnsi="Times New Roman"/>
          <w:sz w:val="20"/>
          <w:szCs w:val="20"/>
          <w:lang w:val="en-US"/>
        </w:rPr>
        <w:t xml:space="preserve"> </w:t>
      </w:r>
      <w:r w:rsidRPr="00B41DA2">
        <w:rPr>
          <w:rFonts w:ascii="Times New Roman" w:hAnsi="Times New Roman"/>
          <w:sz w:val="20"/>
          <w:szCs w:val="20"/>
          <w:lang w:val="en-US"/>
        </w:rPr>
        <w:t>RESULT(S): Women had an average of 3.5 (95% confidence interval: 2.8-4.2, range = 1-9) objective hot flashes per night. A total of 69.4% of hot flashes were associated with an awakening. Hot flash-associated time awake per night was, on average, 16.6 minutes (95% confidence interval: 10.8-22.4 minutes), which accounted for 27.2% (SD 27.1) of total awake time per night. Hot flash-associated time awake, but not hot flash frequency, was negatively associated with sleep efficiency and positively associated with waking after sleep onset. In addition, self-reported wakefulness correlated with hot flash-associated waking, suggesting that women's estimates of wakefulness are influenced by the amount of time spent awake in association with hot flashes during the night. Having more perceived and bothersome hot flashes was correlated with more perceived wakefulness and awakenings and more objective hot flash-associated time awake and hot-flash frequency.</w:t>
      </w:r>
      <w:r w:rsidR="00B41DA2">
        <w:rPr>
          <w:rFonts w:ascii="Times New Roman" w:hAnsi="Times New Roman"/>
          <w:sz w:val="20"/>
          <w:szCs w:val="20"/>
          <w:lang w:val="en-US"/>
        </w:rPr>
        <w:t xml:space="preserve"> </w:t>
      </w:r>
      <w:r w:rsidRPr="00B41DA2">
        <w:rPr>
          <w:rFonts w:ascii="Times New Roman" w:hAnsi="Times New Roman"/>
          <w:sz w:val="20"/>
          <w:szCs w:val="20"/>
          <w:lang w:val="en-US"/>
        </w:rPr>
        <w:t>CONCLUSION(S): The presence of physiological hot flashes accounts for a significant proportion of total objective time awake during the night in perimenopausal women.</w:t>
      </w:r>
    </w:p>
    <w:p w:rsidR="00AF3195" w:rsidRPr="00B41DA2" w:rsidRDefault="00AF3195" w:rsidP="00C91825">
      <w:pPr>
        <w:pStyle w:val="Sinespaciado"/>
        <w:jc w:val="both"/>
        <w:rPr>
          <w:rFonts w:ascii="Times New Roman" w:hAnsi="Times New Roman"/>
          <w:b/>
          <w:sz w:val="20"/>
          <w:szCs w:val="20"/>
          <w:lang w:val="en-US"/>
        </w:rPr>
      </w:pPr>
    </w:p>
    <w:p w:rsidR="00AF3195" w:rsidRPr="00B41DA2" w:rsidRDefault="00AF3195" w:rsidP="00C91825">
      <w:pPr>
        <w:pStyle w:val="Sinespaciado"/>
        <w:jc w:val="both"/>
        <w:rPr>
          <w:rFonts w:ascii="Times New Roman" w:hAnsi="Times New Roman"/>
          <w:b/>
          <w:sz w:val="20"/>
          <w:szCs w:val="20"/>
          <w:lang w:val="en-US"/>
        </w:rPr>
      </w:pPr>
    </w:p>
    <w:p w:rsidR="00AF3195" w:rsidRPr="00B41DA2" w:rsidRDefault="003A3B2E" w:rsidP="00C91825">
      <w:pPr>
        <w:pStyle w:val="Sinespaciado"/>
        <w:jc w:val="both"/>
        <w:rPr>
          <w:rFonts w:ascii="Times New Roman" w:hAnsi="Times New Roman"/>
          <w:b/>
          <w:color w:val="FF0000"/>
          <w:sz w:val="20"/>
          <w:szCs w:val="20"/>
          <w:lang w:val="en-US"/>
        </w:rPr>
      </w:pPr>
      <w:hyperlink r:id="rId32" w:tooltip="Journal of bone metabolism." w:history="1">
        <w:r w:rsidR="00AF3195" w:rsidRPr="00B41DA2">
          <w:rPr>
            <w:rFonts w:ascii="Times New Roman" w:hAnsi="Times New Roman"/>
            <w:b/>
            <w:color w:val="FF0000"/>
            <w:sz w:val="20"/>
            <w:szCs w:val="20"/>
            <w:lang w:val="en-US"/>
          </w:rPr>
          <w:t>J Bone Metab.</w:t>
        </w:r>
      </w:hyperlink>
      <w:r w:rsidR="00AF3195" w:rsidRPr="00B41DA2">
        <w:rPr>
          <w:rFonts w:ascii="Times New Roman" w:hAnsi="Times New Roman"/>
          <w:b/>
          <w:color w:val="FF0000"/>
          <w:sz w:val="20"/>
          <w:szCs w:val="20"/>
          <w:lang w:val="en-US"/>
        </w:rPr>
        <w:t xml:space="preserve"> 2014 Aug;21(3):189-94. doi: 10.11005/jbm.2014.21.3.189. Epub 2014 Aug 31.</w:t>
      </w:r>
    </w:p>
    <w:p w:rsidR="00AF3195" w:rsidRPr="00B41DA2" w:rsidRDefault="00AF3195" w:rsidP="00C91825">
      <w:pPr>
        <w:pStyle w:val="Sinespaciado"/>
        <w:jc w:val="both"/>
        <w:rPr>
          <w:rFonts w:ascii="Times New Roman" w:hAnsi="Times New Roman"/>
          <w:b/>
          <w:color w:val="3333FF"/>
          <w:sz w:val="28"/>
          <w:szCs w:val="28"/>
          <w:lang w:val="en-US"/>
        </w:rPr>
      </w:pPr>
      <w:r w:rsidRPr="00B41DA2">
        <w:rPr>
          <w:rFonts w:ascii="Times New Roman" w:hAnsi="Times New Roman"/>
          <w:b/>
          <w:color w:val="3333FF"/>
          <w:sz w:val="28"/>
          <w:szCs w:val="28"/>
          <w:lang w:val="en-US"/>
        </w:rPr>
        <w:t>High Dietary Sodium Intake Assessed by 24-hour Urine Specimen Increase Urinary Calcium Excretion and Bone Resorption Marker.</w:t>
      </w:r>
    </w:p>
    <w:p w:rsidR="00AF3195" w:rsidRPr="00B41DA2" w:rsidRDefault="003A3B2E" w:rsidP="00C91825">
      <w:pPr>
        <w:pStyle w:val="Sinespaciado"/>
        <w:jc w:val="both"/>
        <w:rPr>
          <w:rFonts w:ascii="Times New Roman" w:hAnsi="Times New Roman"/>
          <w:sz w:val="20"/>
          <w:szCs w:val="20"/>
          <w:lang w:val="en-US"/>
        </w:rPr>
      </w:pPr>
      <w:hyperlink r:id="rId33" w:history="1">
        <w:r w:rsidR="00AF3195" w:rsidRPr="00B41DA2">
          <w:rPr>
            <w:rFonts w:ascii="Times New Roman" w:hAnsi="Times New Roman"/>
            <w:sz w:val="20"/>
            <w:szCs w:val="20"/>
            <w:lang w:val="en-US"/>
          </w:rPr>
          <w:t>Park SM</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34" w:history="1">
        <w:r w:rsidR="00AF3195" w:rsidRPr="00B41DA2">
          <w:rPr>
            <w:rFonts w:ascii="Times New Roman" w:hAnsi="Times New Roman"/>
            <w:sz w:val="20"/>
            <w:szCs w:val="20"/>
            <w:lang w:val="en-US"/>
          </w:rPr>
          <w:t>Jee J</w:t>
        </w:r>
      </w:hyperlink>
      <w:r w:rsidR="00AF3195" w:rsidRPr="00B41DA2">
        <w:rPr>
          <w:rFonts w:ascii="Times New Roman" w:hAnsi="Times New Roman"/>
          <w:sz w:val="20"/>
          <w:szCs w:val="20"/>
          <w:vertAlign w:val="superscript"/>
          <w:lang w:val="en-US"/>
        </w:rPr>
        <w:t>2</w:t>
      </w:r>
      <w:r w:rsidR="00AF3195" w:rsidRPr="00B41DA2">
        <w:rPr>
          <w:rFonts w:ascii="Times New Roman" w:hAnsi="Times New Roman"/>
          <w:sz w:val="20"/>
          <w:szCs w:val="20"/>
          <w:lang w:val="en-US"/>
        </w:rPr>
        <w:t xml:space="preserve">, </w:t>
      </w:r>
      <w:hyperlink r:id="rId35" w:history="1">
        <w:r w:rsidR="00AF3195" w:rsidRPr="00B41DA2">
          <w:rPr>
            <w:rFonts w:ascii="Times New Roman" w:hAnsi="Times New Roman"/>
            <w:sz w:val="20"/>
            <w:szCs w:val="20"/>
            <w:lang w:val="en-US"/>
          </w:rPr>
          <w:t>Joung JY</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36" w:history="1">
        <w:r w:rsidR="00AF3195" w:rsidRPr="00B41DA2">
          <w:rPr>
            <w:rFonts w:ascii="Times New Roman" w:hAnsi="Times New Roman"/>
            <w:sz w:val="20"/>
            <w:szCs w:val="20"/>
            <w:lang w:val="en-US"/>
          </w:rPr>
          <w:t>Cho YY</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37" w:history="1">
        <w:r w:rsidR="00AF3195" w:rsidRPr="00B41DA2">
          <w:rPr>
            <w:rFonts w:ascii="Times New Roman" w:hAnsi="Times New Roman"/>
            <w:sz w:val="20"/>
            <w:szCs w:val="20"/>
            <w:lang w:val="en-US"/>
          </w:rPr>
          <w:t>Sohn SY</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38" w:history="1">
        <w:r w:rsidR="00AF3195" w:rsidRPr="00B41DA2">
          <w:rPr>
            <w:rFonts w:ascii="Times New Roman" w:hAnsi="Times New Roman"/>
            <w:sz w:val="20"/>
            <w:szCs w:val="20"/>
            <w:lang w:val="en-US"/>
          </w:rPr>
          <w:t>Jin SM</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39" w:history="1">
        <w:r w:rsidR="00AF3195" w:rsidRPr="00B41DA2">
          <w:rPr>
            <w:rFonts w:ascii="Times New Roman" w:hAnsi="Times New Roman"/>
            <w:sz w:val="20"/>
            <w:szCs w:val="20"/>
            <w:lang w:val="en-US"/>
          </w:rPr>
          <w:t>Hur KY</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40" w:history="1">
        <w:r w:rsidR="00AF3195" w:rsidRPr="00B41DA2">
          <w:rPr>
            <w:rFonts w:ascii="Times New Roman" w:hAnsi="Times New Roman"/>
            <w:sz w:val="20"/>
            <w:szCs w:val="20"/>
            <w:lang w:val="en-US"/>
          </w:rPr>
          <w:t>Kim JH</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41" w:history="1">
        <w:r w:rsidR="00AF3195" w:rsidRPr="00B41DA2">
          <w:rPr>
            <w:rFonts w:ascii="Times New Roman" w:hAnsi="Times New Roman"/>
            <w:sz w:val="20"/>
            <w:szCs w:val="20"/>
            <w:lang w:val="en-US"/>
          </w:rPr>
          <w:t>Kim SW</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42" w:history="1">
        <w:r w:rsidR="00AF3195" w:rsidRPr="00B41DA2">
          <w:rPr>
            <w:rFonts w:ascii="Times New Roman" w:hAnsi="Times New Roman"/>
            <w:sz w:val="20"/>
            <w:szCs w:val="20"/>
            <w:lang w:val="en-US"/>
          </w:rPr>
          <w:t>Chung JH</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43" w:history="1">
        <w:r w:rsidR="00AF3195" w:rsidRPr="00B41DA2">
          <w:rPr>
            <w:rFonts w:ascii="Times New Roman" w:hAnsi="Times New Roman"/>
            <w:sz w:val="20"/>
            <w:szCs w:val="20"/>
            <w:lang w:val="en-US"/>
          </w:rPr>
          <w:t>Lee MK</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 xml:space="preserve">, </w:t>
      </w:r>
      <w:hyperlink r:id="rId44" w:history="1">
        <w:r w:rsidR="00AF3195" w:rsidRPr="00B41DA2">
          <w:rPr>
            <w:rFonts w:ascii="Times New Roman" w:hAnsi="Times New Roman"/>
            <w:sz w:val="20"/>
            <w:szCs w:val="20"/>
            <w:lang w:val="en-US"/>
          </w:rPr>
          <w:t>Min YK</w:t>
        </w:r>
      </w:hyperlink>
      <w:r w:rsidR="00AF3195" w:rsidRPr="00B41DA2">
        <w:rPr>
          <w:rFonts w:ascii="Times New Roman" w:hAnsi="Times New Roman"/>
          <w:sz w:val="20"/>
          <w:szCs w:val="20"/>
          <w:vertAlign w:val="superscript"/>
          <w:lang w:val="en-US"/>
        </w:rPr>
        <w:t>1</w:t>
      </w:r>
      <w:r w:rsidR="00AF3195" w:rsidRPr="00B41DA2">
        <w:rPr>
          <w:rFonts w:ascii="Times New Roman" w:hAnsi="Times New Roman"/>
          <w:sz w:val="20"/>
          <w:szCs w:val="20"/>
          <w:lang w:val="en-US"/>
        </w:rPr>
        <w:t>.</w:t>
      </w:r>
    </w:p>
    <w:p w:rsidR="00AF3195" w:rsidRPr="00B41DA2" w:rsidRDefault="00AF3195" w:rsidP="00C91825">
      <w:pPr>
        <w:pStyle w:val="Sinespaciado"/>
        <w:jc w:val="both"/>
        <w:rPr>
          <w:rFonts w:ascii="Times New Roman" w:hAnsi="Times New Roman"/>
          <w:sz w:val="20"/>
          <w:szCs w:val="20"/>
          <w:lang w:val="en-US"/>
        </w:rPr>
      </w:pPr>
      <w:r w:rsidRPr="00B41DA2">
        <w:rPr>
          <w:rFonts w:ascii="Times New Roman" w:hAnsi="Times New Roman"/>
          <w:sz w:val="20"/>
          <w:szCs w:val="20"/>
          <w:lang w:val="en-US"/>
        </w:rPr>
        <w:t xml:space="preserve">BACKGROUND: The average dietary sodium intake of Koreans is 2.6 times higher than the World Health Organization's recommended amount. The effect of a diet high in sodium on the skeletal system, especially </w:t>
      </w:r>
      <w:r w:rsidRPr="00B41DA2">
        <w:rPr>
          <w:rStyle w:val="highlight2"/>
          <w:rFonts w:ascii="Times New Roman" w:hAnsi="Times New Roman"/>
          <w:sz w:val="20"/>
          <w:szCs w:val="20"/>
          <w:lang w:val="en-US"/>
        </w:rPr>
        <w:t>osteoporosis</w:t>
      </w:r>
      <w:r w:rsidRPr="00B41DA2">
        <w:rPr>
          <w:rFonts w:ascii="Times New Roman" w:hAnsi="Times New Roman"/>
          <w:sz w:val="20"/>
          <w:szCs w:val="20"/>
          <w:lang w:val="en-US"/>
        </w:rPr>
        <w:t xml:space="preserve">, has not previously been examined in Korean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 low bone mass. We assessed the daily sodium intake, and determined the impact of sodium intake on urinary calcium excretion and bone resorption marker.</w:t>
      </w:r>
      <w:r w:rsidR="00B41DA2">
        <w:rPr>
          <w:rFonts w:ascii="Times New Roman" w:hAnsi="Times New Roman"/>
          <w:sz w:val="20"/>
          <w:szCs w:val="20"/>
          <w:lang w:val="en-US"/>
        </w:rPr>
        <w:t xml:space="preserve"> </w:t>
      </w:r>
      <w:r w:rsidRPr="00B41DA2">
        <w:rPr>
          <w:rFonts w:ascii="Times New Roman" w:hAnsi="Times New Roman"/>
          <w:sz w:val="20"/>
          <w:szCs w:val="20"/>
          <w:lang w:val="en-US"/>
        </w:rPr>
        <w:t xml:space="preserve">METHODS: A retrospective review of medical records was performed for 86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subjects who were initially diagnosed with osteopenia or </w:t>
      </w:r>
      <w:r w:rsidRPr="00B41DA2">
        <w:rPr>
          <w:rStyle w:val="highlight2"/>
          <w:rFonts w:ascii="Times New Roman" w:hAnsi="Times New Roman"/>
          <w:sz w:val="20"/>
          <w:szCs w:val="20"/>
          <w:lang w:val="en-US"/>
        </w:rPr>
        <w:t>osteoporosis</w:t>
      </w:r>
      <w:r w:rsidRPr="00B41DA2">
        <w:rPr>
          <w:rFonts w:ascii="Times New Roman" w:hAnsi="Times New Roman"/>
          <w:sz w:val="20"/>
          <w:szCs w:val="20"/>
          <w:lang w:val="en-US"/>
        </w:rPr>
        <w:t xml:space="preserve"> at the health promotion center. They were subsequently referred to the Division of Endocrinology and Metabolism between 2010 and 2013. All subjects completed a modified food frequency questionnaire. Twenty-four hour urine collection for sodium, calcium and creatinine excretion, and serum C-terminal telopeptides of type I collagen (CTX-I) were also obtained.</w:t>
      </w:r>
      <w:r w:rsidR="00B41DA2">
        <w:rPr>
          <w:rFonts w:ascii="Times New Roman" w:hAnsi="Times New Roman"/>
          <w:sz w:val="20"/>
          <w:szCs w:val="20"/>
          <w:lang w:val="en-US"/>
        </w:rPr>
        <w:t xml:space="preserve"> </w:t>
      </w:r>
      <w:r w:rsidRPr="00B41DA2">
        <w:rPr>
          <w:rFonts w:ascii="Times New Roman" w:hAnsi="Times New Roman"/>
          <w:sz w:val="20"/>
          <w:szCs w:val="20"/>
          <w:lang w:val="en-US"/>
        </w:rPr>
        <w:t>RESULTS: The average amount of daily sodium and calcium intake were 3,466 mg and 813 mg, respectively. Average dietary sodium intake and 24-hour urinary sodium excretion showed significant positive linear correlation (r=0.29, P=0.006). There was also a significant positive linear correlation between 24-hour urine sodium and calcium excretion (r=0.42, P&lt;0.001); CTX-I and 24-hour urinary calcium excretion (r=0.29, P=0.007).</w:t>
      </w:r>
      <w:r w:rsidR="00B41DA2">
        <w:rPr>
          <w:rFonts w:ascii="Times New Roman" w:hAnsi="Times New Roman"/>
          <w:sz w:val="20"/>
          <w:szCs w:val="20"/>
          <w:lang w:val="en-US"/>
        </w:rPr>
        <w:t xml:space="preserve"> </w:t>
      </w:r>
      <w:r w:rsidRPr="00B41DA2">
        <w:rPr>
          <w:rFonts w:ascii="Times New Roman" w:hAnsi="Times New Roman"/>
          <w:sz w:val="20"/>
          <w:szCs w:val="20"/>
          <w:lang w:val="en-US"/>
        </w:rPr>
        <w:t>CONCLUSIONS: Excessive sodium intake assessed by 24-hour urine specimen is associated with high calcium excretion in urine. High calcium excretion is also related to increasing bone resorption marker.</w:t>
      </w:r>
    </w:p>
    <w:p w:rsidR="00060BDB" w:rsidRPr="00B41DA2" w:rsidRDefault="00060BDB" w:rsidP="00C91825">
      <w:pPr>
        <w:pStyle w:val="Sinespaciado"/>
        <w:jc w:val="both"/>
        <w:rPr>
          <w:rFonts w:ascii="Times New Roman" w:hAnsi="Times New Roman"/>
          <w:b/>
          <w:sz w:val="20"/>
          <w:szCs w:val="20"/>
          <w:lang w:val="en-US"/>
        </w:rPr>
      </w:pPr>
    </w:p>
    <w:p w:rsidR="00060BDB" w:rsidRPr="00B41DA2" w:rsidRDefault="00060BDB" w:rsidP="00C91825">
      <w:pPr>
        <w:pStyle w:val="Sinespaciado"/>
        <w:jc w:val="both"/>
        <w:rPr>
          <w:rFonts w:ascii="Times New Roman" w:hAnsi="Times New Roman"/>
          <w:b/>
          <w:sz w:val="20"/>
          <w:szCs w:val="20"/>
          <w:lang w:val="en-US"/>
        </w:rPr>
      </w:pPr>
    </w:p>
    <w:p w:rsidR="00060BDB" w:rsidRPr="00B41DA2" w:rsidRDefault="003A3B2E" w:rsidP="00C91825">
      <w:pPr>
        <w:pStyle w:val="Sinespaciado"/>
        <w:jc w:val="both"/>
        <w:rPr>
          <w:rFonts w:ascii="Times New Roman" w:hAnsi="Times New Roman"/>
          <w:b/>
          <w:color w:val="FF0000"/>
          <w:sz w:val="20"/>
          <w:szCs w:val="20"/>
          <w:lang w:val="en-US"/>
        </w:rPr>
      </w:pPr>
      <w:hyperlink r:id="rId45" w:tooltip="Climacteric : the journal of the International Menopause Society." w:history="1">
        <w:r w:rsidR="00060BDB" w:rsidRPr="00B41DA2">
          <w:rPr>
            <w:rFonts w:ascii="Times New Roman" w:hAnsi="Times New Roman"/>
            <w:b/>
            <w:color w:val="FF0000"/>
            <w:sz w:val="20"/>
            <w:szCs w:val="20"/>
            <w:lang w:val="en-US"/>
          </w:rPr>
          <w:t>Climacteric.</w:t>
        </w:r>
      </w:hyperlink>
      <w:r w:rsidR="00060BDB" w:rsidRPr="00B41DA2">
        <w:rPr>
          <w:rFonts w:ascii="Times New Roman" w:hAnsi="Times New Roman"/>
          <w:b/>
          <w:color w:val="FF0000"/>
          <w:sz w:val="20"/>
          <w:szCs w:val="20"/>
          <w:lang w:val="en-US"/>
        </w:rPr>
        <w:t xml:space="preserve"> 2014 Sep 20:1-20. [Epub ahead of print]</w:t>
      </w:r>
    </w:p>
    <w:p w:rsidR="00060BDB" w:rsidRPr="00B41DA2" w:rsidRDefault="00060BDB" w:rsidP="00C91825">
      <w:pPr>
        <w:pStyle w:val="Sinespaciado"/>
        <w:jc w:val="both"/>
        <w:rPr>
          <w:rFonts w:ascii="Times New Roman" w:hAnsi="Times New Roman"/>
          <w:b/>
          <w:color w:val="3333FF"/>
          <w:sz w:val="28"/>
          <w:szCs w:val="28"/>
          <w:lang w:val="en-US"/>
        </w:rPr>
      </w:pPr>
      <w:r w:rsidRPr="00B41DA2">
        <w:rPr>
          <w:rFonts w:ascii="Times New Roman" w:hAnsi="Times New Roman"/>
          <w:b/>
          <w:color w:val="3333FF"/>
          <w:sz w:val="28"/>
          <w:szCs w:val="28"/>
          <w:lang w:val="en-US"/>
        </w:rPr>
        <w:t xml:space="preserve">Effects of estrogen therapy on </w:t>
      </w:r>
      <w:r w:rsidRPr="00B41DA2">
        <w:rPr>
          <w:rStyle w:val="highlight2"/>
          <w:rFonts w:ascii="Times New Roman" w:hAnsi="Times New Roman"/>
          <w:b/>
          <w:color w:val="3333FF"/>
          <w:sz w:val="28"/>
          <w:szCs w:val="28"/>
          <w:lang w:val="en-US"/>
        </w:rPr>
        <w:t>postmenopausal</w:t>
      </w:r>
      <w:r w:rsidRPr="00B41DA2">
        <w:rPr>
          <w:rFonts w:ascii="Times New Roman" w:hAnsi="Times New Roman"/>
          <w:b/>
          <w:color w:val="3333FF"/>
          <w:sz w:val="28"/>
          <w:szCs w:val="28"/>
          <w:lang w:val="en-US"/>
        </w:rPr>
        <w:t xml:space="preserve"> sleep quality regardless of vasomotor symptoms: a randomized trial.</w:t>
      </w:r>
    </w:p>
    <w:p w:rsidR="00060BDB" w:rsidRPr="00B41DA2" w:rsidRDefault="003A3B2E" w:rsidP="00C91825">
      <w:pPr>
        <w:pStyle w:val="Sinespaciado"/>
        <w:jc w:val="both"/>
        <w:rPr>
          <w:rFonts w:ascii="Times New Roman" w:hAnsi="Times New Roman"/>
          <w:sz w:val="20"/>
          <w:szCs w:val="20"/>
          <w:lang w:val="en-US"/>
        </w:rPr>
      </w:pPr>
      <w:hyperlink r:id="rId46" w:history="1">
        <w:r w:rsidR="00060BDB" w:rsidRPr="00B41DA2">
          <w:rPr>
            <w:rFonts w:ascii="Times New Roman" w:hAnsi="Times New Roman"/>
            <w:sz w:val="20"/>
            <w:szCs w:val="20"/>
            <w:lang w:val="en-US"/>
          </w:rPr>
          <w:t>Tansupswatdikul P</w:t>
        </w:r>
      </w:hyperlink>
      <w:r w:rsidR="00060BDB" w:rsidRPr="00B41DA2">
        <w:rPr>
          <w:rFonts w:ascii="Times New Roman" w:hAnsi="Times New Roman"/>
          <w:sz w:val="20"/>
          <w:szCs w:val="20"/>
          <w:lang w:val="en-US"/>
        </w:rPr>
        <w:t xml:space="preserve">, </w:t>
      </w:r>
      <w:hyperlink r:id="rId47" w:history="1">
        <w:r w:rsidR="00060BDB" w:rsidRPr="00B41DA2">
          <w:rPr>
            <w:rFonts w:ascii="Times New Roman" w:hAnsi="Times New Roman"/>
            <w:sz w:val="20"/>
            <w:szCs w:val="20"/>
            <w:lang w:val="en-US"/>
          </w:rPr>
          <w:t>Chatkittisilpa S</w:t>
        </w:r>
      </w:hyperlink>
      <w:r w:rsidR="00060BDB" w:rsidRPr="00B41DA2">
        <w:rPr>
          <w:rFonts w:ascii="Times New Roman" w:hAnsi="Times New Roman"/>
          <w:sz w:val="20"/>
          <w:szCs w:val="20"/>
          <w:lang w:val="en-US"/>
        </w:rPr>
        <w:t xml:space="preserve">, </w:t>
      </w:r>
      <w:hyperlink r:id="rId48" w:history="1">
        <w:r w:rsidR="00060BDB" w:rsidRPr="00B41DA2">
          <w:rPr>
            <w:rFonts w:ascii="Times New Roman" w:hAnsi="Times New Roman"/>
            <w:sz w:val="20"/>
            <w:szCs w:val="20"/>
            <w:lang w:val="en-US"/>
          </w:rPr>
          <w:t>Jaimchariyatam N</w:t>
        </w:r>
      </w:hyperlink>
      <w:r w:rsidR="00060BDB" w:rsidRPr="00B41DA2">
        <w:rPr>
          <w:rFonts w:ascii="Times New Roman" w:hAnsi="Times New Roman"/>
          <w:sz w:val="20"/>
          <w:szCs w:val="20"/>
          <w:lang w:val="en-US"/>
        </w:rPr>
        <w:t xml:space="preserve">, </w:t>
      </w:r>
      <w:hyperlink r:id="rId49" w:history="1">
        <w:r w:rsidR="00060BDB" w:rsidRPr="00B41DA2">
          <w:rPr>
            <w:rFonts w:ascii="Times New Roman" w:hAnsi="Times New Roman"/>
            <w:sz w:val="20"/>
            <w:szCs w:val="20"/>
            <w:lang w:val="en-US"/>
          </w:rPr>
          <w:t>Panyakhamlerd K</w:t>
        </w:r>
      </w:hyperlink>
      <w:r w:rsidR="00060BDB" w:rsidRPr="00B41DA2">
        <w:rPr>
          <w:rFonts w:ascii="Times New Roman" w:hAnsi="Times New Roman"/>
          <w:sz w:val="20"/>
          <w:szCs w:val="20"/>
          <w:lang w:val="en-US"/>
        </w:rPr>
        <w:t xml:space="preserve">, </w:t>
      </w:r>
      <w:hyperlink r:id="rId50" w:history="1">
        <w:r w:rsidR="00060BDB" w:rsidRPr="00B41DA2">
          <w:rPr>
            <w:rFonts w:ascii="Times New Roman" w:hAnsi="Times New Roman"/>
            <w:sz w:val="20"/>
            <w:szCs w:val="20"/>
            <w:lang w:val="en-US"/>
          </w:rPr>
          <w:t>Jaisamrarn U</w:t>
        </w:r>
      </w:hyperlink>
      <w:r w:rsidR="00060BDB" w:rsidRPr="00B41DA2">
        <w:rPr>
          <w:rFonts w:ascii="Times New Roman" w:hAnsi="Times New Roman"/>
          <w:sz w:val="20"/>
          <w:szCs w:val="20"/>
          <w:lang w:val="en-US"/>
        </w:rPr>
        <w:t xml:space="preserve">, </w:t>
      </w:r>
      <w:hyperlink r:id="rId51" w:history="1">
        <w:r w:rsidR="00060BDB" w:rsidRPr="00B41DA2">
          <w:rPr>
            <w:rFonts w:ascii="Times New Roman" w:hAnsi="Times New Roman"/>
            <w:sz w:val="20"/>
            <w:szCs w:val="20"/>
            <w:lang w:val="en-US"/>
          </w:rPr>
          <w:t>Taechakraichana N</w:t>
        </w:r>
      </w:hyperlink>
      <w:r w:rsidR="00060BDB" w:rsidRPr="00B41DA2">
        <w:rPr>
          <w:rFonts w:ascii="Times New Roman" w:hAnsi="Times New Roman"/>
          <w:sz w:val="20"/>
          <w:szCs w:val="20"/>
          <w:lang w:val="en-US"/>
        </w:rPr>
        <w:t>.</w:t>
      </w:r>
    </w:p>
    <w:p w:rsidR="00060BDB" w:rsidRPr="00B41DA2" w:rsidRDefault="00060BDB" w:rsidP="00C91825">
      <w:pPr>
        <w:pStyle w:val="Sinespaciado"/>
        <w:jc w:val="both"/>
        <w:rPr>
          <w:rFonts w:ascii="Times New Roman" w:hAnsi="Times New Roman"/>
          <w:sz w:val="20"/>
          <w:szCs w:val="20"/>
          <w:lang w:val="en-US"/>
        </w:rPr>
      </w:pPr>
      <w:r w:rsidRPr="00B41DA2">
        <w:rPr>
          <w:rFonts w:ascii="Times New Roman" w:hAnsi="Times New Roman"/>
          <w:sz w:val="20"/>
          <w:szCs w:val="20"/>
          <w:lang w:val="en-US"/>
        </w:rPr>
        <w:t xml:space="preserve">ABSTRACT Objective: To determine the effects of estrogen therapy over objective sleep quality in insomniac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without severe vasomotor symptoms (VMS) and/or recognized hot flushes during sleep. Study design: Randomized double-blinded, placebo-controlled trial, parallel design (ClinicalTrials.gov Identifier: NCT01501422). Methods: Forty insomniac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 no severe VMS and/or recognized hot flushes during sleep were randomized into 2 months' treatment with 50 micrograms of transdermal estradiol patch or placebo. Sleep quality was determined objectively with wrist actigraphy. Sleep efficiency (SE), total sleep time (TST), wake up after sleep onset (WASO) and numbers of awakening (NWAK) were compared before and after treatment. Insomnia Severity Index (ISI) and Epworth Sleepiness Scale (ESS) questionnaires were used as subjective sleep quality assessment before and after treatment. Results: The study showed no significantly difference over sleep efficiency improvement between women having estrogen alone or placebo (median 85.9 VS 85.2, respectively, P-value=0.71). Similarly, sleep quality scores assessed by ISI and ESS were not significantly different. Conclusion: Estrogen therapy in insomniac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without severe </w:t>
      </w:r>
      <w:r w:rsidRPr="00B41DA2">
        <w:rPr>
          <w:rFonts w:ascii="Times New Roman" w:hAnsi="Times New Roman"/>
          <w:sz w:val="20"/>
          <w:szCs w:val="20"/>
          <w:lang w:val="en-US"/>
        </w:rPr>
        <w:lastRenderedPageBreak/>
        <w:t>vasomotor symptoms and/or recognized hot flushes during sleep was not found to improve sleep efficiency during the study period.</w:t>
      </w:r>
    </w:p>
    <w:p w:rsidR="00AF3195" w:rsidRPr="00B41DA2" w:rsidRDefault="00AF3195" w:rsidP="00C91825">
      <w:pPr>
        <w:pStyle w:val="Sinespaciado"/>
        <w:jc w:val="both"/>
        <w:rPr>
          <w:rFonts w:ascii="Times New Roman" w:hAnsi="Times New Roman"/>
          <w:b/>
          <w:sz w:val="20"/>
          <w:szCs w:val="20"/>
          <w:lang w:val="en-US"/>
        </w:rPr>
      </w:pPr>
    </w:p>
    <w:p w:rsidR="00060BDB" w:rsidRPr="00B41DA2" w:rsidRDefault="00060BDB" w:rsidP="00C91825">
      <w:pPr>
        <w:pStyle w:val="Sinespaciado"/>
        <w:jc w:val="both"/>
        <w:rPr>
          <w:rFonts w:ascii="Times New Roman" w:hAnsi="Times New Roman"/>
          <w:b/>
          <w:sz w:val="20"/>
          <w:szCs w:val="20"/>
          <w:lang w:val="en-US"/>
        </w:rPr>
      </w:pPr>
    </w:p>
    <w:p w:rsidR="00060BDB" w:rsidRPr="00B41DA2" w:rsidRDefault="003A3B2E" w:rsidP="00C91825">
      <w:pPr>
        <w:pStyle w:val="Sinespaciado"/>
        <w:jc w:val="both"/>
        <w:rPr>
          <w:rFonts w:ascii="Times New Roman" w:hAnsi="Times New Roman"/>
          <w:b/>
          <w:color w:val="FF0000"/>
          <w:sz w:val="20"/>
          <w:szCs w:val="20"/>
          <w:lang w:val="en-US"/>
        </w:rPr>
      </w:pPr>
      <w:hyperlink r:id="rId52" w:tooltip="Endocrine journal." w:history="1">
        <w:r w:rsidR="00060BDB" w:rsidRPr="00B41DA2">
          <w:rPr>
            <w:rFonts w:ascii="Times New Roman" w:hAnsi="Times New Roman"/>
            <w:b/>
            <w:color w:val="FF0000"/>
            <w:sz w:val="20"/>
            <w:szCs w:val="20"/>
            <w:lang w:val="en-US"/>
          </w:rPr>
          <w:t>Endocr J.</w:t>
        </w:r>
      </w:hyperlink>
      <w:r w:rsidR="00060BDB" w:rsidRPr="00B41DA2">
        <w:rPr>
          <w:rFonts w:ascii="Times New Roman" w:hAnsi="Times New Roman"/>
          <w:b/>
          <w:color w:val="FF0000"/>
          <w:sz w:val="20"/>
          <w:szCs w:val="20"/>
          <w:lang w:val="en-US"/>
        </w:rPr>
        <w:t xml:space="preserve"> 2014 Sep 20. [Epub ahead of print]</w:t>
      </w:r>
    </w:p>
    <w:p w:rsidR="00060BDB" w:rsidRPr="00B41DA2" w:rsidRDefault="00060BDB" w:rsidP="00C91825">
      <w:pPr>
        <w:pStyle w:val="Sinespaciado"/>
        <w:jc w:val="both"/>
        <w:rPr>
          <w:rFonts w:ascii="Times New Roman" w:hAnsi="Times New Roman"/>
          <w:b/>
          <w:color w:val="3333FF"/>
          <w:sz w:val="28"/>
          <w:szCs w:val="28"/>
          <w:lang w:val="en-US"/>
        </w:rPr>
      </w:pPr>
      <w:r w:rsidRPr="00B41DA2">
        <w:rPr>
          <w:rFonts w:ascii="Times New Roman" w:hAnsi="Times New Roman"/>
          <w:b/>
          <w:color w:val="3333FF"/>
          <w:sz w:val="28"/>
          <w:szCs w:val="28"/>
          <w:lang w:val="en-US"/>
        </w:rPr>
        <w:t>Effect of high parathyroid hormone level on bone mineral density in a vitamin D-sufficient population: Korea National Health and Nutrition Examination Survey 2008-2010.</w:t>
      </w:r>
    </w:p>
    <w:p w:rsidR="00060BDB" w:rsidRPr="00B41DA2" w:rsidRDefault="003A3B2E" w:rsidP="00C91825">
      <w:pPr>
        <w:pStyle w:val="Sinespaciado"/>
        <w:jc w:val="both"/>
        <w:rPr>
          <w:rFonts w:ascii="Times New Roman" w:hAnsi="Times New Roman"/>
          <w:sz w:val="20"/>
          <w:szCs w:val="20"/>
          <w:lang w:val="en-US"/>
        </w:rPr>
      </w:pPr>
      <w:hyperlink r:id="rId53" w:history="1">
        <w:r w:rsidR="00060BDB" w:rsidRPr="00B41DA2">
          <w:rPr>
            <w:rFonts w:ascii="Times New Roman" w:hAnsi="Times New Roman"/>
            <w:sz w:val="20"/>
            <w:szCs w:val="20"/>
            <w:lang w:val="en-US"/>
          </w:rPr>
          <w:t>Kim SH</w:t>
        </w:r>
      </w:hyperlink>
      <w:r w:rsidR="00060BDB" w:rsidRPr="00B41DA2">
        <w:rPr>
          <w:rFonts w:ascii="Times New Roman" w:hAnsi="Times New Roman"/>
          <w:sz w:val="20"/>
          <w:szCs w:val="20"/>
          <w:vertAlign w:val="superscript"/>
          <w:lang w:val="en-US"/>
        </w:rPr>
        <w:t>1</w:t>
      </w:r>
      <w:r w:rsidR="00060BDB" w:rsidRPr="00B41DA2">
        <w:rPr>
          <w:rFonts w:ascii="Times New Roman" w:hAnsi="Times New Roman"/>
          <w:sz w:val="20"/>
          <w:szCs w:val="20"/>
          <w:lang w:val="en-US"/>
        </w:rPr>
        <w:t xml:space="preserve">, </w:t>
      </w:r>
      <w:hyperlink r:id="rId54" w:history="1">
        <w:r w:rsidR="00060BDB" w:rsidRPr="00B41DA2">
          <w:rPr>
            <w:rFonts w:ascii="Times New Roman" w:hAnsi="Times New Roman"/>
            <w:sz w:val="20"/>
            <w:szCs w:val="20"/>
            <w:lang w:val="en-US"/>
          </w:rPr>
          <w:t>Kim TH</w:t>
        </w:r>
      </w:hyperlink>
      <w:r w:rsidR="00060BDB" w:rsidRPr="00B41DA2">
        <w:rPr>
          <w:rFonts w:ascii="Times New Roman" w:hAnsi="Times New Roman"/>
          <w:sz w:val="20"/>
          <w:szCs w:val="20"/>
          <w:lang w:val="en-US"/>
        </w:rPr>
        <w:t xml:space="preserve">, </w:t>
      </w:r>
      <w:hyperlink r:id="rId55" w:history="1">
        <w:r w:rsidR="00060BDB" w:rsidRPr="00B41DA2">
          <w:rPr>
            <w:rFonts w:ascii="Times New Roman" w:hAnsi="Times New Roman"/>
            <w:sz w:val="20"/>
            <w:szCs w:val="20"/>
            <w:lang w:val="en-US"/>
          </w:rPr>
          <w:t>Kim SK</w:t>
        </w:r>
      </w:hyperlink>
      <w:r w:rsidR="00060BDB" w:rsidRPr="00B41DA2">
        <w:rPr>
          <w:rFonts w:ascii="Times New Roman" w:hAnsi="Times New Roman"/>
          <w:sz w:val="20"/>
          <w:szCs w:val="20"/>
          <w:lang w:val="en-US"/>
        </w:rPr>
        <w:t>.</w:t>
      </w:r>
    </w:p>
    <w:p w:rsidR="00060BDB" w:rsidRPr="00B41DA2" w:rsidRDefault="00060BDB" w:rsidP="00C91825">
      <w:pPr>
        <w:pStyle w:val="Sinespaciado"/>
        <w:jc w:val="both"/>
        <w:rPr>
          <w:rFonts w:ascii="Times New Roman" w:hAnsi="Times New Roman"/>
          <w:sz w:val="20"/>
          <w:szCs w:val="20"/>
          <w:lang w:val="en-US"/>
        </w:rPr>
      </w:pPr>
      <w:r w:rsidRPr="00B41DA2">
        <w:rPr>
          <w:rFonts w:ascii="Times New Roman" w:hAnsi="Times New Roman"/>
          <w:sz w:val="20"/>
          <w:szCs w:val="20"/>
          <w:lang w:val="en-US"/>
        </w:rPr>
        <w:t xml:space="preserve">The detrimental effect of high parathyroid hormone (PTH) on bone has not been adequately evaluated in vitamin D-sufficient Koreans. The aim of this study was to investigate the effect of high PTH on bone mineral density (BMD) in such a population. A total of 5,403 subjects (2,644 men and 2,759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≥50 years old) were selected from the 2008-2010 Korea National Health and Nutrition Examination Survey (KNHANES). Subjects were divided into four groups according to vitamin D status (&lt;20 and ≥20 ng/mL) and PTH levels (≤65 and &gt;65 pg/mL). Total hip and spine BMD were evaluated in each group. High PTH level was found in 50% of vitamin D-deficient subjects and 35% of vitamin D-sufficient subjects. In the vitamin D-deficient group, subjects with normal PTH level had higher total hip and spine BMD than those with high PTH after adjusting for multiple confounding factors, regardless of gender. In the vitamin D-sufficient group, only women with high PTH showed lower total hip and spine BMD than those with normal PTH. Multivariable linear regression analysis found that PTH level was independently associated with total hip BMD in vitamin D-sufficient women as well as vitamin D-insufficient women, but no association was found in men. In conclusion, high serum PTH level has an additive detrimental effect on BMD in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even though they had sufficient vitamin D levels.</w:t>
      </w:r>
    </w:p>
    <w:p w:rsidR="00060BDB" w:rsidRPr="00B41DA2" w:rsidRDefault="00060BDB" w:rsidP="00C91825">
      <w:pPr>
        <w:pStyle w:val="Sinespaciado"/>
        <w:jc w:val="both"/>
        <w:rPr>
          <w:rFonts w:ascii="Times New Roman" w:hAnsi="Times New Roman"/>
          <w:b/>
          <w:sz w:val="20"/>
          <w:szCs w:val="20"/>
          <w:lang w:val="en-US"/>
        </w:rPr>
      </w:pPr>
    </w:p>
    <w:p w:rsidR="00060BDB" w:rsidRPr="00B41DA2" w:rsidRDefault="00060BDB" w:rsidP="00C91825">
      <w:pPr>
        <w:pStyle w:val="Sinespaciado"/>
        <w:jc w:val="both"/>
        <w:rPr>
          <w:rFonts w:ascii="Times New Roman" w:hAnsi="Times New Roman"/>
          <w:b/>
          <w:sz w:val="20"/>
          <w:szCs w:val="20"/>
          <w:lang w:val="en-US"/>
        </w:rPr>
      </w:pPr>
    </w:p>
    <w:p w:rsidR="00060BDB" w:rsidRPr="00B41DA2" w:rsidRDefault="003A3B2E" w:rsidP="00C91825">
      <w:pPr>
        <w:pStyle w:val="Sinespaciado"/>
        <w:jc w:val="both"/>
        <w:rPr>
          <w:rFonts w:ascii="Times New Roman" w:hAnsi="Times New Roman"/>
          <w:b/>
          <w:color w:val="FF0000"/>
          <w:sz w:val="20"/>
          <w:szCs w:val="20"/>
          <w:lang w:val="en-US"/>
        </w:rPr>
      </w:pPr>
      <w:hyperlink r:id="rId56" w:tooltip="Cancer epidemiology, biomarkers &amp; prevention : a publication of the American Association for Cancer Research, cosponsored by the American Society of Preventive Oncology." w:history="1">
        <w:r w:rsidR="00060BDB" w:rsidRPr="00B41DA2">
          <w:rPr>
            <w:rFonts w:ascii="Times New Roman" w:hAnsi="Times New Roman"/>
            <w:b/>
            <w:color w:val="FF0000"/>
            <w:sz w:val="20"/>
            <w:szCs w:val="20"/>
            <w:lang w:val="en-US"/>
          </w:rPr>
          <w:t>Cancer Epidemiol Biomarkers Prev.</w:t>
        </w:r>
      </w:hyperlink>
      <w:r w:rsidR="00060BDB" w:rsidRPr="00B41DA2">
        <w:rPr>
          <w:rFonts w:ascii="Times New Roman" w:hAnsi="Times New Roman"/>
          <w:b/>
          <w:color w:val="FF0000"/>
          <w:sz w:val="20"/>
          <w:szCs w:val="20"/>
          <w:lang w:val="en-US"/>
        </w:rPr>
        <w:t xml:space="preserve"> 2014 Sep 21. pii: cebp.0675.2014. [Epub ahead of print]</w:t>
      </w:r>
    </w:p>
    <w:p w:rsidR="00060BDB" w:rsidRPr="00B41DA2" w:rsidRDefault="00060BDB" w:rsidP="00C91825">
      <w:pPr>
        <w:pStyle w:val="Sinespaciado"/>
        <w:jc w:val="both"/>
        <w:rPr>
          <w:rFonts w:ascii="Times New Roman" w:hAnsi="Times New Roman"/>
          <w:b/>
          <w:color w:val="3333FF"/>
          <w:sz w:val="28"/>
          <w:szCs w:val="28"/>
          <w:lang w:val="en-US"/>
        </w:rPr>
      </w:pPr>
      <w:r w:rsidRPr="00B41DA2">
        <w:rPr>
          <w:rFonts w:ascii="Times New Roman" w:hAnsi="Times New Roman"/>
          <w:b/>
          <w:color w:val="3333FF"/>
          <w:sz w:val="28"/>
          <w:szCs w:val="28"/>
          <w:lang w:val="en-US"/>
        </w:rPr>
        <w:t>An Epidemiologic Investigation of Physical Activity and Breast Cancer Risk in Africa.</w:t>
      </w:r>
    </w:p>
    <w:p w:rsidR="00060BDB" w:rsidRPr="00B41DA2" w:rsidRDefault="003A3B2E" w:rsidP="00C91825">
      <w:pPr>
        <w:pStyle w:val="Sinespaciado"/>
        <w:jc w:val="both"/>
        <w:rPr>
          <w:rFonts w:ascii="Times New Roman" w:hAnsi="Times New Roman"/>
          <w:sz w:val="20"/>
          <w:szCs w:val="20"/>
          <w:lang w:val="en-US"/>
        </w:rPr>
      </w:pPr>
      <w:hyperlink r:id="rId57" w:history="1">
        <w:r w:rsidR="00060BDB" w:rsidRPr="00B41DA2">
          <w:rPr>
            <w:rFonts w:ascii="Times New Roman" w:hAnsi="Times New Roman"/>
            <w:sz w:val="20"/>
            <w:szCs w:val="20"/>
            <w:lang w:val="en-US"/>
          </w:rPr>
          <w:t>Hou N</w:t>
        </w:r>
      </w:hyperlink>
      <w:r w:rsidR="00060BDB" w:rsidRPr="00B41DA2">
        <w:rPr>
          <w:rFonts w:ascii="Times New Roman" w:hAnsi="Times New Roman"/>
          <w:sz w:val="20"/>
          <w:szCs w:val="20"/>
          <w:vertAlign w:val="superscript"/>
          <w:lang w:val="en-US"/>
        </w:rPr>
        <w:t>1</w:t>
      </w:r>
      <w:r w:rsidR="00060BDB" w:rsidRPr="00B41DA2">
        <w:rPr>
          <w:rFonts w:ascii="Times New Roman" w:hAnsi="Times New Roman"/>
          <w:sz w:val="20"/>
          <w:szCs w:val="20"/>
          <w:lang w:val="en-US"/>
        </w:rPr>
        <w:t xml:space="preserve">, </w:t>
      </w:r>
      <w:hyperlink r:id="rId58" w:history="1">
        <w:r w:rsidR="00060BDB" w:rsidRPr="00B41DA2">
          <w:rPr>
            <w:rFonts w:ascii="Times New Roman" w:hAnsi="Times New Roman"/>
            <w:sz w:val="20"/>
            <w:szCs w:val="20"/>
            <w:lang w:val="en-US"/>
          </w:rPr>
          <w:t>Ndom P</w:t>
        </w:r>
      </w:hyperlink>
      <w:r w:rsidR="00060BDB" w:rsidRPr="00B41DA2">
        <w:rPr>
          <w:rFonts w:ascii="Times New Roman" w:hAnsi="Times New Roman"/>
          <w:sz w:val="20"/>
          <w:szCs w:val="20"/>
          <w:vertAlign w:val="superscript"/>
          <w:lang w:val="en-US"/>
        </w:rPr>
        <w:t>2</w:t>
      </w:r>
      <w:r w:rsidR="00060BDB" w:rsidRPr="00B41DA2">
        <w:rPr>
          <w:rFonts w:ascii="Times New Roman" w:hAnsi="Times New Roman"/>
          <w:sz w:val="20"/>
          <w:szCs w:val="20"/>
          <w:lang w:val="en-US"/>
        </w:rPr>
        <w:t xml:space="preserve">, </w:t>
      </w:r>
      <w:hyperlink r:id="rId59" w:history="1">
        <w:r w:rsidR="00060BDB" w:rsidRPr="00B41DA2">
          <w:rPr>
            <w:rFonts w:ascii="Times New Roman" w:hAnsi="Times New Roman"/>
            <w:sz w:val="20"/>
            <w:szCs w:val="20"/>
            <w:lang w:val="en-US"/>
          </w:rPr>
          <w:t>Jombwe J</w:t>
        </w:r>
      </w:hyperlink>
      <w:r w:rsidR="00060BDB" w:rsidRPr="00B41DA2">
        <w:rPr>
          <w:rFonts w:ascii="Times New Roman" w:hAnsi="Times New Roman"/>
          <w:sz w:val="20"/>
          <w:szCs w:val="20"/>
          <w:vertAlign w:val="superscript"/>
          <w:lang w:val="en-US"/>
        </w:rPr>
        <w:t>3</w:t>
      </w:r>
      <w:r w:rsidR="00060BDB" w:rsidRPr="00B41DA2">
        <w:rPr>
          <w:rFonts w:ascii="Times New Roman" w:hAnsi="Times New Roman"/>
          <w:sz w:val="20"/>
          <w:szCs w:val="20"/>
          <w:lang w:val="en-US"/>
        </w:rPr>
        <w:t xml:space="preserve">, </w:t>
      </w:r>
      <w:hyperlink r:id="rId60" w:history="1">
        <w:r w:rsidR="00060BDB" w:rsidRPr="00B41DA2">
          <w:rPr>
            <w:rFonts w:ascii="Times New Roman" w:hAnsi="Times New Roman"/>
            <w:sz w:val="20"/>
            <w:szCs w:val="20"/>
            <w:lang w:val="en-US"/>
          </w:rPr>
          <w:t>Ogundiran TO</w:t>
        </w:r>
      </w:hyperlink>
      <w:r w:rsidR="00060BDB" w:rsidRPr="00B41DA2">
        <w:rPr>
          <w:rFonts w:ascii="Times New Roman" w:hAnsi="Times New Roman"/>
          <w:sz w:val="20"/>
          <w:szCs w:val="20"/>
          <w:vertAlign w:val="superscript"/>
          <w:lang w:val="en-US"/>
        </w:rPr>
        <w:t>4</w:t>
      </w:r>
      <w:r w:rsidR="00060BDB" w:rsidRPr="00B41DA2">
        <w:rPr>
          <w:rFonts w:ascii="Times New Roman" w:hAnsi="Times New Roman"/>
          <w:sz w:val="20"/>
          <w:szCs w:val="20"/>
          <w:lang w:val="en-US"/>
        </w:rPr>
        <w:t xml:space="preserve">, </w:t>
      </w:r>
      <w:hyperlink r:id="rId61" w:history="1">
        <w:r w:rsidR="00060BDB" w:rsidRPr="00B41DA2">
          <w:rPr>
            <w:rFonts w:ascii="Times New Roman" w:hAnsi="Times New Roman"/>
            <w:sz w:val="20"/>
            <w:szCs w:val="20"/>
            <w:lang w:val="en-US"/>
          </w:rPr>
          <w:t>Ademola A</w:t>
        </w:r>
      </w:hyperlink>
      <w:r w:rsidR="00060BDB" w:rsidRPr="00B41DA2">
        <w:rPr>
          <w:rFonts w:ascii="Times New Roman" w:hAnsi="Times New Roman"/>
          <w:sz w:val="20"/>
          <w:szCs w:val="20"/>
          <w:vertAlign w:val="superscript"/>
          <w:lang w:val="en-US"/>
        </w:rPr>
        <w:t>4</w:t>
      </w:r>
      <w:r w:rsidR="00060BDB" w:rsidRPr="00B41DA2">
        <w:rPr>
          <w:rFonts w:ascii="Times New Roman" w:hAnsi="Times New Roman"/>
          <w:sz w:val="20"/>
          <w:szCs w:val="20"/>
          <w:lang w:val="en-US"/>
        </w:rPr>
        <w:t xml:space="preserve">, </w:t>
      </w:r>
      <w:hyperlink r:id="rId62" w:history="1">
        <w:r w:rsidR="00060BDB" w:rsidRPr="00B41DA2">
          <w:rPr>
            <w:rFonts w:ascii="Times New Roman" w:hAnsi="Times New Roman"/>
            <w:sz w:val="20"/>
            <w:szCs w:val="20"/>
            <w:lang w:val="en-US"/>
          </w:rPr>
          <w:t>Morhason-Bello I</w:t>
        </w:r>
      </w:hyperlink>
      <w:r w:rsidR="00060BDB" w:rsidRPr="00B41DA2">
        <w:rPr>
          <w:rFonts w:ascii="Times New Roman" w:hAnsi="Times New Roman"/>
          <w:sz w:val="20"/>
          <w:szCs w:val="20"/>
          <w:vertAlign w:val="superscript"/>
          <w:lang w:val="en-US"/>
        </w:rPr>
        <w:t>5</w:t>
      </w:r>
      <w:r w:rsidR="00060BDB" w:rsidRPr="00B41DA2">
        <w:rPr>
          <w:rFonts w:ascii="Times New Roman" w:hAnsi="Times New Roman"/>
          <w:sz w:val="20"/>
          <w:szCs w:val="20"/>
          <w:lang w:val="en-US"/>
        </w:rPr>
        <w:t xml:space="preserve">, </w:t>
      </w:r>
      <w:hyperlink r:id="rId63" w:history="1">
        <w:r w:rsidR="00060BDB" w:rsidRPr="00B41DA2">
          <w:rPr>
            <w:rFonts w:ascii="Times New Roman" w:hAnsi="Times New Roman"/>
            <w:sz w:val="20"/>
            <w:szCs w:val="20"/>
            <w:lang w:val="en-US"/>
          </w:rPr>
          <w:t>Ojengbede O</w:t>
        </w:r>
      </w:hyperlink>
      <w:r w:rsidR="00060BDB" w:rsidRPr="00B41DA2">
        <w:rPr>
          <w:rFonts w:ascii="Times New Roman" w:hAnsi="Times New Roman"/>
          <w:sz w:val="20"/>
          <w:szCs w:val="20"/>
          <w:vertAlign w:val="superscript"/>
          <w:lang w:val="en-US"/>
        </w:rPr>
        <w:t>5</w:t>
      </w:r>
      <w:r w:rsidR="00060BDB" w:rsidRPr="00B41DA2">
        <w:rPr>
          <w:rFonts w:ascii="Times New Roman" w:hAnsi="Times New Roman"/>
          <w:sz w:val="20"/>
          <w:szCs w:val="20"/>
          <w:lang w:val="en-US"/>
        </w:rPr>
        <w:t xml:space="preserve">, </w:t>
      </w:r>
      <w:hyperlink r:id="rId64" w:history="1">
        <w:r w:rsidR="00060BDB" w:rsidRPr="00B41DA2">
          <w:rPr>
            <w:rFonts w:ascii="Times New Roman" w:hAnsi="Times New Roman"/>
            <w:sz w:val="20"/>
            <w:szCs w:val="20"/>
            <w:lang w:val="en-US"/>
          </w:rPr>
          <w:t>Gakwaya A</w:t>
        </w:r>
      </w:hyperlink>
      <w:r w:rsidR="00060BDB" w:rsidRPr="00B41DA2">
        <w:rPr>
          <w:rFonts w:ascii="Times New Roman" w:hAnsi="Times New Roman"/>
          <w:sz w:val="20"/>
          <w:szCs w:val="20"/>
          <w:vertAlign w:val="superscript"/>
          <w:lang w:val="en-US"/>
        </w:rPr>
        <w:t>3</w:t>
      </w:r>
      <w:r w:rsidR="00060BDB" w:rsidRPr="00B41DA2">
        <w:rPr>
          <w:rFonts w:ascii="Times New Roman" w:hAnsi="Times New Roman"/>
          <w:sz w:val="20"/>
          <w:szCs w:val="20"/>
          <w:lang w:val="en-US"/>
        </w:rPr>
        <w:t xml:space="preserve">, </w:t>
      </w:r>
      <w:hyperlink r:id="rId65" w:history="1">
        <w:r w:rsidR="00060BDB" w:rsidRPr="00B41DA2">
          <w:rPr>
            <w:rFonts w:ascii="Times New Roman" w:hAnsi="Times New Roman"/>
            <w:sz w:val="20"/>
            <w:szCs w:val="20"/>
            <w:lang w:val="en-US"/>
          </w:rPr>
          <w:t>Huo D</w:t>
        </w:r>
      </w:hyperlink>
      <w:r w:rsidR="00060BDB" w:rsidRPr="00B41DA2">
        <w:rPr>
          <w:rFonts w:ascii="Times New Roman" w:hAnsi="Times New Roman"/>
          <w:sz w:val="20"/>
          <w:szCs w:val="20"/>
          <w:vertAlign w:val="superscript"/>
          <w:lang w:val="en-US"/>
        </w:rPr>
        <w:t>6</w:t>
      </w:r>
      <w:r w:rsidR="00060BDB" w:rsidRPr="00B41DA2">
        <w:rPr>
          <w:rFonts w:ascii="Times New Roman" w:hAnsi="Times New Roman"/>
          <w:sz w:val="20"/>
          <w:szCs w:val="20"/>
          <w:lang w:val="en-US"/>
        </w:rPr>
        <w:t>.</w:t>
      </w:r>
    </w:p>
    <w:p w:rsidR="00060BDB" w:rsidRPr="00B41DA2" w:rsidRDefault="00060BDB" w:rsidP="00C91825">
      <w:pPr>
        <w:pStyle w:val="Sinespaciado"/>
        <w:jc w:val="both"/>
        <w:rPr>
          <w:rFonts w:ascii="Times New Roman" w:hAnsi="Times New Roman"/>
          <w:sz w:val="20"/>
          <w:szCs w:val="20"/>
          <w:lang w:val="en-US"/>
        </w:rPr>
      </w:pPr>
      <w:r w:rsidRPr="00B41DA2">
        <w:rPr>
          <w:rFonts w:ascii="Times New Roman" w:hAnsi="Times New Roman"/>
          <w:sz w:val="20"/>
          <w:szCs w:val="20"/>
          <w:lang w:val="en-US"/>
        </w:rPr>
        <w:t xml:space="preserve">Background: Physical activity (PA) is modifiable and linked to decreased breast cancer risk but its impact has not been investigated among indigenous African populations. Methods: From 2011 to 2013, 558 cases and 1,014 controls were recruited into African Breast Cancer Study in Nigeria, Cameroon, and Uganda, and completed a culturally tailored PA questionnaire that assesses habitual PA the year before diagnosis/interview. PA sub-scores (housework, occupational, and leisure PA), and a total PA score were calculated (metabolic equivalent of task, MET-hours/day). Multiple logistic regressions were performed, adjusting for age, body mass index (BMI), study sites, and menopausal status. The models were then stratified by BMI and study site, respectively. Results: The overall PA score among controls (17.8 MET-hours/day on average) was mainly composed by housework PA and occupational PA with little leisure PA (7.0, 10.3, and 0.5 MET-hours/day, respectively). Multivariable analyses showed that PA was significantly associated with reduced breast cancer risk in both pre- and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(up to 60% risk reduction), with a dose-responsive relationship (Ptrend &lt;0.001). The inverse association was strong among lean women, less strong but still significant among overweight women, but not existing among obese women. The inverse association held for all intensity-level and domains of PA. Conclusions: Physical activity of African women mainly consists of housework and work-related activities. The preliminary data show PA may be significantly associated with reduced breast cancer risk. Impact: An inverse association between PA and breast cancer risk was observed among indigenous African women, a unique and understudied population.</w:t>
      </w:r>
    </w:p>
    <w:p w:rsidR="00060BDB" w:rsidRDefault="00060BDB" w:rsidP="00C91825">
      <w:pPr>
        <w:pStyle w:val="Sinespaciado"/>
        <w:jc w:val="both"/>
        <w:rPr>
          <w:rFonts w:ascii="Times New Roman" w:hAnsi="Times New Roman"/>
          <w:b/>
          <w:sz w:val="20"/>
          <w:szCs w:val="20"/>
          <w:lang w:val="en-US"/>
        </w:rPr>
      </w:pPr>
    </w:p>
    <w:p w:rsidR="00B41DA2" w:rsidRPr="00B41DA2" w:rsidRDefault="00B41DA2" w:rsidP="00C91825">
      <w:pPr>
        <w:pStyle w:val="Sinespaciado"/>
        <w:jc w:val="both"/>
        <w:rPr>
          <w:rFonts w:ascii="Times New Roman" w:hAnsi="Times New Roman"/>
          <w:b/>
          <w:sz w:val="20"/>
          <w:szCs w:val="20"/>
          <w:lang w:val="en-US"/>
        </w:rPr>
      </w:pPr>
    </w:p>
    <w:p w:rsidR="00060BDB" w:rsidRPr="00B41DA2" w:rsidRDefault="003A3B2E" w:rsidP="00C91825">
      <w:pPr>
        <w:pStyle w:val="Sinespaciado"/>
        <w:jc w:val="both"/>
        <w:rPr>
          <w:rFonts w:ascii="Times New Roman" w:hAnsi="Times New Roman"/>
          <w:b/>
          <w:color w:val="FF0000"/>
          <w:sz w:val="20"/>
          <w:szCs w:val="20"/>
          <w:lang w:val="en-US"/>
        </w:rPr>
      </w:pPr>
      <w:hyperlink r:id="rId66" w:tooltip="Climacteric : the journal of the International Menopause Society." w:history="1">
        <w:r w:rsidR="00060BDB" w:rsidRPr="00B41DA2">
          <w:rPr>
            <w:rFonts w:ascii="Times New Roman" w:hAnsi="Times New Roman"/>
            <w:b/>
            <w:color w:val="FF0000"/>
            <w:sz w:val="20"/>
            <w:szCs w:val="20"/>
            <w:lang w:val="en-US"/>
          </w:rPr>
          <w:t>Climacteric.</w:t>
        </w:r>
      </w:hyperlink>
      <w:r w:rsidR="00060BDB" w:rsidRPr="00B41DA2">
        <w:rPr>
          <w:rFonts w:ascii="Times New Roman" w:hAnsi="Times New Roman"/>
          <w:b/>
          <w:color w:val="FF0000"/>
          <w:sz w:val="20"/>
          <w:szCs w:val="20"/>
          <w:lang w:val="en-US"/>
        </w:rPr>
        <w:t xml:space="preserve"> 2014 Sep 19:1-25. [Epub ahead of print]</w:t>
      </w:r>
    </w:p>
    <w:p w:rsidR="00060BDB" w:rsidRPr="00B41DA2" w:rsidRDefault="00060BDB" w:rsidP="00C91825">
      <w:pPr>
        <w:pStyle w:val="Sinespaciado"/>
        <w:jc w:val="both"/>
        <w:rPr>
          <w:rFonts w:ascii="Times New Roman" w:hAnsi="Times New Roman"/>
          <w:b/>
          <w:color w:val="3333FF"/>
          <w:sz w:val="28"/>
          <w:szCs w:val="28"/>
          <w:lang w:val="en-US"/>
        </w:rPr>
      </w:pPr>
      <w:r w:rsidRPr="00B41DA2">
        <w:rPr>
          <w:rFonts w:ascii="Times New Roman" w:hAnsi="Times New Roman"/>
          <w:b/>
          <w:color w:val="3333FF"/>
          <w:sz w:val="28"/>
          <w:szCs w:val="28"/>
          <w:lang w:val="en-US"/>
        </w:rPr>
        <w:t xml:space="preserve">Estrogen plus progestin increase SOD and total antioxidant capacity in </w:t>
      </w:r>
      <w:r w:rsidRPr="00B41DA2">
        <w:rPr>
          <w:rStyle w:val="highlight2"/>
          <w:rFonts w:ascii="Times New Roman" w:hAnsi="Times New Roman"/>
          <w:b/>
          <w:color w:val="3333FF"/>
          <w:sz w:val="28"/>
          <w:szCs w:val="28"/>
          <w:lang w:val="en-US"/>
        </w:rPr>
        <w:t>postmenopausal</w:t>
      </w:r>
      <w:r w:rsidRPr="00B41DA2">
        <w:rPr>
          <w:rFonts w:ascii="Times New Roman" w:hAnsi="Times New Roman"/>
          <w:b/>
          <w:color w:val="3333FF"/>
          <w:sz w:val="28"/>
          <w:szCs w:val="28"/>
          <w:lang w:val="en-US"/>
        </w:rPr>
        <w:t xml:space="preserve"> women.</w:t>
      </w:r>
    </w:p>
    <w:p w:rsidR="00060BDB" w:rsidRPr="00B41DA2" w:rsidRDefault="003A3B2E" w:rsidP="00C91825">
      <w:pPr>
        <w:pStyle w:val="Sinespaciado"/>
        <w:jc w:val="both"/>
        <w:rPr>
          <w:rFonts w:ascii="Times New Roman" w:hAnsi="Times New Roman"/>
          <w:sz w:val="20"/>
          <w:szCs w:val="20"/>
          <w:lang w:val="en-US"/>
        </w:rPr>
      </w:pPr>
      <w:hyperlink r:id="rId67" w:history="1">
        <w:r w:rsidR="00060BDB" w:rsidRPr="00B41DA2">
          <w:rPr>
            <w:rFonts w:ascii="Times New Roman" w:hAnsi="Times New Roman"/>
            <w:sz w:val="20"/>
            <w:szCs w:val="20"/>
            <w:lang w:val="en-US"/>
          </w:rPr>
          <w:t>Unfera TC</w:t>
        </w:r>
      </w:hyperlink>
      <w:r w:rsidR="00060BDB" w:rsidRPr="00B41DA2">
        <w:rPr>
          <w:rFonts w:ascii="Times New Roman" w:hAnsi="Times New Roman"/>
          <w:sz w:val="20"/>
          <w:szCs w:val="20"/>
          <w:lang w:val="en-US"/>
        </w:rPr>
        <w:t xml:space="preserve">, </w:t>
      </w:r>
      <w:hyperlink r:id="rId68" w:history="1">
        <w:r w:rsidR="00060BDB" w:rsidRPr="00B41DA2">
          <w:rPr>
            <w:rFonts w:ascii="Times New Roman" w:hAnsi="Times New Roman"/>
            <w:sz w:val="20"/>
            <w:szCs w:val="20"/>
            <w:lang w:val="en-US"/>
          </w:rPr>
          <w:t>Figueiredob CG</w:t>
        </w:r>
      </w:hyperlink>
      <w:r w:rsidR="00060BDB" w:rsidRPr="00B41DA2">
        <w:rPr>
          <w:rFonts w:ascii="Times New Roman" w:hAnsi="Times New Roman"/>
          <w:sz w:val="20"/>
          <w:szCs w:val="20"/>
          <w:lang w:val="en-US"/>
        </w:rPr>
        <w:t xml:space="preserve">, </w:t>
      </w:r>
      <w:hyperlink r:id="rId69" w:history="1">
        <w:r w:rsidR="00060BDB" w:rsidRPr="00B41DA2">
          <w:rPr>
            <w:rFonts w:ascii="Times New Roman" w:hAnsi="Times New Roman"/>
            <w:sz w:val="20"/>
            <w:szCs w:val="20"/>
            <w:lang w:val="en-US"/>
          </w:rPr>
          <w:t>Zanchib MM</w:t>
        </w:r>
      </w:hyperlink>
      <w:r w:rsidR="00060BDB" w:rsidRPr="00B41DA2">
        <w:rPr>
          <w:rFonts w:ascii="Times New Roman" w:hAnsi="Times New Roman"/>
          <w:sz w:val="20"/>
          <w:szCs w:val="20"/>
          <w:lang w:val="en-US"/>
        </w:rPr>
        <w:t xml:space="preserve">, </w:t>
      </w:r>
      <w:hyperlink r:id="rId70" w:history="1">
        <w:r w:rsidR="00060BDB" w:rsidRPr="00B41DA2">
          <w:rPr>
            <w:rFonts w:ascii="Times New Roman" w:hAnsi="Times New Roman"/>
            <w:sz w:val="20"/>
            <w:szCs w:val="20"/>
            <w:lang w:val="en-US"/>
          </w:rPr>
          <w:t>Maurerb LH</w:t>
        </w:r>
      </w:hyperlink>
      <w:r w:rsidR="00060BDB" w:rsidRPr="00B41DA2">
        <w:rPr>
          <w:rFonts w:ascii="Times New Roman" w:hAnsi="Times New Roman"/>
          <w:sz w:val="20"/>
          <w:szCs w:val="20"/>
          <w:lang w:val="en-US"/>
        </w:rPr>
        <w:t xml:space="preserve">, </w:t>
      </w:r>
      <w:hyperlink r:id="rId71" w:history="1">
        <w:r w:rsidR="00060BDB" w:rsidRPr="00B41DA2">
          <w:rPr>
            <w:rFonts w:ascii="Times New Roman" w:hAnsi="Times New Roman"/>
            <w:sz w:val="20"/>
            <w:szCs w:val="20"/>
            <w:lang w:val="en-US"/>
          </w:rPr>
          <w:t>Kemerichb DM</w:t>
        </w:r>
      </w:hyperlink>
      <w:r w:rsidR="00060BDB" w:rsidRPr="00B41DA2">
        <w:rPr>
          <w:rFonts w:ascii="Times New Roman" w:hAnsi="Times New Roman"/>
          <w:sz w:val="20"/>
          <w:szCs w:val="20"/>
          <w:lang w:val="en-US"/>
        </w:rPr>
        <w:t xml:space="preserve">, </w:t>
      </w:r>
      <w:hyperlink r:id="rId72" w:history="1">
        <w:r w:rsidR="00060BDB" w:rsidRPr="00B41DA2">
          <w:rPr>
            <w:rFonts w:ascii="Times New Roman" w:hAnsi="Times New Roman"/>
            <w:sz w:val="20"/>
            <w:szCs w:val="20"/>
            <w:lang w:val="en-US"/>
          </w:rPr>
          <w:t>Duartec MM</w:t>
        </w:r>
      </w:hyperlink>
      <w:r w:rsidR="00060BDB" w:rsidRPr="00B41DA2">
        <w:rPr>
          <w:rFonts w:ascii="Times New Roman" w:hAnsi="Times New Roman"/>
          <w:sz w:val="20"/>
          <w:szCs w:val="20"/>
          <w:lang w:val="en-US"/>
        </w:rPr>
        <w:t xml:space="preserve">, </w:t>
      </w:r>
      <w:hyperlink r:id="rId73" w:history="1">
        <w:r w:rsidR="00060BDB" w:rsidRPr="00B41DA2">
          <w:rPr>
            <w:rFonts w:ascii="Times New Roman" w:hAnsi="Times New Roman"/>
            <w:sz w:val="20"/>
            <w:szCs w:val="20"/>
            <w:lang w:val="en-US"/>
          </w:rPr>
          <w:t>Konopkaa CK</w:t>
        </w:r>
      </w:hyperlink>
      <w:r w:rsidR="00060BDB" w:rsidRPr="00B41DA2">
        <w:rPr>
          <w:rFonts w:ascii="Times New Roman" w:hAnsi="Times New Roman"/>
          <w:sz w:val="20"/>
          <w:szCs w:val="20"/>
          <w:lang w:val="en-US"/>
        </w:rPr>
        <w:t xml:space="preserve">, </w:t>
      </w:r>
      <w:hyperlink r:id="rId74" w:history="1">
        <w:r w:rsidR="00060BDB" w:rsidRPr="00B41DA2">
          <w:rPr>
            <w:rFonts w:ascii="Times New Roman" w:hAnsi="Times New Roman"/>
            <w:sz w:val="20"/>
            <w:szCs w:val="20"/>
            <w:lang w:val="en-US"/>
          </w:rPr>
          <w:t>Emanuellib T</w:t>
        </w:r>
      </w:hyperlink>
      <w:r w:rsidR="00060BDB" w:rsidRPr="00B41DA2">
        <w:rPr>
          <w:rFonts w:ascii="Times New Roman" w:hAnsi="Times New Roman"/>
          <w:sz w:val="20"/>
          <w:szCs w:val="20"/>
          <w:lang w:val="en-US"/>
        </w:rPr>
        <w:t>.</w:t>
      </w:r>
    </w:p>
    <w:p w:rsidR="00060BDB" w:rsidRPr="00B41DA2" w:rsidRDefault="00060BDB" w:rsidP="00C91825">
      <w:pPr>
        <w:pStyle w:val="Sinespaciado"/>
        <w:jc w:val="both"/>
        <w:rPr>
          <w:rFonts w:ascii="Times New Roman" w:hAnsi="Times New Roman"/>
          <w:sz w:val="20"/>
          <w:szCs w:val="20"/>
          <w:lang w:val="en-US"/>
        </w:rPr>
      </w:pPr>
      <w:r w:rsidRPr="00B41DA2">
        <w:rPr>
          <w:rFonts w:ascii="Times New Roman" w:hAnsi="Times New Roman"/>
          <w:sz w:val="20"/>
          <w:szCs w:val="20"/>
          <w:lang w:val="en-US"/>
        </w:rPr>
        <w:t xml:space="preserve">ABSTRACT Objective: This cross-sectional study was aimed to evaluate the behavior of blood antioxidant enzymes (superoxide dismutase-SOD, catalase and glutathione peroxidase), plasma total antioxidant capacity and oxidative damage (lipid oxidation and protein carbonyl levels) and their relationship with the serum levels of steroid hormones in premenopausal and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without and with estrogen alone (ET) or estrogen plus progestin therapy (EPT). Methods: Blood was collected from 4 groups of subjects: premenopausal women (n=24),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without </w:t>
      </w:r>
      <w:r w:rsidRPr="00B41DA2">
        <w:rPr>
          <w:rFonts w:ascii="Times New Roman" w:hAnsi="Times New Roman"/>
          <w:sz w:val="20"/>
          <w:szCs w:val="20"/>
          <w:lang w:val="en-US"/>
        </w:rPr>
        <w:lastRenderedPageBreak/>
        <w:t xml:space="preserve">hormone therapy (n=31),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 ET (n=12) and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 EPT (n=16). Results: The CuZn and MnSOD activities and the plasma total antioxidant power were significantly higher in the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under EPT than in the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without </w:t>
      </w:r>
      <w:r w:rsidRPr="00B41DA2">
        <w:rPr>
          <w:rStyle w:val="highlight2"/>
          <w:rFonts w:ascii="Times New Roman" w:hAnsi="Times New Roman"/>
          <w:sz w:val="20"/>
          <w:szCs w:val="20"/>
          <w:lang w:val="en-US"/>
        </w:rPr>
        <w:t>hormone replacement therapy</w:t>
      </w:r>
      <w:r w:rsidRPr="00B41DA2">
        <w:rPr>
          <w:rFonts w:ascii="Times New Roman" w:hAnsi="Times New Roman"/>
          <w:sz w:val="20"/>
          <w:szCs w:val="20"/>
          <w:lang w:val="en-US"/>
        </w:rPr>
        <w:t xml:space="preserve"> (HRT). The ET increased only CuZnSOD activity compared to the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without HRT. However, no differences were observed in the levels of lipid or protein oxidation or in the non-enzymatic plasma antioxidants (uric acid and albumin) among the groups. The duration of HRT and serum estrogen levels were positively correlated to the blood CuZnSOD activity and to plasma total antioxidant power, whereas the serum progesterone levels were positively correlated to the CuZnSOD activity and negatively correlated to carbonyl groups. Interestingly, the total antioxidant power of plasma was positively correlated to the CuZnSOD and glutathione peroxidase activities. Conclusion: We conclude that EPT increases blood MnSOD and CuZnSOD activity in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leading to an increased plasma total antioxidant capacity. This finding may be relevant to the prevention of oxidative stress-related disorders in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w:t>
      </w:r>
    </w:p>
    <w:p w:rsidR="00060BDB" w:rsidRPr="00B41DA2" w:rsidRDefault="00060BDB" w:rsidP="00C91825">
      <w:pPr>
        <w:pStyle w:val="Sinespaciado"/>
        <w:jc w:val="both"/>
        <w:rPr>
          <w:rFonts w:ascii="Times New Roman" w:hAnsi="Times New Roman"/>
          <w:b/>
          <w:sz w:val="20"/>
          <w:szCs w:val="20"/>
          <w:lang w:val="en-US"/>
        </w:rPr>
      </w:pPr>
    </w:p>
    <w:p w:rsidR="00060BDB" w:rsidRPr="00B41DA2" w:rsidRDefault="00060BDB" w:rsidP="00C91825">
      <w:pPr>
        <w:pStyle w:val="Sinespaciado"/>
        <w:jc w:val="both"/>
        <w:rPr>
          <w:rFonts w:ascii="Times New Roman" w:hAnsi="Times New Roman"/>
          <w:b/>
          <w:sz w:val="20"/>
          <w:szCs w:val="20"/>
          <w:lang w:val="en-US"/>
        </w:rPr>
      </w:pPr>
    </w:p>
    <w:p w:rsidR="00060BDB" w:rsidRPr="00B41DA2" w:rsidRDefault="003A3B2E" w:rsidP="00C91825">
      <w:pPr>
        <w:pStyle w:val="Sinespaciado"/>
        <w:jc w:val="both"/>
        <w:rPr>
          <w:rFonts w:ascii="Times New Roman" w:hAnsi="Times New Roman"/>
          <w:b/>
          <w:color w:val="FF0000"/>
          <w:sz w:val="20"/>
          <w:szCs w:val="20"/>
          <w:lang w:val="en-US"/>
        </w:rPr>
      </w:pPr>
      <w:hyperlink r:id="rId75" w:tooltip="Climacteric : the journal of the International Menopause Society." w:history="1">
        <w:r w:rsidR="00060BDB" w:rsidRPr="00B41DA2">
          <w:rPr>
            <w:rFonts w:ascii="Times New Roman" w:hAnsi="Times New Roman"/>
            <w:b/>
            <w:color w:val="FF0000"/>
            <w:sz w:val="20"/>
            <w:szCs w:val="20"/>
            <w:lang w:val="en-US"/>
          </w:rPr>
          <w:t>Climacteric.</w:t>
        </w:r>
      </w:hyperlink>
      <w:r w:rsidR="00060BDB" w:rsidRPr="00B41DA2">
        <w:rPr>
          <w:rFonts w:ascii="Times New Roman" w:hAnsi="Times New Roman"/>
          <w:b/>
          <w:color w:val="FF0000"/>
          <w:sz w:val="20"/>
          <w:szCs w:val="20"/>
          <w:lang w:val="en-US"/>
        </w:rPr>
        <w:t xml:space="preserve"> 2014 Sep 19:1-20. [Epub ahead of print]</w:t>
      </w:r>
    </w:p>
    <w:p w:rsidR="00060BDB" w:rsidRPr="00B41DA2" w:rsidRDefault="00060BDB" w:rsidP="00C91825">
      <w:pPr>
        <w:pStyle w:val="Sinespaciado"/>
        <w:jc w:val="both"/>
        <w:rPr>
          <w:rFonts w:ascii="Times New Roman" w:hAnsi="Times New Roman"/>
          <w:b/>
          <w:color w:val="3333FF"/>
          <w:sz w:val="28"/>
          <w:szCs w:val="28"/>
          <w:lang w:val="en-US"/>
        </w:rPr>
      </w:pPr>
      <w:r w:rsidRPr="00B41DA2">
        <w:rPr>
          <w:rFonts w:ascii="Times New Roman" w:hAnsi="Times New Roman"/>
          <w:b/>
          <w:color w:val="3333FF"/>
          <w:sz w:val="28"/>
          <w:szCs w:val="28"/>
          <w:lang w:val="en-US"/>
        </w:rPr>
        <w:t xml:space="preserve">Association of metabolic syndrome with coronary atherosclerosis in non-diabetic </w:t>
      </w:r>
      <w:r w:rsidRPr="00B41DA2">
        <w:rPr>
          <w:rStyle w:val="highlight2"/>
          <w:rFonts w:ascii="Times New Roman" w:hAnsi="Times New Roman"/>
          <w:b/>
          <w:color w:val="3333FF"/>
          <w:sz w:val="28"/>
          <w:szCs w:val="28"/>
          <w:lang w:val="en-US"/>
        </w:rPr>
        <w:t>postmenopausal</w:t>
      </w:r>
      <w:r w:rsidRPr="00B41DA2">
        <w:rPr>
          <w:rFonts w:ascii="Times New Roman" w:hAnsi="Times New Roman"/>
          <w:b/>
          <w:color w:val="3333FF"/>
          <w:sz w:val="28"/>
          <w:szCs w:val="28"/>
          <w:lang w:val="en-US"/>
        </w:rPr>
        <w:t xml:space="preserve"> women.</w:t>
      </w:r>
    </w:p>
    <w:p w:rsidR="00060BDB" w:rsidRPr="00B41DA2" w:rsidRDefault="003A3B2E" w:rsidP="00C91825">
      <w:pPr>
        <w:pStyle w:val="Sinespaciado"/>
        <w:jc w:val="both"/>
        <w:rPr>
          <w:rFonts w:ascii="Times New Roman" w:hAnsi="Times New Roman"/>
          <w:sz w:val="20"/>
          <w:szCs w:val="20"/>
          <w:lang w:val="en-US"/>
        </w:rPr>
      </w:pPr>
      <w:hyperlink r:id="rId76" w:history="1">
        <w:r w:rsidR="00060BDB" w:rsidRPr="00B41DA2">
          <w:rPr>
            <w:rFonts w:ascii="Times New Roman" w:hAnsi="Times New Roman"/>
            <w:sz w:val="20"/>
            <w:szCs w:val="20"/>
            <w:lang w:val="en-US"/>
          </w:rPr>
          <w:t>Yun BH</w:t>
        </w:r>
      </w:hyperlink>
      <w:r w:rsidR="00060BDB" w:rsidRPr="00B41DA2">
        <w:rPr>
          <w:rFonts w:ascii="Times New Roman" w:hAnsi="Times New Roman"/>
          <w:sz w:val="20"/>
          <w:szCs w:val="20"/>
          <w:lang w:val="en-US"/>
        </w:rPr>
        <w:t xml:space="preserve">, </w:t>
      </w:r>
      <w:hyperlink r:id="rId77" w:history="1">
        <w:r w:rsidR="00060BDB" w:rsidRPr="00B41DA2">
          <w:rPr>
            <w:rFonts w:ascii="Times New Roman" w:hAnsi="Times New Roman"/>
            <w:sz w:val="20"/>
            <w:szCs w:val="20"/>
            <w:lang w:val="en-US"/>
          </w:rPr>
          <w:t>Chon SJ</w:t>
        </w:r>
      </w:hyperlink>
      <w:r w:rsidR="00060BDB" w:rsidRPr="00B41DA2">
        <w:rPr>
          <w:rFonts w:ascii="Times New Roman" w:hAnsi="Times New Roman"/>
          <w:sz w:val="20"/>
          <w:szCs w:val="20"/>
          <w:lang w:val="en-US"/>
        </w:rPr>
        <w:t xml:space="preserve">, </w:t>
      </w:r>
      <w:hyperlink r:id="rId78" w:history="1">
        <w:r w:rsidR="00060BDB" w:rsidRPr="00B41DA2">
          <w:rPr>
            <w:rFonts w:ascii="Times New Roman" w:hAnsi="Times New Roman"/>
            <w:sz w:val="20"/>
            <w:szCs w:val="20"/>
            <w:lang w:val="en-US"/>
          </w:rPr>
          <w:t>Lee YJ</w:t>
        </w:r>
      </w:hyperlink>
      <w:r w:rsidR="00060BDB" w:rsidRPr="00B41DA2">
        <w:rPr>
          <w:rFonts w:ascii="Times New Roman" w:hAnsi="Times New Roman"/>
          <w:sz w:val="20"/>
          <w:szCs w:val="20"/>
          <w:lang w:val="en-US"/>
        </w:rPr>
        <w:t xml:space="preserve">, </w:t>
      </w:r>
      <w:hyperlink r:id="rId79" w:history="1">
        <w:r w:rsidR="00060BDB" w:rsidRPr="00B41DA2">
          <w:rPr>
            <w:rFonts w:ascii="Times New Roman" w:hAnsi="Times New Roman"/>
            <w:sz w:val="20"/>
            <w:szCs w:val="20"/>
            <w:lang w:val="en-US"/>
          </w:rPr>
          <w:t>Han EJ</w:t>
        </w:r>
      </w:hyperlink>
      <w:r w:rsidR="00060BDB" w:rsidRPr="00B41DA2">
        <w:rPr>
          <w:rFonts w:ascii="Times New Roman" w:hAnsi="Times New Roman"/>
          <w:sz w:val="20"/>
          <w:szCs w:val="20"/>
          <w:lang w:val="en-US"/>
        </w:rPr>
        <w:t xml:space="preserve">, </w:t>
      </w:r>
      <w:hyperlink r:id="rId80" w:history="1">
        <w:r w:rsidR="00060BDB" w:rsidRPr="00B41DA2">
          <w:rPr>
            <w:rFonts w:ascii="Times New Roman" w:hAnsi="Times New Roman"/>
            <w:sz w:val="20"/>
            <w:szCs w:val="20"/>
            <w:lang w:val="en-US"/>
          </w:rPr>
          <w:t>Cho S</w:t>
        </w:r>
      </w:hyperlink>
      <w:r w:rsidR="00060BDB" w:rsidRPr="00B41DA2">
        <w:rPr>
          <w:rFonts w:ascii="Times New Roman" w:hAnsi="Times New Roman"/>
          <w:sz w:val="20"/>
          <w:szCs w:val="20"/>
          <w:lang w:val="en-US"/>
        </w:rPr>
        <w:t xml:space="preserve">, </w:t>
      </w:r>
      <w:hyperlink r:id="rId81" w:history="1">
        <w:r w:rsidR="00060BDB" w:rsidRPr="00B41DA2">
          <w:rPr>
            <w:rFonts w:ascii="Times New Roman" w:hAnsi="Times New Roman"/>
            <w:sz w:val="20"/>
            <w:szCs w:val="20"/>
            <w:lang w:val="en-US"/>
          </w:rPr>
          <w:t>Choi YS</w:t>
        </w:r>
      </w:hyperlink>
      <w:r w:rsidR="00060BDB" w:rsidRPr="00B41DA2">
        <w:rPr>
          <w:rFonts w:ascii="Times New Roman" w:hAnsi="Times New Roman"/>
          <w:sz w:val="20"/>
          <w:szCs w:val="20"/>
          <w:lang w:val="en-US"/>
        </w:rPr>
        <w:t xml:space="preserve">, </w:t>
      </w:r>
      <w:hyperlink r:id="rId82" w:history="1">
        <w:r w:rsidR="00060BDB" w:rsidRPr="00B41DA2">
          <w:rPr>
            <w:rFonts w:ascii="Times New Roman" w:hAnsi="Times New Roman"/>
            <w:sz w:val="20"/>
            <w:szCs w:val="20"/>
            <w:lang w:val="en-US"/>
          </w:rPr>
          <w:t>Lee BS</w:t>
        </w:r>
      </w:hyperlink>
      <w:r w:rsidR="00060BDB" w:rsidRPr="00B41DA2">
        <w:rPr>
          <w:rFonts w:ascii="Times New Roman" w:hAnsi="Times New Roman"/>
          <w:sz w:val="20"/>
          <w:szCs w:val="20"/>
          <w:lang w:val="en-US"/>
        </w:rPr>
        <w:t xml:space="preserve">, </w:t>
      </w:r>
      <w:hyperlink r:id="rId83" w:history="1">
        <w:r w:rsidR="00060BDB" w:rsidRPr="00B41DA2">
          <w:rPr>
            <w:rFonts w:ascii="Times New Roman" w:hAnsi="Times New Roman"/>
            <w:sz w:val="20"/>
            <w:szCs w:val="20"/>
            <w:lang w:val="en-US"/>
          </w:rPr>
          <w:t>Seo SK</w:t>
        </w:r>
      </w:hyperlink>
      <w:r w:rsidR="00060BDB" w:rsidRPr="00B41DA2">
        <w:rPr>
          <w:rFonts w:ascii="Times New Roman" w:hAnsi="Times New Roman"/>
          <w:sz w:val="20"/>
          <w:szCs w:val="20"/>
          <w:lang w:val="en-US"/>
        </w:rPr>
        <w:t>.</w:t>
      </w:r>
    </w:p>
    <w:p w:rsidR="00060BDB" w:rsidRPr="00B41DA2" w:rsidRDefault="00060BDB" w:rsidP="00C91825">
      <w:pPr>
        <w:pStyle w:val="Sinespaciado"/>
        <w:jc w:val="both"/>
        <w:rPr>
          <w:rFonts w:ascii="Times New Roman" w:hAnsi="Times New Roman"/>
          <w:sz w:val="20"/>
          <w:szCs w:val="20"/>
          <w:lang w:val="en-US"/>
        </w:rPr>
      </w:pPr>
      <w:r w:rsidRPr="00B41DA2">
        <w:rPr>
          <w:rFonts w:ascii="Times New Roman" w:hAnsi="Times New Roman"/>
          <w:sz w:val="20"/>
          <w:szCs w:val="20"/>
          <w:lang w:val="en-US"/>
        </w:rPr>
        <w:t xml:space="preserve">Abstract Objective: We investigated the possible association of metabolic syndrome with arterial stiffness and coronary atherosclerosis in nondiabetic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Methods: 293 nondiabetic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who visited the health promotion center for a routine health checkup were included in a cross-sectional study. Arterial stiffness was measured by brachial-ankle pulse wave velocity, and coronary atherosclerosis was detected using 64-row multi-detector computed tomography. Results: Women with coronary atherosclerosis had a significantly higher proportion of metabolic syndrome than those without coronary atherosclerosis. The brachial-ankle pulse wave velocity was significantly higher in women who had metabolic syndrome compared to those who had no metabolic syndrome (1567.71 ± 211.81 vs 1336.75 ± 159.62 cm/s, P &lt; 0.001). In addition, the brachial-ankle pulse wave velocity was shown to increase with increasing number of metabolic syndrome components (P for trend &lt; 0.001). Metabolic syndrome was associated with increased risk of coronary atherosclerosis (adjusted odds ratio, 2.38; 95% confidence interval, 1.01-5.06), after adjusting for confounding factors. Conclusions: Metabolic syndrome increases the risk of coronary atherosclerosis in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Increased arterial stiffness may partly explain an increased risk of coronary atherosclerosis in </w:t>
      </w:r>
      <w:r w:rsidRPr="00B41DA2">
        <w:rPr>
          <w:rStyle w:val="highlight2"/>
          <w:rFonts w:ascii="Times New Roman" w:hAnsi="Times New Roman"/>
          <w:sz w:val="20"/>
          <w:szCs w:val="20"/>
          <w:lang w:val="en-US"/>
        </w:rPr>
        <w:t>postmenopausal</w:t>
      </w:r>
      <w:r w:rsidRPr="00B41DA2">
        <w:rPr>
          <w:rFonts w:ascii="Times New Roman" w:hAnsi="Times New Roman"/>
          <w:sz w:val="20"/>
          <w:szCs w:val="20"/>
          <w:lang w:val="en-US"/>
        </w:rPr>
        <w:t xml:space="preserve"> women with metabolic syndrome.</w:t>
      </w:r>
    </w:p>
    <w:sectPr w:rsidR="00060BDB" w:rsidRPr="00B41DA2" w:rsidSect="00C865E9">
      <w:headerReference w:type="default" r:id="rId84"/>
      <w:footerReference w:type="default" r:id="rId85"/>
      <w:footnotePr>
        <w:pos w:val="beneathText"/>
      </w:footnotePr>
      <w:pgSz w:w="12242" w:h="15842" w:code="1"/>
      <w:pgMar w:top="1418" w:right="1077" w:bottom="1418" w:left="1077"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B2E" w:rsidRDefault="003A3B2E">
      <w:r>
        <w:separator/>
      </w:r>
    </w:p>
  </w:endnote>
  <w:endnote w:type="continuationSeparator" w:id="0">
    <w:p w:rsidR="003A3B2E" w:rsidRDefault="003A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AE5EE5">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0A083A">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AE5EE5">
                            <w:rPr>
                              <w:rStyle w:val="Nmerodepgina"/>
                              <w:noProof/>
                            </w:rPr>
                            <w:t>4</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0A083A">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AE5EE5">
                      <w:rPr>
                        <w:rStyle w:val="Nmerodepgina"/>
                        <w:noProof/>
                      </w:rPr>
                      <w:t>4</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B2E" w:rsidRDefault="003A3B2E">
      <w:r>
        <w:separator/>
      </w:r>
    </w:p>
  </w:footnote>
  <w:footnote w:type="continuationSeparator" w:id="0">
    <w:p w:rsidR="003A3B2E" w:rsidRDefault="003A3B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C91825" w:rsidP="00A06167">
    <w:pPr>
      <w:jc w:val="right"/>
      <w:rPr>
        <w:b/>
        <w:color w:val="000000"/>
        <w:lang w:val="es-ES"/>
      </w:rPr>
    </w:pPr>
    <w:r>
      <w:rPr>
        <w:b/>
        <w:color w:val="000000"/>
        <w:lang w:val="es-ES"/>
      </w:rPr>
      <w:t>30</w:t>
    </w:r>
    <w:r w:rsidR="005159A6">
      <w:rPr>
        <w:b/>
        <w:color w:val="000000"/>
        <w:lang w:val="es-ES"/>
      </w:rPr>
      <w:t>/</w:t>
    </w:r>
    <w:r w:rsidR="00F03E01">
      <w:rPr>
        <w:b/>
        <w:color w:val="000000"/>
        <w:lang w:val="es-ES"/>
      </w:rPr>
      <w:t>0</w:t>
    </w:r>
    <w:r w:rsidR="00063E65">
      <w:rPr>
        <w:b/>
        <w:color w:val="000000"/>
        <w:lang w:val="es-ES"/>
      </w:rPr>
      <w:t>9</w:t>
    </w:r>
    <w:r w:rsidR="00F03E0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18"/>
  </w:num>
  <w:num w:numId="4">
    <w:abstractNumId w:val="20"/>
  </w:num>
  <w:num w:numId="5">
    <w:abstractNumId w:val="14"/>
  </w:num>
  <w:num w:numId="6">
    <w:abstractNumId w:val="6"/>
  </w:num>
  <w:num w:numId="7">
    <w:abstractNumId w:val="7"/>
  </w:num>
  <w:num w:numId="8">
    <w:abstractNumId w:val="3"/>
  </w:num>
  <w:num w:numId="9">
    <w:abstractNumId w:val="28"/>
  </w:num>
  <w:num w:numId="10">
    <w:abstractNumId w:val="22"/>
  </w:num>
  <w:num w:numId="11">
    <w:abstractNumId w:val="27"/>
  </w:num>
  <w:num w:numId="12">
    <w:abstractNumId w:val="2"/>
  </w:num>
  <w:num w:numId="13">
    <w:abstractNumId w:val="11"/>
  </w:num>
  <w:num w:numId="14">
    <w:abstractNumId w:val="24"/>
  </w:num>
  <w:num w:numId="15">
    <w:abstractNumId w:val="9"/>
  </w:num>
  <w:num w:numId="16">
    <w:abstractNumId w:val="15"/>
  </w:num>
  <w:num w:numId="17">
    <w:abstractNumId w:val="12"/>
  </w:num>
  <w:num w:numId="18">
    <w:abstractNumId w:val="25"/>
  </w:num>
  <w:num w:numId="19">
    <w:abstractNumId w:val="26"/>
  </w:num>
  <w:num w:numId="20">
    <w:abstractNumId w:val="5"/>
  </w:num>
  <w:num w:numId="21">
    <w:abstractNumId w:val="13"/>
  </w:num>
  <w:num w:numId="22">
    <w:abstractNumId w:val="19"/>
  </w:num>
  <w:num w:numId="23">
    <w:abstractNumId w:val="21"/>
  </w:num>
  <w:num w:numId="24">
    <w:abstractNumId w:val="16"/>
  </w:num>
  <w:num w:numId="25">
    <w:abstractNumId w:val="8"/>
  </w:num>
  <w:num w:numId="26">
    <w:abstractNumId w:val="4"/>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083A"/>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5EF0"/>
    <w:rsid w:val="00147022"/>
    <w:rsid w:val="00151863"/>
    <w:rsid w:val="0015325F"/>
    <w:rsid w:val="0015426E"/>
    <w:rsid w:val="00155113"/>
    <w:rsid w:val="00155225"/>
    <w:rsid w:val="0015612D"/>
    <w:rsid w:val="00157B2E"/>
    <w:rsid w:val="0016152B"/>
    <w:rsid w:val="00165DD3"/>
    <w:rsid w:val="00170626"/>
    <w:rsid w:val="001709E8"/>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52F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A3B2E"/>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482"/>
    <w:rsid w:val="00482DEC"/>
    <w:rsid w:val="00483022"/>
    <w:rsid w:val="00485645"/>
    <w:rsid w:val="00485A6D"/>
    <w:rsid w:val="004871AA"/>
    <w:rsid w:val="0049055F"/>
    <w:rsid w:val="004906BD"/>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10B96"/>
    <w:rsid w:val="00812017"/>
    <w:rsid w:val="008129FA"/>
    <w:rsid w:val="00813D20"/>
    <w:rsid w:val="00816D5D"/>
    <w:rsid w:val="00821035"/>
    <w:rsid w:val="008216FF"/>
    <w:rsid w:val="00821C91"/>
    <w:rsid w:val="008221B2"/>
    <w:rsid w:val="008246FF"/>
    <w:rsid w:val="008249AF"/>
    <w:rsid w:val="00824C4D"/>
    <w:rsid w:val="00827309"/>
    <w:rsid w:val="00831B21"/>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48EF"/>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8101E"/>
    <w:rsid w:val="00A82AD7"/>
    <w:rsid w:val="00A85A24"/>
    <w:rsid w:val="00A85D51"/>
    <w:rsid w:val="00A86A7E"/>
    <w:rsid w:val="00A8718C"/>
    <w:rsid w:val="00A917D8"/>
    <w:rsid w:val="00A92596"/>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E5EE5"/>
    <w:rsid w:val="00AF0395"/>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pubmed?term=Kuller%20LH%5BAuthor%5D&amp;cauthor=true&amp;cauthor_uid=25258014" TargetMode="External"/><Relationship Id="rId21" Type="http://schemas.openxmlformats.org/officeDocument/2006/relationships/hyperlink" Target="http://www.ncbi.nlm.nih.gov/pubmed?term=Aragaki%20AK%5BAuthor%5D&amp;cauthor=true&amp;cauthor_uid=25258014" TargetMode="External"/><Relationship Id="rId42" Type="http://schemas.openxmlformats.org/officeDocument/2006/relationships/hyperlink" Target="http://www.ncbi.nlm.nih.gov/pubmed?term=Chung%20JH%5BAuthor%5D&amp;cauthor=true&amp;cauthor_uid=25247156" TargetMode="External"/><Relationship Id="rId47" Type="http://schemas.openxmlformats.org/officeDocument/2006/relationships/hyperlink" Target="http://www.ncbi.nlm.nih.gov/pubmed?term=Chatkittisilpa%20S%5BAuthor%5D&amp;cauthor=true&amp;cauthor_uid=25242569" TargetMode="External"/><Relationship Id="rId63" Type="http://schemas.openxmlformats.org/officeDocument/2006/relationships/hyperlink" Target="http://www.ncbi.nlm.nih.gov/pubmed?term=Ojengbede%20O%5BAuthor%5D&amp;cauthor=true&amp;cauthor_uid=25242052" TargetMode="External"/><Relationship Id="rId68" Type="http://schemas.openxmlformats.org/officeDocument/2006/relationships/hyperlink" Target="http://www.ncbi.nlm.nih.gov/pubmed?term=Figueiredob%20CG%5BAuthor%5D&amp;cauthor=true&amp;cauthor_uid=25236970" TargetMode="External"/><Relationship Id="rId84" Type="http://schemas.openxmlformats.org/officeDocument/2006/relationships/header" Target="header1.xml"/><Relationship Id="rId16" Type="http://schemas.openxmlformats.org/officeDocument/2006/relationships/hyperlink" Target="http://www.ncbi.nlm.nih.gov/pubmed?term=Hsu%20RW%5BAuthor%5D&amp;cauthor=true&amp;cauthor_uid=25258526" TargetMode="External"/><Relationship Id="rId11" Type="http://schemas.openxmlformats.org/officeDocument/2006/relationships/hyperlink" Target="http://www.ncbi.nlm.nih.gov/pubmed?term=Hsu%20WH%5BAuthor%5D&amp;cauthor=true&amp;cauthor_uid=25258526" TargetMode="External"/><Relationship Id="rId32" Type="http://schemas.openxmlformats.org/officeDocument/2006/relationships/hyperlink" Target="http://www.ncbi.nlm.nih.gov/pubmed/25247156" TargetMode="External"/><Relationship Id="rId37" Type="http://schemas.openxmlformats.org/officeDocument/2006/relationships/hyperlink" Target="http://www.ncbi.nlm.nih.gov/pubmed?term=Sohn%20SY%5BAuthor%5D&amp;cauthor=true&amp;cauthor_uid=25247156" TargetMode="External"/><Relationship Id="rId53" Type="http://schemas.openxmlformats.org/officeDocument/2006/relationships/hyperlink" Target="http://www.ncbi.nlm.nih.gov/pubmed?term=Kim%20SH%5BAuthor%5D&amp;cauthor=true&amp;cauthor_uid=25242259" TargetMode="External"/><Relationship Id="rId58" Type="http://schemas.openxmlformats.org/officeDocument/2006/relationships/hyperlink" Target="http://www.ncbi.nlm.nih.gov/pubmed?term=Ndom%20P%5BAuthor%5D&amp;cauthor=true&amp;cauthor_uid=25242052" TargetMode="External"/><Relationship Id="rId74" Type="http://schemas.openxmlformats.org/officeDocument/2006/relationships/hyperlink" Target="http://www.ncbi.nlm.nih.gov/pubmed?term=Emanuellib%20T%5BAuthor%5D&amp;cauthor=true&amp;cauthor_uid=25236970" TargetMode="External"/><Relationship Id="rId79" Type="http://schemas.openxmlformats.org/officeDocument/2006/relationships/hyperlink" Target="http://www.ncbi.nlm.nih.gov/pubmed?term=Han%20EJ%5BAuthor%5D&amp;cauthor=true&amp;cauthor_uid=25233795" TargetMode="External"/><Relationship Id="rId5" Type="http://schemas.openxmlformats.org/officeDocument/2006/relationships/settings" Target="settings.xml"/><Relationship Id="rId19" Type="http://schemas.openxmlformats.org/officeDocument/2006/relationships/hyperlink" Target="http://www.ncbi.nlm.nih.gov/pubmed?term=Van%20Horn%20L%5BAuthor%5D&amp;cauthor=true&amp;cauthor_uid=25258014" TargetMode="External"/><Relationship Id="rId14" Type="http://schemas.openxmlformats.org/officeDocument/2006/relationships/hyperlink" Target="http://www.ncbi.nlm.nih.gov/pubmed?term=Fan%20CH%5BAuthor%5D&amp;cauthor=true&amp;cauthor_uid=25258526" TargetMode="External"/><Relationship Id="rId22" Type="http://schemas.openxmlformats.org/officeDocument/2006/relationships/hyperlink" Target="http://www.ncbi.nlm.nih.gov/pubmed?term=Chlebowski%20RT%5BAuthor%5D&amp;cauthor=true&amp;cauthor_uid=25258014" TargetMode="External"/><Relationship Id="rId27" Type="http://schemas.openxmlformats.org/officeDocument/2006/relationships/hyperlink" Target="http://www.ncbi.nlm.nih.gov/pubmed/25256933" TargetMode="External"/><Relationship Id="rId30" Type="http://schemas.openxmlformats.org/officeDocument/2006/relationships/hyperlink" Target="http://www.ncbi.nlm.nih.gov/pubmed?term=Javitz%20HS%5BAuthor%5D&amp;cauthor=true&amp;cauthor_uid=25256933" TargetMode="External"/><Relationship Id="rId35" Type="http://schemas.openxmlformats.org/officeDocument/2006/relationships/hyperlink" Target="http://www.ncbi.nlm.nih.gov/pubmed?term=Joung%20JY%5BAuthor%5D&amp;cauthor=true&amp;cauthor_uid=25247156" TargetMode="External"/><Relationship Id="rId43" Type="http://schemas.openxmlformats.org/officeDocument/2006/relationships/hyperlink" Target="http://www.ncbi.nlm.nih.gov/pubmed?term=Lee%20MK%5BAuthor%5D&amp;cauthor=true&amp;cauthor_uid=25247156" TargetMode="External"/><Relationship Id="rId48" Type="http://schemas.openxmlformats.org/officeDocument/2006/relationships/hyperlink" Target="http://www.ncbi.nlm.nih.gov/pubmed?term=Jaimchariyatam%20N%5BAuthor%5D&amp;cauthor=true&amp;cauthor_uid=25242569" TargetMode="External"/><Relationship Id="rId56" Type="http://schemas.openxmlformats.org/officeDocument/2006/relationships/hyperlink" Target="http://www.ncbi.nlm.nih.gov/pubmed/25242052" TargetMode="External"/><Relationship Id="rId64" Type="http://schemas.openxmlformats.org/officeDocument/2006/relationships/hyperlink" Target="http://www.ncbi.nlm.nih.gov/pubmed?term=Gakwaya%20A%5BAuthor%5D&amp;cauthor=true&amp;cauthor_uid=25242052" TargetMode="External"/><Relationship Id="rId69" Type="http://schemas.openxmlformats.org/officeDocument/2006/relationships/hyperlink" Target="http://www.ncbi.nlm.nih.gov/pubmed?term=Zanchib%20MM%5BAuthor%5D&amp;cauthor=true&amp;cauthor_uid=25236970" TargetMode="External"/><Relationship Id="rId77" Type="http://schemas.openxmlformats.org/officeDocument/2006/relationships/hyperlink" Target="http://www.ncbi.nlm.nih.gov/pubmed?term=Chon%20SJ%5BAuthor%5D&amp;cauthor=true&amp;cauthor_uid=25233795" TargetMode="External"/><Relationship Id="rId8" Type="http://schemas.openxmlformats.org/officeDocument/2006/relationships/endnotes" Target="endnotes.xml"/><Relationship Id="rId51" Type="http://schemas.openxmlformats.org/officeDocument/2006/relationships/hyperlink" Target="http://www.ncbi.nlm.nih.gov/pubmed?term=Taechakraichana%20N%5BAuthor%5D&amp;cauthor=true&amp;cauthor_uid=25242569" TargetMode="External"/><Relationship Id="rId72" Type="http://schemas.openxmlformats.org/officeDocument/2006/relationships/hyperlink" Target="http://www.ncbi.nlm.nih.gov/pubmed?term=Duartec%20MM%5BAuthor%5D&amp;cauthor=true&amp;cauthor_uid=25236970" TargetMode="External"/><Relationship Id="rId80" Type="http://schemas.openxmlformats.org/officeDocument/2006/relationships/hyperlink" Target="http://www.ncbi.nlm.nih.gov/pubmed?term=Cho%20S%5BAuthor%5D&amp;cauthor=true&amp;cauthor_uid=25233795"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cbi.nlm.nih.gov/pubmed?term=Chen%20CL%5BAuthor%5D&amp;cauthor=true&amp;cauthor_uid=25258526" TargetMode="External"/><Relationship Id="rId17" Type="http://schemas.openxmlformats.org/officeDocument/2006/relationships/hyperlink" Target="http://www.ncbi.nlm.nih.gov/pubmed/25258014" TargetMode="External"/><Relationship Id="rId25" Type="http://schemas.openxmlformats.org/officeDocument/2006/relationships/hyperlink" Target="http://www.ncbi.nlm.nih.gov/pubmed?term=Tinker%20LF%5BAuthor%5D&amp;cauthor=true&amp;cauthor_uid=25258014" TargetMode="External"/><Relationship Id="rId33" Type="http://schemas.openxmlformats.org/officeDocument/2006/relationships/hyperlink" Target="http://www.ncbi.nlm.nih.gov/pubmed?term=Park%20SM%5BAuthor%5D&amp;cauthor=true&amp;cauthor_uid=25247156" TargetMode="External"/><Relationship Id="rId38" Type="http://schemas.openxmlformats.org/officeDocument/2006/relationships/hyperlink" Target="http://www.ncbi.nlm.nih.gov/pubmed?term=Jin%20SM%5BAuthor%5D&amp;cauthor=true&amp;cauthor_uid=25247156" TargetMode="External"/><Relationship Id="rId46" Type="http://schemas.openxmlformats.org/officeDocument/2006/relationships/hyperlink" Target="http://www.ncbi.nlm.nih.gov/pubmed?term=Tansupswatdikul%20P%5BAuthor%5D&amp;cauthor=true&amp;cauthor_uid=25242569" TargetMode="External"/><Relationship Id="rId59" Type="http://schemas.openxmlformats.org/officeDocument/2006/relationships/hyperlink" Target="http://www.ncbi.nlm.nih.gov/pubmed?term=Jombwe%20J%5BAuthor%5D&amp;cauthor=true&amp;cauthor_uid=25242052" TargetMode="External"/><Relationship Id="rId67" Type="http://schemas.openxmlformats.org/officeDocument/2006/relationships/hyperlink" Target="http://www.ncbi.nlm.nih.gov/pubmed?term=Unfera%20TC%5BAuthor%5D&amp;cauthor=true&amp;cauthor_uid=25236970" TargetMode="External"/><Relationship Id="rId20" Type="http://schemas.openxmlformats.org/officeDocument/2006/relationships/hyperlink" Target="http://www.ncbi.nlm.nih.gov/pubmed?term=Caan%20BJ%5BAuthor%5D&amp;cauthor=true&amp;cauthor_uid=25258014" TargetMode="External"/><Relationship Id="rId41" Type="http://schemas.openxmlformats.org/officeDocument/2006/relationships/hyperlink" Target="http://www.ncbi.nlm.nih.gov/pubmed?term=Kim%20SW%5BAuthor%5D&amp;cauthor=true&amp;cauthor_uid=25247156" TargetMode="External"/><Relationship Id="rId54" Type="http://schemas.openxmlformats.org/officeDocument/2006/relationships/hyperlink" Target="http://www.ncbi.nlm.nih.gov/pubmed?term=Kim%20TH%5BAuthor%5D&amp;cauthor=true&amp;cauthor_uid=25242259" TargetMode="External"/><Relationship Id="rId62" Type="http://schemas.openxmlformats.org/officeDocument/2006/relationships/hyperlink" Target="http://www.ncbi.nlm.nih.gov/pubmed?term=Morhason-Bello%20I%5BAuthor%5D&amp;cauthor=true&amp;cauthor_uid=25242052" TargetMode="External"/><Relationship Id="rId70" Type="http://schemas.openxmlformats.org/officeDocument/2006/relationships/hyperlink" Target="http://www.ncbi.nlm.nih.gov/pubmed?term=Maurerb%20LH%5BAuthor%5D&amp;cauthor=true&amp;cauthor_uid=25236970" TargetMode="External"/><Relationship Id="rId75" Type="http://schemas.openxmlformats.org/officeDocument/2006/relationships/hyperlink" Target="http://www.ncbi.nlm.nih.gov/pubmed/25233795" TargetMode="External"/><Relationship Id="rId83" Type="http://schemas.openxmlformats.org/officeDocument/2006/relationships/hyperlink" Target="http://www.ncbi.nlm.nih.gov/pubmed?term=Seo%20SK%5BAuthor%5D&amp;cauthor=true&amp;cauthor_uid=2523379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cbi.nlm.nih.gov/pubmed?term=Lee%20MS%5BAuthor%5D&amp;cauthor=true&amp;cauthor_uid=25258526" TargetMode="External"/><Relationship Id="rId23" Type="http://schemas.openxmlformats.org/officeDocument/2006/relationships/hyperlink" Target="http://www.ncbi.nlm.nih.gov/pubmed?term=Manson%20JE%5BAuthor%5D&amp;cauthor=true&amp;cauthor_uid=25258014" TargetMode="External"/><Relationship Id="rId28" Type="http://schemas.openxmlformats.org/officeDocument/2006/relationships/hyperlink" Target="http://www.ncbi.nlm.nih.gov/pubmed?term=de%20Zambotti%20M%5BAuthor%5D&amp;cauthor=true&amp;cauthor_uid=25256933" TargetMode="External"/><Relationship Id="rId36" Type="http://schemas.openxmlformats.org/officeDocument/2006/relationships/hyperlink" Target="http://www.ncbi.nlm.nih.gov/pubmed?term=Cho%20YY%5BAuthor%5D&amp;cauthor=true&amp;cauthor_uid=25247156" TargetMode="External"/><Relationship Id="rId49" Type="http://schemas.openxmlformats.org/officeDocument/2006/relationships/hyperlink" Target="http://www.ncbi.nlm.nih.gov/pubmed?term=Panyakhamlerd%20K%5BAuthor%5D&amp;cauthor=true&amp;cauthor_uid=25242569" TargetMode="External"/><Relationship Id="rId57" Type="http://schemas.openxmlformats.org/officeDocument/2006/relationships/hyperlink" Target="http://www.ncbi.nlm.nih.gov/pubmed?term=Hou%20N%5BAuthor%5D&amp;cauthor=true&amp;cauthor_uid=25242052" TargetMode="External"/><Relationship Id="rId10" Type="http://schemas.openxmlformats.org/officeDocument/2006/relationships/hyperlink" Target="http://www.ncbi.nlm.nih.gov/pubmed/25258526" TargetMode="External"/><Relationship Id="rId31" Type="http://schemas.openxmlformats.org/officeDocument/2006/relationships/hyperlink" Target="http://www.ncbi.nlm.nih.gov/pubmed?term=Baker%20FC%5BAuthor%5D&amp;cauthor=true&amp;cauthor_uid=25256933" TargetMode="External"/><Relationship Id="rId44" Type="http://schemas.openxmlformats.org/officeDocument/2006/relationships/hyperlink" Target="http://www.ncbi.nlm.nih.gov/pubmed?term=Min%20YK%5BAuthor%5D&amp;cauthor=true&amp;cauthor_uid=25247156" TargetMode="External"/><Relationship Id="rId52" Type="http://schemas.openxmlformats.org/officeDocument/2006/relationships/hyperlink" Target="http://www.ncbi.nlm.nih.gov/pubmed/25242259" TargetMode="External"/><Relationship Id="rId60" Type="http://schemas.openxmlformats.org/officeDocument/2006/relationships/hyperlink" Target="http://www.ncbi.nlm.nih.gov/pubmed?term=Ogundiran%20TO%5BAuthor%5D&amp;cauthor=true&amp;cauthor_uid=25242052" TargetMode="External"/><Relationship Id="rId65" Type="http://schemas.openxmlformats.org/officeDocument/2006/relationships/hyperlink" Target="http://www.ncbi.nlm.nih.gov/pubmed?term=Huo%20D%5BAuthor%5D&amp;cauthor=true&amp;cauthor_uid=25242052" TargetMode="External"/><Relationship Id="rId73" Type="http://schemas.openxmlformats.org/officeDocument/2006/relationships/hyperlink" Target="http://www.ncbi.nlm.nih.gov/pubmed?term=Konopkaa%20CK%5BAuthor%5D&amp;cauthor=true&amp;cauthor_uid=25236970" TargetMode="External"/><Relationship Id="rId78" Type="http://schemas.openxmlformats.org/officeDocument/2006/relationships/hyperlink" Target="http://www.ncbi.nlm.nih.gov/pubmed?term=Lee%20YJ%5BAuthor%5D&amp;cauthor=true&amp;cauthor_uid=25233795" TargetMode="External"/><Relationship Id="rId81" Type="http://schemas.openxmlformats.org/officeDocument/2006/relationships/hyperlink" Target="http://www.ncbi.nlm.nih.gov/pubmed?term=Choi%20YS%5BAuthor%5D&amp;cauthor=true&amp;cauthor_uid=25233795" TargetMode="External"/><Relationship Id="rId86"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www.ncbi.nlm.nih.gov/pubmed?term=Kuo%20LT%5BAuthor%5D&amp;cauthor=true&amp;cauthor_uid=25258526" TargetMode="External"/><Relationship Id="rId18" Type="http://schemas.openxmlformats.org/officeDocument/2006/relationships/hyperlink" Target="http://www.ncbi.nlm.nih.gov/pubmed?term=Thomson%20CA%5BAuthor%5D&amp;cauthor=true&amp;cauthor_uid=25258014" TargetMode="External"/><Relationship Id="rId39" Type="http://schemas.openxmlformats.org/officeDocument/2006/relationships/hyperlink" Target="http://www.ncbi.nlm.nih.gov/pubmed?term=Hur%20KY%5BAuthor%5D&amp;cauthor=true&amp;cauthor_uid=25247156" TargetMode="External"/><Relationship Id="rId34" Type="http://schemas.openxmlformats.org/officeDocument/2006/relationships/hyperlink" Target="http://www.ncbi.nlm.nih.gov/pubmed?term=Jee%20J%5BAuthor%5D&amp;cauthor=true&amp;cauthor_uid=25247156" TargetMode="External"/><Relationship Id="rId50" Type="http://schemas.openxmlformats.org/officeDocument/2006/relationships/hyperlink" Target="http://www.ncbi.nlm.nih.gov/pubmed?term=Jaisamrarn%20U%5BAuthor%5D&amp;cauthor=true&amp;cauthor_uid=25242569" TargetMode="External"/><Relationship Id="rId55" Type="http://schemas.openxmlformats.org/officeDocument/2006/relationships/hyperlink" Target="http://www.ncbi.nlm.nih.gov/pubmed?term=Kim%20SK%5BAuthor%5D&amp;cauthor=true&amp;cauthor_uid=25242259" TargetMode="External"/><Relationship Id="rId76" Type="http://schemas.openxmlformats.org/officeDocument/2006/relationships/hyperlink" Target="http://www.ncbi.nlm.nih.gov/pubmed?term=Yun%20BH%5BAuthor%5D&amp;cauthor=true&amp;cauthor_uid=25233795" TargetMode="External"/><Relationship Id="rId7" Type="http://schemas.openxmlformats.org/officeDocument/2006/relationships/footnotes" Target="footnotes.xml"/><Relationship Id="rId71" Type="http://schemas.openxmlformats.org/officeDocument/2006/relationships/hyperlink" Target="http://www.ncbi.nlm.nih.gov/pubmed?term=Kemerichb%20DM%5BAuthor%5D&amp;cauthor=true&amp;cauthor_uid=25236970" TargetMode="External"/><Relationship Id="rId2" Type="http://schemas.openxmlformats.org/officeDocument/2006/relationships/numbering" Target="numbering.xml"/><Relationship Id="rId29" Type="http://schemas.openxmlformats.org/officeDocument/2006/relationships/hyperlink" Target="http://www.ncbi.nlm.nih.gov/pubmed?term=Colrain%20IM%5BAuthor%5D&amp;cauthor=true&amp;cauthor_uid=25256933" TargetMode="External"/><Relationship Id="rId24" Type="http://schemas.openxmlformats.org/officeDocument/2006/relationships/hyperlink" Target="http://www.ncbi.nlm.nih.gov/pubmed?term=Rohan%20TE%5BAuthor%5D&amp;cauthor=true&amp;cauthor_uid=25258014" TargetMode="External"/><Relationship Id="rId40" Type="http://schemas.openxmlformats.org/officeDocument/2006/relationships/hyperlink" Target="http://www.ncbi.nlm.nih.gov/pubmed?term=Kim%20JH%5BAuthor%5D&amp;cauthor=true&amp;cauthor_uid=25247156" TargetMode="External"/><Relationship Id="rId45" Type="http://schemas.openxmlformats.org/officeDocument/2006/relationships/hyperlink" Target="http://www.ncbi.nlm.nih.gov/pubmed?term=Tansupswatdikul%20P%5BAuthor%5D&amp;cauthor=true&amp;cauthor_uid=25242569" TargetMode="External"/><Relationship Id="rId66" Type="http://schemas.openxmlformats.org/officeDocument/2006/relationships/hyperlink" Target="http://www.ncbi.nlm.nih.gov/pubmed/25236970" TargetMode="External"/><Relationship Id="rId87" Type="http://schemas.openxmlformats.org/officeDocument/2006/relationships/theme" Target="theme/theme1.xml"/><Relationship Id="rId61" Type="http://schemas.openxmlformats.org/officeDocument/2006/relationships/hyperlink" Target="http://www.ncbi.nlm.nih.gov/pubmed?term=Ademola%20A%5BAuthor%5D&amp;cauthor=true&amp;cauthor_uid=25242052" TargetMode="External"/><Relationship Id="rId82" Type="http://schemas.openxmlformats.org/officeDocument/2006/relationships/hyperlink" Target="http://www.ncbi.nlm.nih.gov/pubmed?term=Lee%20BS%5BAuthor%5D&amp;cauthor=true&amp;cauthor_uid=2523379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A6E5771-1DDD-4504-BF7D-4B0F1AFB3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4098</Words>
  <Characters>22541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26586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2014-10-01T16:20:00Z</dcterms:created>
  <dcterms:modified xsi:type="dcterms:W3CDTF">2014-10-01T16:20:00Z</dcterms:modified>
</cp:coreProperties>
</file>