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40"/>
        <w:gridCol w:w="1896"/>
        <w:gridCol w:w="2084"/>
        <w:gridCol w:w="4630"/>
      </w:tblGrid>
      <w:tr w:rsidR="009C292B" w14:paraId="62A1B6E8" w14:textId="77777777" w:rsidTr="00B9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B292D68" w14:textId="77777777" w:rsidR="009C292B" w:rsidRDefault="009C292B" w:rsidP="00173C90">
            <w:r>
              <w:rPr>
                <w:color w:val="FFFFFF"/>
              </w:rPr>
              <w:t>Week</w:t>
            </w:r>
          </w:p>
        </w:tc>
        <w:tc>
          <w:tcPr>
            <w:tcW w:w="1014"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1114"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2476"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0F2CABB" w14:textId="77777777" w:rsidR="009C292B" w:rsidRDefault="009C292B" w:rsidP="00173C90">
            <w:r>
              <w:t>2</w:t>
            </w:r>
          </w:p>
        </w:tc>
        <w:tc>
          <w:tcPr>
            <w:tcW w:w="1014"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1114"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2476"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157E28AA" w14:textId="77777777" w:rsidR="009C292B" w:rsidRDefault="009C292B" w:rsidP="00173C90">
            <w:r>
              <w:t>2</w:t>
            </w:r>
          </w:p>
        </w:tc>
        <w:tc>
          <w:tcPr>
            <w:tcW w:w="1014"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1114"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2476"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5E75849" w14:textId="77777777" w:rsidR="009C292B" w:rsidRDefault="009C292B" w:rsidP="00173C90">
            <w:r>
              <w:t>2</w:t>
            </w:r>
          </w:p>
        </w:tc>
        <w:tc>
          <w:tcPr>
            <w:tcW w:w="1014"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1114"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2476"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3F2765AF" w14:textId="77777777" w:rsidR="009C292B" w:rsidRDefault="009C292B" w:rsidP="00173C90">
            <w:r>
              <w:t>2</w:t>
            </w:r>
          </w:p>
        </w:tc>
        <w:tc>
          <w:tcPr>
            <w:tcW w:w="1014"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1114"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2476"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FB11DE3" w14:textId="77777777" w:rsidR="009C292B" w:rsidRDefault="009C292B" w:rsidP="00173C90">
            <w:r>
              <w:t>2</w:t>
            </w:r>
          </w:p>
        </w:tc>
        <w:tc>
          <w:tcPr>
            <w:tcW w:w="1014"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1114"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2476"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6AA6347D" w14:textId="77777777" w:rsidR="009C292B" w:rsidRDefault="009C292B" w:rsidP="00173C90">
            <w:r>
              <w:t>2</w:t>
            </w:r>
          </w:p>
        </w:tc>
        <w:tc>
          <w:tcPr>
            <w:tcW w:w="1014"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1114"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measure_year used as time axis; release_year retained for provenance only</w:t>
            </w:r>
          </w:p>
        </w:tc>
        <w:tc>
          <w:tcPr>
            <w:tcW w:w="2476"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release year is not the same as the underlying survey year. The uninsured measure draws from SAHIE single-year estimates with a consistent 2-3 year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D07C028" w14:textId="77777777" w:rsidR="009C292B" w:rsidRDefault="009C292B" w:rsidP="00173C90">
            <w:r>
              <w:t>3</w:t>
            </w:r>
          </w:p>
        </w:tc>
        <w:tc>
          <w:tcPr>
            <w:tcW w:w="1014"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1114"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outcome: uninsured_raw (all-ages, v085/v059)</w:t>
            </w:r>
          </w:p>
        </w:tc>
        <w:tc>
          <w:tcPr>
            <w:tcW w:w="2476"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15EFB47C" w14:textId="77777777" w:rsidR="009C292B" w:rsidRDefault="009C292B" w:rsidP="00173C90">
            <w:r>
              <w:t>3</w:t>
            </w:r>
          </w:p>
        </w:tc>
        <w:tc>
          <w:tcPr>
            <w:tcW w:w="1014"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1114"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2476"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 xml:space="preserve">Variables selected cover income and poverty (median_income, child_poverty_rate, poverty_rate), education (hs_graduation_rate, some_college_rate), labor market (unemployment_rate), household structure (single_parent_rate), housing (severe_housing_rate), rurality (pct_rural), age composition (pct_under18, pct_65plus), race/ethnicity (pct_black, pct_aian, pct_asian, pct_hispanic, pct_white), and population. Health-behavior measures (smoking, obesity, physical inactivity) are excluded because they are </w:t>
            </w:r>
            <w:r>
              <w:lastRenderedPageBreak/>
              <w:t>plausibly downstream of insurance access and would complicate Part 1 interpretation.</w:t>
            </w:r>
          </w:p>
        </w:tc>
      </w:tr>
      <w:tr w:rsidR="009C292B" w14:paraId="308886FD"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5E2393F7" w14:textId="77777777" w:rsidR="009C292B" w:rsidRDefault="009C292B" w:rsidP="00173C90">
            <w:r>
              <w:lastRenderedPageBreak/>
              <w:t>3</w:t>
            </w:r>
          </w:p>
        </w:tc>
        <w:tc>
          <w:tcPr>
            <w:tcW w:w="1014"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Variables classified as Core, Partial, or Sparse based on year coverage and missingness</w:t>
            </w:r>
          </w:p>
        </w:tc>
        <w:tc>
          <w:tcPr>
            <w:tcW w:w="2476"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Core: present in all 14 primary years with 90%+ county coverage (12 variables). Partial: present in most years with gaps or elevated missingness (4 variables). Sparse: missing in many years or below 70% overall coverage (4 variables). Core variables are used in all models. Partial variables are used with noted caveats. Sparse variables are supplementary only.</w:t>
            </w:r>
          </w:p>
        </w:tc>
      </w:tr>
      <w:tr w:rsidR="009C292B" w14:paraId="25224821"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00AF629E" w14:textId="77777777" w:rsidR="009C292B" w:rsidRDefault="009C292B" w:rsidP="00173C90">
            <w:r>
              <w:t>3</w:t>
            </w:r>
          </w:p>
        </w:tc>
        <w:tc>
          <w:tcPr>
            <w:tcW w:w="1014"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1114"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pct_black and pct_aian classified Sparse; available 2012-2019 only</w:t>
            </w:r>
          </w:p>
        </w:tc>
        <w:tc>
          <w:tcPr>
            <w:tcW w:w="2476"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F35CD6E" w14:textId="77777777" w:rsidR="009C292B" w:rsidRDefault="009C292B" w:rsidP="00173C90">
            <w:r>
              <w:t>3</w:t>
            </w:r>
          </w:p>
        </w:tc>
        <w:tc>
          <w:tcPr>
            <w:tcW w:w="1014"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poverty_rate classified Sparse despite spanning all 14 release years</w:t>
            </w:r>
          </w:p>
        </w:tc>
        <w:tc>
          <w:tcPr>
            <w:tcW w:w="2476"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poverty_rate is 98% missing in 2013-2020 and present only in 2012 and 2021-2025 due to inconsistent CHR column population across releases. It cannot be used in longitudinal models. child_poverty_rate covers the complementary period (2013-2020) but is also Sparse. Together they cover most of the panel in non-overlapping windows.</w:t>
            </w:r>
          </w:p>
        </w:tc>
      </w:tr>
      <w:tr w:rsidR="009C292B" w14:paraId="0BFCA0FE"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05E0A3BE" w14:textId="77777777" w:rsidR="009C292B" w:rsidRDefault="009C292B" w:rsidP="00173C90">
            <w:r>
              <w:t>3</w:t>
            </w:r>
          </w:p>
        </w:tc>
        <w:tc>
          <w:tcPr>
            <w:tcW w:w="1014"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1114"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2476"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r w:rsidR="00FA1E78" w14:paraId="29BFC1DB"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02821436" w14:textId="77777777" w:rsidR="00FA1E78" w:rsidRPr="00FA1E78" w:rsidRDefault="00FA1E78">
            <w:r w:rsidRPr="00FA1E78">
              <w:t>4</w:t>
            </w:r>
          </w:p>
        </w:tc>
        <w:tc>
          <w:tcPr>
            <w:tcW w:w="1014" w:type="pct"/>
            <w:hideMark/>
          </w:tcPr>
          <w:p w14:paraId="534E0A1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Variable classification</w:t>
            </w:r>
          </w:p>
        </w:tc>
        <w:tc>
          <w:tcPr>
            <w:tcW w:w="1114" w:type="pct"/>
            <w:hideMark/>
          </w:tcPr>
          <w:p w14:paraId="73E5460E"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Column-name aliases added for poverty_rate, child_poverty_rate, pct_black, and pct_aian; reclassified as Core</w:t>
            </w:r>
          </w:p>
        </w:tc>
        <w:tc>
          <w:tcPr>
            <w:tcW w:w="2476" w:type="pct"/>
            <w:hideMark/>
          </w:tcPr>
          <w:p w14:paraId="3DBD7F0C"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These four variables are available in every CHR release year but appeared under different column names across releases. Adding alias entries to FEATURE_MAP (e.g., "% Non-Hispanic Black raw value" for pct_black, "Population below poverty line raw value" for poverty_rate) brings their missingness to Core levels. The panel was rebuilt and chr_panel.csv updated.</w:t>
            </w:r>
          </w:p>
        </w:tc>
      </w:tr>
      <w:tr w:rsidR="00FA1E78" w14:paraId="582F1076" w14:textId="77777777" w:rsidTr="00B91DA8">
        <w:tc>
          <w:tcPr>
            <w:cnfStyle w:val="001000000000" w:firstRow="0" w:lastRow="0" w:firstColumn="1" w:lastColumn="0" w:oddVBand="0" w:evenVBand="0" w:oddHBand="0" w:evenHBand="0" w:firstRowFirstColumn="0" w:firstRowLastColumn="0" w:lastRowFirstColumn="0" w:lastRowLastColumn="0"/>
            <w:tcW w:w="395" w:type="pct"/>
            <w:hideMark/>
          </w:tcPr>
          <w:p w14:paraId="3C7CC7E0" w14:textId="77777777" w:rsidR="00FA1E78" w:rsidRPr="00FA1E78" w:rsidRDefault="00FA1E78">
            <w:r w:rsidRPr="00FA1E78">
              <w:t>4</w:t>
            </w:r>
          </w:p>
        </w:tc>
        <w:tc>
          <w:tcPr>
            <w:tcW w:w="1014" w:type="pct"/>
            <w:hideMark/>
          </w:tcPr>
          <w:p w14:paraId="1A0CA3A2"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Variable classification</w:t>
            </w:r>
          </w:p>
        </w:tc>
        <w:tc>
          <w:tcPr>
            <w:tcW w:w="1114" w:type="pct"/>
            <w:hideMark/>
          </w:tcPr>
          <w:p w14:paraId="71EE4DB9"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income_inequality, pct_white, and severe_housing_rate confirmed as genuinely Sparse for 2011-2014 window</w:t>
            </w:r>
          </w:p>
        </w:tc>
        <w:tc>
          <w:tcPr>
            <w:tcW w:w="2476" w:type="pct"/>
            <w:hideMark/>
          </w:tcPr>
          <w:p w14:paraId="5E28A42C"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CHR did not back-fill these measures for earlier releases. income_inequality is absent in release years 2011-2014; pct_white is absent in 2011-2012; severe_housing_rate is absent in 2011-2013. These gaps are irreversible without an external data source and are documented as real structural missingness.</w:t>
            </w:r>
          </w:p>
        </w:tc>
      </w:tr>
      <w:tr w:rsidR="00FA1E78" w14:paraId="3A5429CD"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20976EF6" w14:textId="77777777" w:rsidR="00FA1E78" w:rsidRPr="00FA1E78" w:rsidRDefault="00FA1E78">
            <w:r w:rsidRPr="00FA1E78">
              <w:t>4</w:t>
            </w:r>
          </w:p>
        </w:tc>
        <w:tc>
          <w:tcPr>
            <w:tcW w:w="1014" w:type="pct"/>
            <w:hideMark/>
          </w:tcPr>
          <w:p w14:paraId="6C88A30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Modeling window</w:t>
            </w:r>
          </w:p>
        </w:tc>
        <w:tc>
          <w:tcPr>
            <w:tcW w:w="1114" w:type="pct"/>
            <w:hideMark/>
          </w:tcPr>
          <w:p w14:paraId="50E2AD8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Part 2 modeling window set to 2015-2025 (release years)</w:t>
            </w:r>
          </w:p>
        </w:tc>
        <w:tc>
          <w:tcPr>
            <w:tcW w:w="2476" w:type="pct"/>
            <w:hideMark/>
          </w:tcPr>
          <w:p w14:paraId="23276B8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All Core predictors are fully populated from release year 2015 onward. Using 2015-2025 eliminates the need to handle structural missingness in income_inequality, pct_white, and severe_housing_rate for the panel regression. The descriptive analysis uses the full 2012-2025 panel.</w:t>
            </w:r>
          </w:p>
        </w:tc>
      </w:tr>
      <w:tr w:rsidR="00FA1E78" w14:paraId="2963B66F" w14:textId="77777777" w:rsidTr="00B91DA8">
        <w:tc>
          <w:tcPr>
            <w:cnfStyle w:val="001000000000" w:firstRow="0" w:lastRow="0" w:firstColumn="1" w:lastColumn="0" w:oddVBand="0" w:evenVBand="0" w:oddHBand="0" w:evenHBand="0" w:firstRowFirstColumn="0" w:firstRowLastColumn="0" w:lastRowFirstColumn="0" w:lastRowLastColumn="0"/>
            <w:tcW w:w="395" w:type="pct"/>
            <w:hideMark/>
          </w:tcPr>
          <w:p w14:paraId="49D47391" w14:textId="77777777" w:rsidR="00FA1E78" w:rsidRPr="00FA1E78" w:rsidRDefault="00FA1E78">
            <w:r w:rsidRPr="00FA1E78">
              <w:t>4</w:t>
            </w:r>
          </w:p>
        </w:tc>
        <w:tc>
          <w:tcPr>
            <w:tcW w:w="1014" w:type="pct"/>
            <w:hideMark/>
          </w:tcPr>
          <w:p w14:paraId="76625033"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Extension design</w:t>
            </w:r>
          </w:p>
        </w:tc>
        <w:tc>
          <w:tcPr>
            <w:tcW w:w="1114" w:type="pct"/>
            <w:hideMark/>
          </w:tcPr>
          <w:p w14:paraId="34AB9C27"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 xml:space="preserve">Medicaid expansion comparison uses population-weighted </w:t>
            </w:r>
            <w:r w:rsidRPr="00FA1E78">
              <w:lastRenderedPageBreak/>
              <w:t>group means with binary expansion status from Kaiser Family Foundation tracker</w:t>
            </w:r>
          </w:p>
        </w:tc>
        <w:tc>
          <w:tcPr>
            <w:tcW w:w="2476" w:type="pct"/>
            <w:hideMark/>
          </w:tcPr>
          <w:p w14:paraId="3692661A"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lastRenderedPageBreak/>
              <w:t xml:space="preserve">Weighting by county population ensures that large counties contribute proportionally to the group trend. Binary expansion status (0/1) is </w:t>
            </w:r>
            <w:r w:rsidRPr="00FA1E78">
              <w:lastRenderedPageBreak/>
              <w:t>derived from the KFF Medicaid expansion tracker. The comparison is explicitly descriptive and not interpreted causally, given systematic differences between expansion and non-expansion states. A formal event-time analysis using two-way fixed effects is deferred to Part 2.</w:t>
            </w:r>
          </w:p>
        </w:tc>
      </w:tr>
      <w:tr w:rsidR="00980360" w14:paraId="03551497"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8EF62AE" w14:textId="72039E06" w:rsidR="00980360" w:rsidRPr="00FA1E78" w:rsidRDefault="00980360">
            <w:r>
              <w:lastRenderedPageBreak/>
              <w:t>4</w:t>
            </w:r>
          </w:p>
        </w:tc>
        <w:tc>
          <w:tcPr>
            <w:tcW w:w="1014" w:type="pct"/>
          </w:tcPr>
          <w:p w14:paraId="32A97A63" w14:textId="1D659CB6" w:rsidR="00980360" w:rsidRPr="00FA1E78" w:rsidRDefault="0098036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2AC90541" w14:textId="5E744E4A" w:rsidR="00980360" w:rsidRPr="00FA1E78" w:rsidRDefault="00980360">
            <w:pPr>
              <w:cnfStyle w:val="000000100000" w:firstRow="0" w:lastRow="0" w:firstColumn="0" w:lastColumn="0" w:oddVBand="0" w:evenVBand="0" w:oddHBand="1" w:evenHBand="0" w:firstRowFirstColumn="0" w:firstRowLastColumn="0" w:lastRowFirstColumn="0" w:lastRowLastColumn="0"/>
            </w:pPr>
            <w:r>
              <w:t>poverty_rate removed from feature map</w:t>
            </w:r>
          </w:p>
        </w:tc>
        <w:tc>
          <w:tcPr>
            <w:tcW w:w="2476" w:type="pct"/>
          </w:tcPr>
          <w:p w14:paraId="7CDB478E" w14:textId="2B8A46F5" w:rsidR="00980360" w:rsidRPr="00FA1E78" w:rsidRDefault="001B31B8">
            <w:pPr>
              <w:cnfStyle w:val="000000100000" w:firstRow="0" w:lastRow="0" w:firstColumn="0" w:lastColumn="0" w:oddVBand="0" w:evenVBand="0" w:oddHBand="1" w:evenHBand="0" w:firstRowFirstColumn="0" w:firstRowLastColumn="0" w:lastRowFirstColumn="0" w:lastRowLastColumn="0"/>
            </w:pPr>
            <w:r w:rsidRPr="001B31B8">
              <w:t xml:space="preserve">poverty_rate (v118_rawvalue) </w:t>
            </w:r>
            <w:r w:rsidR="00BF3849" w:rsidRPr="00BF3849">
              <w:t>was removed from the feature set after diagnostics confirmed it is populated exclusively for Wisconsin counties in the CHR files and is not a national county-level measure. Child poverty rate (v024_rawvalue) is retained as the poverty proxy and is Core-level across all 14 primary years.</w:t>
            </w:r>
          </w:p>
        </w:tc>
      </w:tr>
      <w:tr w:rsidR="00B91DA8" w14:paraId="1AA65E7C"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1C709900" w14:textId="3898FDF6" w:rsidR="00B91DA8" w:rsidRDefault="00B91DA8" w:rsidP="00B91DA8">
            <w:r>
              <w:rPr>
                <w:rFonts w:ascii="Calibri" w:eastAsia="Calibri" w:hAnsi="Calibri" w:cs="Calibri"/>
              </w:rPr>
              <w:t>5</w:t>
            </w:r>
          </w:p>
        </w:tc>
        <w:tc>
          <w:tcPr>
            <w:tcW w:w="1014" w:type="pct"/>
          </w:tcPr>
          <w:p w14:paraId="26AA45B5" w14:textId="6053A47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Modeling window</w:t>
            </w:r>
          </w:p>
        </w:tc>
        <w:tc>
          <w:tcPr>
            <w:tcW w:w="1114" w:type="pct"/>
          </w:tcPr>
          <w:p w14:paraId="6D40E6C6" w14:textId="03D9BB8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2015-2025 release years used for all baseline models</w:t>
            </w:r>
          </w:p>
        </w:tc>
        <w:tc>
          <w:tcPr>
            <w:tcW w:w="2476" w:type="pct"/>
          </w:tcPr>
          <w:p w14:paraId="6DE238B5" w14:textId="52FD0B41"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All 17 core features fully populated from 2015 onward; 2012-2014 excluded due to partial availability of income_inequality, severe_housing_rate, and pct_white</w:t>
            </w:r>
          </w:p>
        </w:tc>
      </w:tr>
      <w:tr w:rsidR="00B91DA8" w14:paraId="2A597343"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2769DA7" w14:textId="50A5A031" w:rsidR="00B91DA8" w:rsidRDefault="00B91DA8" w:rsidP="00B91DA8">
            <w:r>
              <w:rPr>
                <w:rFonts w:ascii="Calibri" w:eastAsia="Calibri" w:hAnsi="Calibri" w:cs="Calibri"/>
              </w:rPr>
              <w:t>5</w:t>
            </w:r>
          </w:p>
        </w:tc>
        <w:tc>
          <w:tcPr>
            <w:tcW w:w="1014" w:type="pct"/>
          </w:tcPr>
          <w:p w14:paraId="5B8AE7DC" w14:textId="7CFF60FF"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Missing-row handling</w:t>
            </w:r>
          </w:p>
        </w:tc>
        <w:tc>
          <w:tcPr>
            <w:tcW w:w="1114" w:type="pct"/>
          </w:tcPr>
          <w:p w14:paraId="7AEDCBBE" w14:textId="6C3917BC"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Rows missing any feature or outcome dropped before modeling (listwise deletion)</w:t>
            </w:r>
          </w:p>
        </w:tc>
        <w:tc>
          <w:tcPr>
            <w:tcW w:w="2476" w:type="pct"/>
          </w:tcPr>
          <w:p w14:paraId="0FAE3CA6" w14:textId="6550864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28,932 clean observations remain from 34,474 in the window; no imputation applied at this stage</w:t>
            </w:r>
          </w:p>
        </w:tc>
      </w:tr>
      <w:tr w:rsidR="00B91DA8" w14:paraId="72AD0327"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1E3C74D6" w14:textId="5D3D0D51" w:rsidR="00B91DA8" w:rsidRDefault="00B91DA8" w:rsidP="00B91DA8">
            <w:r>
              <w:rPr>
                <w:rFonts w:ascii="Calibri" w:eastAsia="Calibri" w:hAnsi="Calibri" w:cs="Calibri"/>
              </w:rPr>
              <w:t>5</w:t>
            </w:r>
          </w:p>
        </w:tc>
        <w:tc>
          <w:tcPr>
            <w:tcW w:w="1014" w:type="pct"/>
          </w:tcPr>
          <w:p w14:paraId="105B0AF1" w14:textId="0A34B1F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OLS year dummies</w:t>
            </w:r>
          </w:p>
        </w:tc>
        <w:tc>
          <w:tcPr>
            <w:tcW w:w="1114" w:type="pct"/>
          </w:tcPr>
          <w:p w14:paraId="0FBF6C53" w14:textId="229D47C0"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Year dummies included in pooled OLS design matrix</w:t>
            </w:r>
          </w:p>
        </w:tc>
        <w:tc>
          <w:tcPr>
            <w:tcW w:w="2476" w:type="pct"/>
          </w:tcPr>
          <w:p w14:paraId="3DAB60CA" w14:textId="06D64880"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Absorbs national ACA time trend; prevents trend from inflating feature coefficients; open question submitted to professor on whether to retain for final memo</w:t>
            </w:r>
          </w:p>
        </w:tc>
      </w:tr>
      <w:tr w:rsidR="00B91DA8" w14:paraId="0E0F3677"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89ECFB8" w14:textId="65A80F5E" w:rsidR="00B91DA8" w:rsidRDefault="00B91DA8" w:rsidP="00B91DA8">
            <w:r>
              <w:rPr>
                <w:rFonts w:ascii="Calibri" w:eastAsia="Calibri" w:hAnsi="Calibri" w:cs="Calibri"/>
              </w:rPr>
              <w:t>5</w:t>
            </w:r>
          </w:p>
        </w:tc>
        <w:tc>
          <w:tcPr>
            <w:tcW w:w="1014" w:type="pct"/>
          </w:tcPr>
          <w:p w14:paraId="0F939B6A" w14:textId="7B62842D"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Ridge standardisation</w:t>
            </w:r>
          </w:p>
        </w:tc>
        <w:tc>
          <w:tcPr>
            <w:tcW w:w="1114" w:type="pct"/>
          </w:tcPr>
          <w:p w14:paraId="2CBDF59E" w14:textId="0D75BC4B"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Standardise core features only; append year dummies unscaled before RidgeCV</w:t>
            </w:r>
          </w:p>
        </w:tc>
        <w:tc>
          <w:tcPr>
            <w:tcW w:w="2476" w:type="pct"/>
          </w:tcPr>
          <w:p w14:paraId="0E848C83" w14:textId="78C54C27"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Ensures L2 penalty applies on a common scale across features without penalising time indicators</w:t>
            </w:r>
          </w:p>
        </w:tc>
      </w:tr>
      <w:tr w:rsidR="00B91DA8" w14:paraId="2F997825"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7F0C18E5" w14:textId="44077C3D" w:rsidR="00B91DA8" w:rsidRDefault="00B91DA8" w:rsidP="00B91DA8">
            <w:r>
              <w:rPr>
                <w:rFonts w:ascii="Calibri" w:eastAsia="Calibri" w:hAnsi="Calibri" w:cs="Calibri"/>
              </w:rPr>
              <w:t>5</w:t>
            </w:r>
          </w:p>
        </w:tc>
        <w:tc>
          <w:tcPr>
            <w:tcW w:w="1014" w:type="pct"/>
          </w:tcPr>
          <w:p w14:paraId="0E23FE3C" w14:textId="6E36049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Lasso result</w:t>
            </w:r>
          </w:p>
        </w:tc>
        <w:tc>
          <w:tcPr>
            <w:tcW w:w="1114" w:type="pct"/>
          </w:tcPr>
          <w:p w14:paraId="15DCECC9" w14:textId="295B7CFC"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8 of 17 features zeroed at cross-validated alpha of 0.002</w:t>
            </w:r>
          </w:p>
        </w:tc>
        <w:tc>
          <w:tcPr>
            <w:tcW w:w="2476" w:type="pct"/>
          </w:tcPr>
          <w:p w14:paraId="57749C35" w14:textId="35D69EE6"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Zeroed: income_inequality, unemployment_rate, hs_graduation_rate, single_parent_rate, pct_65plus, pct_black, pct_asian, population. Active set of 9 forms the prioritised Part 2 feature set</w:t>
            </w:r>
          </w:p>
        </w:tc>
      </w:tr>
      <w:tr w:rsidR="00B91DA8" w14:paraId="48D0EA0D"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1CC7EEA" w14:textId="059A9EBF" w:rsidR="00B91DA8" w:rsidRDefault="00B91DA8" w:rsidP="00B91DA8">
            <w:r>
              <w:rPr>
                <w:rFonts w:ascii="Calibri" w:eastAsia="Calibri" w:hAnsi="Calibri" w:cs="Calibri"/>
              </w:rPr>
              <w:t>5</w:t>
            </w:r>
          </w:p>
        </w:tc>
        <w:tc>
          <w:tcPr>
            <w:tcW w:w="1014" w:type="pct"/>
          </w:tcPr>
          <w:p w14:paraId="3D2DABC1" w14:textId="17C8B9EA"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hs_graduation_rate</w:t>
            </w:r>
          </w:p>
        </w:tc>
        <w:tc>
          <w:tcPr>
            <w:tcW w:w="1114" w:type="pct"/>
          </w:tcPr>
          <w:p w14:paraId="1C22CF4D" w14:textId="0A910626"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Retain despite lasso zero based on RF importance rank of 8</w:t>
            </w:r>
          </w:p>
        </w:tc>
        <w:tc>
          <w:tcPr>
            <w:tcW w:w="2476" w:type="pct"/>
          </w:tcPr>
          <w:p w14:paraId="7E777BAF" w14:textId="78A5A5D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Lasso absorbs signal into some_college_rate; random forest finds nonlinear value independently; keeping avoids discarding a theoretically important predictor</w:t>
            </w:r>
          </w:p>
        </w:tc>
      </w:tr>
      <w:tr w:rsidR="00B91DA8" w14:paraId="10E022A5"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336D5F9C" w14:textId="019DD71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05F9AA1C" w14:textId="1F50EA84"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unemployment_rate</w:t>
            </w:r>
          </w:p>
        </w:tc>
        <w:tc>
          <w:tcPr>
            <w:tcW w:w="1114" w:type="pct"/>
          </w:tcPr>
          <w:p w14:paraId="55FF9DC2" w14:textId="7E419208"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Retain despite lasso zero for Part 2 fixed-effects model</w:t>
            </w:r>
          </w:p>
        </w:tc>
        <w:tc>
          <w:tcPr>
            <w:tcW w:w="2476" w:type="pct"/>
          </w:tcPr>
          <w:p w14:paraId="4A53EE0C" w14:textId="348C3E92"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Week 4 confirmed divergence between pooled and cross-sectional correlation; lasso correctly identifies as redundant in pooled cross-section; Part 2 FE expected to recover within-county signal</w:t>
            </w:r>
          </w:p>
        </w:tc>
      </w:tr>
      <w:tr w:rsidR="00B91DA8" w14:paraId="3E807398"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646EBF4" w14:textId="60DF5912" w:rsidR="00B91DA8" w:rsidRDefault="00B91DA8" w:rsidP="00B91DA8">
            <w:pPr>
              <w:rPr>
                <w:rFonts w:ascii="Calibri" w:eastAsia="Calibri" w:hAnsi="Calibri" w:cs="Calibri"/>
              </w:rPr>
            </w:pPr>
            <w:r>
              <w:rPr>
                <w:rFonts w:ascii="Calibri" w:eastAsia="Calibri" w:hAnsi="Calibri" w:cs="Calibri"/>
              </w:rPr>
              <w:t>5</w:t>
            </w:r>
          </w:p>
        </w:tc>
        <w:tc>
          <w:tcPr>
            <w:tcW w:w="1014" w:type="pct"/>
          </w:tcPr>
          <w:p w14:paraId="59D6C3C9" w14:textId="7368F2FC"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Nonlinearity finding</w:t>
            </w:r>
          </w:p>
        </w:tc>
        <w:tc>
          <w:tcPr>
            <w:tcW w:w="1114" w:type="pct"/>
          </w:tcPr>
          <w:p w14:paraId="1F21CF30" w14:textId="1C3E998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Random forest CV R-squared of 0.783 vs OLS 0.616; gap of approximately 0.17</w:t>
            </w:r>
          </w:p>
        </w:tc>
        <w:tc>
          <w:tcPr>
            <w:tcW w:w="2476" w:type="pct"/>
          </w:tcPr>
          <w:p w14:paraId="6F161DC1" w14:textId="2894536B"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Confirms meaningful nonlinearity but gap is not extreme; two-way fixed effects in Part 2 expected to capture most structure without requiring nonlinear panel methods</w:t>
            </w:r>
          </w:p>
        </w:tc>
      </w:tr>
      <w:tr w:rsidR="00B91DA8" w14:paraId="26FF7B26" w14:textId="77777777" w:rsidTr="00B91DA8">
        <w:tc>
          <w:tcPr>
            <w:cnfStyle w:val="001000000000" w:firstRow="0" w:lastRow="0" w:firstColumn="1" w:lastColumn="0" w:oddVBand="0" w:evenVBand="0" w:oddHBand="0" w:evenHBand="0" w:firstRowFirstColumn="0" w:firstRowLastColumn="0" w:lastRowFirstColumn="0" w:lastRowLastColumn="0"/>
            <w:tcW w:w="395" w:type="pct"/>
          </w:tcPr>
          <w:p w14:paraId="18619934" w14:textId="32241960" w:rsidR="00B91DA8" w:rsidRDefault="00B91DA8" w:rsidP="00B91DA8">
            <w:pPr>
              <w:rPr>
                <w:rFonts w:ascii="Calibri" w:eastAsia="Calibri" w:hAnsi="Calibri" w:cs="Calibri"/>
              </w:rPr>
            </w:pPr>
            <w:r>
              <w:rPr>
                <w:rFonts w:ascii="Calibri" w:eastAsia="Calibri" w:hAnsi="Calibri" w:cs="Calibri"/>
              </w:rPr>
              <w:t>5</w:t>
            </w:r>
          </w:p>
        </w:tc>
        <w:tc>
          <w:tcPr>
            <w:tcW w:w="1014" w:type="pct"/>
          </w:tcPr>
          <w:p w14:paraId="733F0D12" w14:textId="2DEE570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decision</w:t>
            </w:r>
          </w:p>
        </w:tc>
        <w:tc>
          <w:tcPr>
            <w:tcW w:w="1114" w:type="pct"/>
          </w:tcPr>
          <w:p w14:paraId="54E559AF" w14:textId="2B8DC1F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flagged for drop or control-only use in Part 2</w:t>
            </w:r>
          </w:p>
        </w:tc>
        <w:tc>
          <w:tcPr>
            <w:tcW w:w="2476" w:type="pct"/>
          </w:tcPr>
          <w:p w14:paraId="7DAE6902" w14:textId="78572ECB"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Lasso-inactive, RF rank 14 of 17; no consistent signal across any baseline model</w:t>
            </w:r>
          </w:p>
        </w:tc>
      </w:tr>
      <w:tr w:rsidR="00B91DA8" w14:paraId="3C43999E" w14:textId="77777777" w:rsidTr="00B9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8D9A03D" w14:textId="086924B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3FE50366" w14:textId="44B1F338"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single_parent_rate</w:t>
            </w:r>
          </w:p>
        </w:tc>
        <w:tc>
          <w:tcPr>
            <w:tcW w:w="1114" w:type="pct"/>
          </w:tcPr>
          <w:p w14:paraId="4FC04595" w14:textId="79CC7F69"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single_parent_rate flagged for exclusion from Part 2</w:t>
            </w:r>
          </w:p>
        </w:tc>
        <w:tc>
          <w:tcPr>
            <w:tcW w:w="2476" w:type="pct"/>
          </w:tcPr>
          <w:p w14:paraId="1E3A43B1" w14:textId="3540D7B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Lasso-inactive, RF rank 17 of 17; signal fully absorbed by poverty and income measures across all three model types</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265E9"/>
    <w:rsid w:val="000C21BA"/>
    <w:rsid w:val="001B31B8"/>
    <w:rsid w:val="001C767D"/>
    <w:rsid w:val="004B4832"/>
    <w:rsid w:val="005B2EA8"/>
    <w:rsid w:val="008715EE"/>
    <w:rsid w:val="008D514E"/>
    <w:rsid w:val="00980360"/>
    <w:rsid w:val="009C292B"/>
    <w:rsid w:val="00B91DA8"/>
    <w:rsid w:val="00BF3849"/>
    <w:rsid w:val="00CE001D"/>
    <w:rsid w:val="00D575F8"/>
    <w:rsid w:val="00DB2AF2"/>
    <w:rsid w:val="00FA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customXml/itemProps2.xml><?xml version="1.0" encoding="utf-8"?>
<ds:datastoreItem xmlns:ds="http://schemas.openxmlformats.org/officeDocument/2006/customXml" ds:itemID="{D7A5B4EB-9640-4FFD-98EB-39AF60ECE5C4}">
  <ds:schemaRefs>
    <ds:schemaRef ds:uri="http://schemas.microsoft.com/sharepoint/v3/contenttype/forms"/>
  </ds:schemaRefs>
</ds:datastoreItem>
</file>

<file path=customXml/itemProps3.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974</TotalTime>
  <Pages>3</Pages>
  <Words>1302</Words>
  <Characters>7845</Characters>
  <Application>Microsoft Office Word</Application>
  <DocSecurity>0</DocSecurity>
  <Lines>261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9</cp:revision>
  <dcterms:created xsi:type="dcterms:W3CDTF">2026-06-03T19:28:00Z</dcterms:created>
  <dcterms:modified xsi:type="dcterms:W3CDTF">2026-06-18T05:32:00Z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