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GridTable4-Accent2"/>
        <w:tblW w:w="5000" w:type="pct"/>
        <w:tblLook w:val="04A0" w:firstRow="1" w:lastRow="0" w:firstColumn="1" w:lastColumn="0" w:noHBand="0" w:noVBand="1"/>
      </w:tblPr>
      <w:tblGrid>
        <w:gridCol w:w="739"/>
        <w:gridCol w:w="1896"/>
        <w:gridCol w:w="2257"/>
        <w:gridCol w:w="4458"/>
      </w:tblGrid>
      <w:tr w:rsidR="009C292B" w14:paraId="62A1B6E8" w14:textId="77777777" w:rsidTr="00EE306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B292D68" w14:textId="77777777" w:rsidR="009C292B" w:rsidRDefault="009C292B" w:rsidP="00173C90">
            <w:r>
              <w:rPr>
                <w:color w:val="FFFFFF"/>
              </w:rPr>
              <w:t>Week</w:t>
            </w:r>
          </w:p>
        </w:tc>
        <w:tc>
          <w:tcPr>
            <w:tcW w:w="1014" w:type="pct"/>
          </w:tcPr>
          <w:p w14:paraId="65BFA82D"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Category</w:t>
            </w:r>
          </w:p>
        </w:tc>
        <w:tc>
          <w:tcPr>
            <w:tcW w:w="1207" w:type="pct"/>
          </w:tcPr>
          <w:p w14:paraId="04A3A570"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Decision</w:t>
            </w:r>
          </w:p>
        </w:tc>
        <w:tc>
          <w:tcPr>
            <w:tcW w:w="2384" w:type="pct"/>
          </w:tcPr>
          <w:p w14:paraId="150E5A0F" w14:textId="77777777" w:rsidR="009C292B" w:rsidRDefault="009C292B" w:rsidP="00173C90">
            <w:pPr>
              <w:cnfStyle w:val="100000000000" w:firstRow="1" w:lastRow="0" w:firstColumn="0" w:lastColumn="0" w:oddVBand="0" w:evenVBand="0" w:oddHBand="0" w:evenHBand="0" w:firstRowFirstColumn="0" w:firstRowLastColumn="0" w:lastRowFirstColumn="0" w:lastRowLastColumn="0"/>
            </w:pPr>
            <w:r>
              <w:rPr>
                <w:color w:val="FFFFFF"/>
              </w:rPr>
              <w:t>Justification</w:t>
            </w:r>
          </w:p>
        </w:tc>
      </w:tr>
      <w:tr w:rsidR="009C292B" w14:paraId="765AD3D9"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70F2CABB" w14:textId="77777777" w:rsidR="009C292B" w:rsidRDefault="009C292B" w:rsidP="00173C90">
            <w:r>
              <w:t>2</w:t>
            </w:r>
          </w:p>
        </w:tc>
        <w:tc>
          <w:tcPr>
            <w:tcW w:w="1014" w:type="pct"/>
          </w:tcPr>
          <w:p w14:paraId="2D5849B7"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Study period</w:t>
            </w:r>
          </w:p>
        </w:tc>
        <w:tc>
          <w:tcPr>
            <w:tcW w:w="1207" w:type="pct"/>
          </w:tcPr>
          <w:p w14:paraId="2F10CCF8"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Primary panel: 2012-2025 (release years)</w:t>
            </w:r>
          </w:p>
        </w:tc>
        <w:tc>
          <w:tcPr>
            <w:tcW w:w="2384" w:type="pct"/>
          </w:tcPr>
          <w:p w14:paraId="3294179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CHR began the all-ages uninsured measure (v085) in 2012. Using 2010-2011 in the primary series would mix two different measure populations (adults-only v003 vs all-ages v085), creating a structural break. A clean 14-year all-ages series is more defensible for longitudinal modeling.</w:t>
            </w:r>
          </w:p>
        </w:tc>
      </w:tr>
      <w:tr w:rsidR="009C292B" w14:paraId="2A00A5DA"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157E28AA" w14:textId="77777777" w:rsidR="009C292B" w:rsidRDefault="009C292B" w:rsidP="00173C90">
            <w:r>
              <w:t>2</w:t>
            </w:r>
          </w:p>
        </w:tc>
        <w:tc>
          <w:tcPr>
            <w:tcW w:w="1014" w:type="pct"/>
          </w:tcPr>
          <w:p w14:paraId="23EACCEA"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Study period</w:t>
            </w:r>
          </w:p>
        </w:tc>
        <w:tc>
          <w:tcPr>
            <w:tcW w:w="1207" w:type="pct"/>
          </w:tcPr>
          <w:p w14:paraId="01C3E79B"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2010-2011 reserved as independent extension using adults-only measure (v003)</w:t>
            </w:r>
          </w:p>
        </w:tc>
        <w:tc>
          <w:tcPr>
            <w:tcW w:w="2384" w:type="pct"/>
          </w:tcPr>
          <w:p w14:paraId="5398DA6F"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The adult uninsured rate (ages 18-64) is available from 2010 onward and enables a full 16-year series. Preserving 2010-2011 in a separate panel allows the extension analysis (RQ1) to quantify the magnitude of the measure-population break between the two series.</w:t>
            </w:r>
          </w:p>
        </w:tc>
      </w:tr>
      <w:tr w:rsidR="009C292B" w14:paraId="4741B772"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75E75849" w14:textId="77777777" w:rsidR="009C292B" w:rsidRDefault="009C292B" w:rsidP="00173C90">
            <w:r>
              <w:t>2</w:t>
            </w:r>
          </w:p>
        </w:tc>
        <w:tc>
          <w:tcPr>
            <w:tcW w:w="1014" w:type="pct"/>
          </w:tcPr>
          <w:p w14:paraId="4732DC49"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Geography</w:t>
            </w:r>
          </w:p>
        </w:tc>
        <w:tc>
          <w:tcPr>
            <w:tcW w:w="1207" w:type="pct"/>
          </w:tcPr>
          <w:p w14:paraId="0539A86D"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Connecticut excluded from the panel entirely</w:t>
            </w:r>
          </w:p>
        </w:tc>
        <w:tc>
          <w:tcPr>
            <w:tcW w:w="2384" w:type="pct"/>
          </w:tcPr>
          <w:p w14:paraId="0FFF1127"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Connecticut replaced its 8 counties with 9 planning regions in the 2022 CHR release. A clean crosswalk is not feasible for most variables. Excluding CT at the assembly stage keeps the sample geographically consistent across all descriptive and modeling sections.</w:t>
            </w:r>
          </w:p>
        </w:tc>
      </w:tr>
      <w:tr w:rsidR="009C292B" w14:paraId="778EE341"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3F2765AF" w14:textId="77777777" w:rsidR="009C292B" w:rsidRDefault="009C292B" w:rsidP="00173C90">
            <w:r>
              <w:t>2</w:t>
            </w:r>
          </w:p>
        </w:tc>
        <w:tc>
          <w:tcPr>
            <w:tcW w:w="1014" w:type="pct"/>
          </w:tcPr>
          <w:p w14:paraId="6574B92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FIPS handling</w:t>
            </w:r>
          </w:p>
        </w:tc>
        <w:tc>
          <w:tcPr>
            <w:tcW w:w="1207" w:type="pct"/>
          </w:tcPr>
          <w:p w14:paraId="49F0BB9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FIPS codes treated as strings throughout; zero-padded to 5 digits</w:t>
            </w:r>
          </w:p>
        </w:tc>
        <w:tc>
          <w:tcPr>
            <w:tcW w:w="2384" w:type="pct"/>
          </w:tcPr>
          <w:p w14:paraId="3358FA81"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Reading FIPS as integers strips leading zeros (e.g., Alabama counties become 1001 instead of 01001), which breaks all merge and filter operations. String treatment is applied consistently at the file-read stage.</w:t>
            </w:r>
          </w:p>
        </w:tc>
      </w:tr>
      <w:tr w:rsidR="009C292B" w14:paraId="1DEB659F"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3FB11DE3" w14:textId="77777777" w:rsidR="009C292B" w:rsidRDefault="009C292B" w:rsidP="00173C90">
            <w:r>
              <w:t>2</w:t>
            </w:r>
          </w:p>
        </w:tc>
        <w:tc>
          <w:tcPr>
            <w:tcW w:w="1014" w:type="pct"/>
          </w:tcPr>
          <w:p w14:paraId="08D46F40"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Row filtering</w:t>
            </w:r>
          </w:p>
        </w:tc>
        <w:tc>
          <w:tcPr>
            <w:tcW w:w="1207" w:type="pct"/>
          </w:tcPr>
          <w:p w14:paraId="58BC9F4C"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State summary rows (county FIPS portion = 000) filtered before stacking</w:t>
            </w:r>
          </w:p>
        </w:tc>
        <w:tc>
          <w:tcPr>
            <w:tcW w:w="2384" w:type="pct"/>
          </w:tcPr>
          <w:p w14:paraId="57381786"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Each CHR file contains one state-level summary row per state. These rows represent state aggregates, not counties, and must be removed before constructing a county-level panel.</w:t>
            </w:r>
          </w:p>
        </w:tc>
      </w:tr>
      <w:tr w:rsidR="009C292B" w14:paraId="255EB30D"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6AA6347D" w14:textId="77777777" w:rsidR="009C292B" w:rsidRDefault="009C292B" w:rsidP="00173C90">
            <w:r>
              <w:t>2</w:t>
            </w:r>
          </w:p>
        </w:tc>
        <w:tc>
          <w:tcPr>
            <w:tcW w:w="1014" w:type="pct"/>
          </w:tcPr>
          <w:p w14:paraId="0538944D"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Time axis</w:t>
            </w:r>
          </w:p>
        </w:tc>
        <w:tc>
          <w:tcPr>
            <w:tcW w:w="1207" w:type="pct"/>
          </w:tcPr>
          <w:p w14:paraId="669E0F3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proofErr w:type="spellStart"/>
            <w:r>
              <w:t>measure_year</w:t>
            </w:r>
            <w:proofErr w:type="spellEnd"/>
            <w:r>
              <w:t xml:space="preserve"> used as time axis; </w:t>
            </w:r>
            <w:proofErr w:type="spellStart"/>
            <w:r>
              <w:t>release_year</w:t>
            </w:r>
            <w:proofErr w:type="spellEnd"/>
            <w:r>
              <w:t xml:space="preserve"> retained for provenance only</w:t>
            </w:r>
          </w:p>
        </w:tc>
        <w:tc>
          <w:tcPr>
            <w:tcW w:w="2384" w:type="pct"/>
          </w:tcPr>
          <w:p w14:paraId="58BB52A7"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 release year is not the same as the underlying survey year. The uninsured measure draws from SAHIE single-year estimates with a consistent 2-3 year lag. Using release year on the time axis would misrepresent when the data were collected and misalign trend plots with policy events. All 16 measure years were verified against CHR technical documents.</w:t>
            </w:r>
          </w:p>
        </w:tc>
      </w:tr>
      <w:tr w:rsidR="009C292B" w14:paraId="1F22D26F"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3D07C028" w14:textId="77777777" w:rsidR="009C292B" w:rsidRDefault="009C292B" w:rsidP="00173C90">
            <w:r>
              <w:t>3</w:t>
            </w:r>
          </w:p>
        </w:tc>
        <w:tc>
          <w:tcPr>
            <w:tcW w:w="1014" w:type="pct"/>
          </w:tcPr>
          <w:p w14:paraId="6D638E7A"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Outcome variable</w:t>
            </w:r>
          </w:p>
        </w:tc>
        <w:tc>
          <w:tcPr>
            <w:tcW w:w="1207" w:type="pct"/>
          </w:tcPr>
          <w:p w14:paraId="1F5DD742"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 xml:space="preserve">Primary outcome: </w:t>
            </w:r>
            <w:proofErr w:type="spellStart"/>
            <w:r>
              <w:t>uninsured_raw</w:t>
            </w:r>
            <w:proofErr w:type="spellEnd"/>
            <w:r>
              <w:t xml:space="preserve"> (all-ages, v085/v059)</w:t>
            </w:r>
          </w:p>
        </w:tc>
        <w:tc>
          <w:tcPr>
            <w:tcW w:w="2384" w:type="pct"/>
          </w:tcPr>
          <w:p w14:paraId="6E17B90B"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The all-ages uninsured rate covers the broadest, most policy-relevant population and is available in 14 consecutive release years (2012-2025) from a consistent SAHIE source. It is 0% missing across all 14 primary years in the final panel.</w:t>
            </w:r>
          </w:p>
        </w:tc>
      </w:tr>
      <w:tr w:rsidR="009C292B" w14:paraId="2FC971E8"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15EFB47C" w14:textId="77777777" w:rsidR="009C292B" w:rsidRDefault="009C292B" w:rsidP="00173C90">
            <w:r>
              <w:t>3</w:t>
            </w:r>
          </w:p>
        </w:tc>
        <w:tc>
          <w:tcPr>
            <w:tcW w:w="1014" w:type="pct"/>
          </w:tcPr>
          <w:p w14:paraId="27EBA97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Feature selection</w:t>
            </w:r>
          </w:p>
        </w:tc>
        <w:tc>
          <w:tcPr>
            <w:tcW w:w="1207" w:type="pct"/>
          </w:tcPr>
          <w:p w14:paraId="16D087A8"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18 socioeconomic and demographic predictors selected; health-behavior measures excluded</w:t>
            </w:r>
          </w:p>
        </w:tc>
        <w:tc>
          <w:tcPr>
            <w:tcW w:w="2384" w:type="pct"/>
          </w:tcPr>
          <w:p w14:paraId="58F0FA91"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Variables selected cover income and poverty (</w:t>
            </w:r>
            <w:proofErr w:type="spellStart"/>
            <w:r>
              <w:t>median_income</w:t>
            </w:r>
            <w:proofErr w:type="spellEnd"/>
            <w:r>
              <w:t xml:space="preserve">, </w:t>
            </w:r>
            <w:proofErr w:type="spellStart"/>
            <w:r>
              <w:t>child_poverty_rate</w:t>
            </w:r>
            <w:proofErr w:type="spellEnd"/>
            <w:r>
              <w:t xml:space="preserve">, </w:t>
            </w:r>
            <w:proofErr w:type="spellStart"/>
            <w:r>
              <w:t>poverty_rate</w:t>
            </w:r>
            <w:proofErr w:type="spellEnd"/>
            <w:r>
              <w:t>), education (</w:t>
            </w:r>
            <w:proofErr w:type="spellStart"/>
            <w:r>
              <w:t>hs_graduation_rate</w:t>
            </w:r>
            <w:proofErr w:type="spellEnd"/>
            <w:r>
              <w:t xml:space="preserve">, </w:t>
            </w:r>
            <w:proofErr w:type="spellStart"/>
            <w:r>
              <w:t>some_college_rate</w:t>
            </w:r>
            <w:proofErr w:type="spellEnd"/>
            <w:r>
              <w:t>), labor market (</w:t>
            </w:r>
            <w:proofErr w:type="spellStart"/>
            <w:r>
              <w:t>unemployment_rate</w:t>
            </w:r>
            <w:proofErr w:type="spellEnd"/>
            <w:r>
              <w:t>), household structure (</w:t>
            </w:r>
            <w:proofErr w:type="spellStart"/>
            <w:r>
              <w:t>single_parent_rate</w:t>
            </w:r>
            <w:proofErr w:type="spellEnd"/>
            <w:r>
              <w:t>), housing (</w:t>
            </w:r>
            <w:proofErr w:type="spellStart"/>
            <w:r>
              <w:t>severe_housing_rate</w:t>
            </w:r>
            <w:proofErr w:type="spellEnd"/>
            <w:r>
              <w:t>), rurality (</w:t>
            </w:r>
            <w:proofErr w:type="spellStart"/>
            <w:r>
              <w:t>pct_rural</w:t>
            </w:r>
            <w:proofErr w:type="spellEnd"/>
            <w:r>
              <w:t>), age composition (pct_under18, pct_65plus), race/ethnicity (</w:t>
            </w:r>
            <w:proofErr w:type="spellStart"/>
            <w:r>
              <w:t>pct_black</w:t>
            </w:r>
            <w:proofErr w:type="spellEnd"/>
            <w:r>
              <w:t xml:space="preserve">, </w:t>
            </w:r>
            <w:proofErr w:type="spellStart"/>
            <w:r>
              <w:t>pct_aian</w:t>
            </w:r>
            <w:proofErr w:type="spellEnd"/>
            <w:r>
              <w:t xml:space="preserve">, </w:t>
            </w:r>
            <w:proofErr w:type="spellStart"/>
            <w:r>
              <w:t>pct_asian</w:t>
            </w:r>
            <w:proofErr w:type="spellEnd"/>
            <w:r>
              <w:t xml:space="preserve">, </w:t>
            </w:r>
            <w:proofErr w:type="spellStart"/>
            <w:r>
              <w:t>pct_hispanic</w:t>
            </w:r>
            <w:proofErr w:type="spellEnd"/>
            <w:r>
              <w:t xml:space="preserve">, </w:t>
            </w:r>
            <w:proofErr w:type="spellStart"/>
            <w:r>
              <w:t>pct_white</w:t>
            </w:r>
            <w:proofErr w:type="spellEnd"/>
            <w:r>
              <w:t xml:space="preserve">), and population. </w:t>
            </w:r>
            <w:r>
              <w:lastRenderedPageBreak/>
              <w:t>Health-behavior measures (smoking, obesity, physical inactivity) are excluded because they are plausibly downstream of insurance access and would complicate Part 1 interpretation.</w:t>
            </w:r>
          </w:p>
        </w:tc>
      </w:tr>
      <w:tr w:rsidR="009C292B" w14:paraId="308886FD"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5E2393F7" w14:textId="77777777" w:rsidR="009C292B" w:rsidRDefault="009C292B" w:rsidP="00173C90">
            <w:r>
              <w:lastRenderedPageBreak/>
              <w:t>3</w:t>
            </w:r>
          </w:p>
        </w:tc>
        <w:tc>
          <w:tcPr>
            <w:tcW w:w="1014" w:type="pct"/>
          </w:tcPr>
          <w:p w14:paraId="15F05DE6"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 classification</w:t>
            </w:r>
          </w:p>
        </w:tc>
        <w:tc>
          <w:tcPr>
            <w:tcW w:w="1207" w:type="pct"/>
          </w:tcPr>
          <w:p w14:paraId="414EFB00"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Variables classified as Core, Partial, or Sparse based on year coverage and missingness</w:t>
            </w:r>
          </w:p>
        </w:tc>
        <w:tc>
          <w:tcPr>
            <w:tcW w:w="2384" w:type="pct"/>
          </w:tcPr>
          <w:p w14:paraId="0DFFFC8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Core: present in all 14 primary years with 90%+ county coverage (12 variables). Partial: present in most years with gaps or elevated missingness (4 variables). Sparse: missing in many years or below 70% overall coverage (4 variables). Core variables are used in all models. Partial variables are used with noted caveats. Sparse variables are supplementary only.</w:t>
            </w:r>
          </w:p>
        </w:tc>
      </w:tr>
      <w:tr w:rsidR="009C292B" w14:paraId="25224821"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00AF629E" w14:textId="77777777" w:rsidR="009C292B" w:rsidRDefault="009C292B" w:rsidP="00173C90">
            <w:r>
              <w:t>3</w:t>
            </w:r>
          </w:p>
        </w:tc>
        <w:tc>
          <w:tcPr>
            <w:tcW w:w="1014" w:type="pct"/>
          </w:tcPr>
          <w:p w14:paraId="6366FE8B"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Variable classification</w:t>
            </w:r>
          </w:p>
        </w:tc>
        <w:tc>
          <w:tcPr>
            <w:tcW w:w="1207" w:type="pct"/>
          </w:tcPr>
          <w:p w14:paraId="01400EB7"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proofErr w:type="spellStart"/>
            <w:r>
              <w:t>pct_black</w:t>
            </w:r>
            <w:proofErr w:type="spellEnd"/>
            <w:r>
              <w:t xml:space="preserve"> and </w:t>
            </w:r>
            <w:proofErr w:type="spellStart"/>
            <w:r>
              <w:t>pct_aian</w:t>
            </w:r>
            <w:proofErr w:type="spellEnd"/>
            <w:r>
              <w:t xml:space="preserve"> classified Sparse; available 2012-2019 only</w:t>
            </w:r>
          </w:p>
        </w:tc>
        <w:tc>
          <w:tcPr>
            <w:tcW w:w="2384" w:type="pct"/>
          </w:tcPr>
          <w:p w14:paraId="118136DC"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 reorganized its race/ethnicity column names after 2019. The columns % Non-Hispanic African American and % American Indian and Alaskan Native are absent from the 2020-2025 files under those names, resulting in 43% overall missingness. Both are retained in the panel for year-specific cross-sectional use but excluded from longitudinal models.</w:t>
            </w:r>
          </w:p>
        </w:tc>
      </w:tr>
      <w:tr w:rsidR="009C292B" w14:paraId="5FFCF219"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F35CD6E" w14:textId="77777777" w:rsidR="009C292B" w:rsidRDefault="009C292B" w:rsidP="00173C90">
            <w:r>
              <w:t>3</w:t>
            </w:r>
          </w:p>
        </w:tc>
        <w:tc>
          <w:tcPr>
            <w:tcW w:w="1014" w:type="pct"/>
          </w:tcPr>
          <w:p w14:paraId="3E16AFF8"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r>
              <w:t>Variable classification</w:t>
            </w:r>
          </w:p>
        </w:tc>
        <w:tc>
          <w:tcPr>
            <w:tcW w:w="1207" w:type="pct"/>
          </w:tcPr>
          <w:p w14:paraId="0769855E"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classified Sparse despite spanning all 14 release years</w:t>
            </w:r>
          </w:p>
        </w:tc>
        <w:tc>
          <w:tcPr>
            <w:tcW w:w="2384" w:type="pct"/>
          </w:tcPr>
          <w:p w14:paraId="762E0EDC" w14:textId="77777777" w:rsidR="009C292B" w:rsidRDefault="009C292B" w:rsidP="00173C9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is 98% missing in 2013-2020 and present only in 2012 and 2021-2025 due to inconsistent CHR column population across releases. It cannot be used in longitudinal models. </w:t>
            </w:r>
            <w:proofErr w:type="spellStart"/>
            <w:r>
              <w:t>child_poverty_rate</w:t>
            </w:r>
            <w:proofErr w:type="spellEnd"/>
            <w:r>
              <w:t xml:space="preserve"> covers the complementary period (2013-2020) but is also Sparse. Together they cover most of the panel in non-overlapping windows.</w:t>
            </w:r>
          </w:p>
        </w:tc>
      </w:tr>
      <w:tr w:rsidR="009C292B" w14:paraId="0BFCA0FE"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05E0A3BE" w14:textId="77777777" w:rsidR="009C292B" w:rsidRDefault="009C292B" w:rsidP="00173C90">
            <w:r>
              <w:t>3</w:t>
            </w:r>
          </w:p>
        </w:tc>
        <w:tc>
          <w:tcPr>
            <w:tcW w:w="1014" w:type="pct"/>
          </w:tcPr>
          <w:p w14:paraId="15F670C4"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Panel output</w:t>
            </w:r>
          </w:p>
        </w:tc>
        <w:tc>
          <w:tcPr>
            <w:tcW w:w="1207" w:type="pct"/>
          </w:tcPr>
          <w:p w14:paraId="2A50C048" w14:textId="77777777" w:rsidR="009C292B" w:rsidRDefault="009C292B" w:rsidP="00173C90">
            <w:pPr>
              <w:cnfStyle w:val="000000000000" w:firstRow="0" w:lastRow="0" w:firstColumn="0" w:lastColumn="0" w:oddVBand="0" w:evenVBand="0" w:oddHBand="0" w:evenHBand="0" w:firstRowFirstColumn="0" w:firstRowLastColumn="0" w:lastRowFirstColumn="0" w:lastRowLastColumn="0"/>
            </w:pPr>
            <w:r>
              <w:t>chr_panel.csv is the single data source for Parts 1, 2, and 3</w:t>
            </w:r>
          </w:p>
        </w:tc>
        <w:tc>
          <w:tcPr>
            <w:tcW w:w="2384" w:type="pct"/>
          </w:tcPr>
          <w:p w14:paraId="76ED6305" w14:textId="4C52A112" w:rsidR="009C292B" w:rsidRDefault="009C292B" w:rsidP="00173C90">
            <w:pPr>
              <w:cnfStyle w:val="000000000000" w:firstRow="0" w:lastRow="0" w:firstColumn="0" w:lastColumn="0" w:oddVBand="0" w:evenVBand="0" w:oddHBand="0" w:evenHBand="0" w:firstRowFirstColumn="0" w:firstRowLastColumn="0" w:lastRowFirstColumn="0" w:lastRowLastColumn="0"/>
            </w:pPr>
            <w:r>
              <w:t>Centralizing all filtering, FIPS harmonization, column standardization, and measurement-year joining into one panel file ensures reproducibility across all subsequent notebooks.</w:t>
            </w:r>
          </w:p>
        </w:tc>
      </w:tr>
      <w:tr w:rsidR="00FA1E78" w14:paraId="29BFC1DB"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hideMark/>
          </w:tcPr>
          <w:p w14:paraId="02821436" w14:textId="77777777" w:rsidR="00FA1E78" w:rsidRPr="00FA1E78" w:rsidRDefault="00FA1E78">
            <w:r w:rsidRPr="00FA1E78">
              <w:t>4</w:t>
            </w:r>
          </w:p>
        </w:tc>
        <w:tc>
          <w:tcPr>
            <w:tcW w:w="1014" w:type="pct"/>
            <w:hideMark/>
          </w:tcPr>
          <w:p w14:paraId="534E0A12"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Variable classification</w:t>
            </w:r>
          </w:p>
        </w:tc>
        <w:tc>
          <w:tcPr>
            <w:tcW w:w="1207" w:type="pct"/>
            <w:hideMark/>
          </w:tcPr>
          <w:p w14:paraId="73E5460E"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 xml:space="preserve">Column-name aliases added for </w:t>
            </w:r>
            <w:proofErr w:type="spellStart"/>
            <w:r w:rsidRPr="00FA1E78">
              <w:t>poverty_rate</w:t>
            </w:r>
            <w:proofErr w:type="spellEnd"/>
            <w:r w:rsidRPr="00FA1E78">
              <w:t xml:space="preserve">, </w:t>
            </w:r>
            <w:proofErr w:type="spellStart"/>
            <w:r w:rsidRPr="00FA1E78">
              <w:t>child_poverty_rate</w:t>
            </w:r>
            <w:proofErr w:type="spellEnd"/>
            <w:r w:rsidRPr="00FA1E78">
              <w:t xml:space="preserve">, </w:t>
            </w:r>
            <w:proofErr w:type="spellStart"/>
            <w:r w:rsidRPr="00FA1E78">
              <w:t>pct_black</w:t>
            </w:r>
            <w:proofErr w:type="spellEnd"/>
            <w:r w:rsidRPr="00FA1E78">
              <w:t xml:space="preserve">, and </w:t>
            </w:r>
            <w:proofErr w:type="spellStart"/>
            <w:r w:rsidRPr="00FA1E78">
              <w:t>pct_aian</w:t>
            </w:r>
            <w:proofErr w:type="spellEnd"/>
            <w:r w:rsidRPr="00FA1E78">
              <w:t>; reclassified as Core</w:t>
            </w:r>
          </w:p>
        </w:tc>
        <w:tc>
          <w:tcPr>
            <w:tcW w:w="2384" w:type="pct"/>
            <w:hideMark/>
          </w:tcPr>
          <w:p w14:paraId="3DBD7F0C"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 xml:space="preserve">These four variables are available in every CHR release year but appeared under different column names across releases. Adding alias entries to FEATURE_MAP (e.g., "% Non-Hispanic Black raw value" for </w:t>
            </w:r>
            <w:proofErr w:type="spellStart"/>
            <w:r w:rsidRPr="00FA1E78">
              <w:t>pct_black</w:t>
            </w:r>
            <w:proofErr w:type="spellEnd"/>
            <w:r w:rsidRPr="00FA1E78">
              <w:t xml:space="preserve">, "Population below poverty line raw value" for </w:t>
            </w:r>
            <w:proofErr w:type="spellStart"/>
            <w:r w:rsidRPr="00FA1E78">
              <w:t>poverty_rate</w:t>
            </w:r>
            <w:proofErr w:type="spellEnd"/>
            <w:r w:rsidRPr="00FA1E78">
              <w:t>) brings their missingness to Core levels. The panel was rebuilt and chr_panel.csv updated.</w:t>
            </w:r>
          </w:p>
        </w:tc>
      </w:tr>
      <w:tr w:rsidR="00FA1E78" w14:paraId="582F1076" w14:textId="77777777" w:rsidTr="00EE3063">
        <w:tc>
          <w:tcPr>
            <w:cnfStyle w:val="001000000000" w:firstRow="0" w:lastRow="0" w:firstColumn="1" w:lastColumn="0" w:oddVBand="0" w:evenVBand="0" w:oddHBand="0" w:evenHBand="0" w:firstRowFirstColumn="0" w:firstRowLastColumn="0" w:lastRowFirstColumn="0" w:lastRowLastColumn="0"/>
            <w:tcW w:w="395" w:type="pct"/>
            <w:hideMark/>
          </w:tcPr>
          <w:p w14:paraId="3C7CC7E0" w14:textId="77777777" w:rsidR="00FA1E78" w:rsidRPr="00FA1E78" w:rsidRDefault="00FA1E78">
            <w:r w:rsidRPr="00FA1E78">
              <w:t>4</w:t>
            </w:r>
          </w:p>
        </w:tc>
        <w:tc>
          <w:tcPr>
            <w:tcW w:w="1014" w:type="pct"/>
            <w:hideMark/>
          </w:tcPr>
          <w:p w14:paraId="1A0CA3A2"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Variable classification</w:t>
            </w:r>
          </w:p>
        </w:tc>
        <w:tc>
          <w:tcPr>
            <w:tcW w:w="1207" w:type="pct"/>
            <w:hideMark/>
          </w:tcPr>
          <w:p w14:paraId="71EE4DB9"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proofErr w:type="spellStart"/>
            <w:r w:rsidRPr="00FA1E78">
              <w:t>income_inequality</w:t>
            </w:r>
            <w:proofErr w:type="spellEnd"/>
            <w:r w:rsidRPr="00FA1E78">
              <w:t xml:space="preserve">, </w:t>
            </w:r>
            <w:proofErr w:type="spellStart"/>
            <w:r w:rsidRPr="00FA1E78">
              <w:t>pct_white</w:t>
            </w:r>
            <w:proofErr w:type="spellEnd"/>
            <w:r w:rsidRPr="00FA1E78">
              <w:t xml:space="preserve">, and </w:t>
            </w:r>
            <w:proofErr w:type="spellStart"/>
            <w:r w:rsidRPr="00FA1E78">
              <w:t>severe_housing_rate</w:t>
            </w:r>
            <w:proofErr w:type="spellEnd"/>
            <w:r w:rsidRPr="00FA1E78">
              <w:t xml:space="preserve"> confirmed as genuinely Sparse for 2011-2014 window</w:t>
            </w:r>
          </w:p>
        </w:tc>
        <w:tc>
          <w:tcPr>
            <w:tcW w:w="2384" w:type="pct"/>
            <w:hideMark/>
          </w:tcPr>
          <w:p w14:paraId="5E28A42C"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 xml:space="preserve">CHR did not back-fill these measures for earlier releases. </w:t>
            </w:r>
            <w:proofErr w:type="spellStart"/>
            <w:r w:rsidRPr="00FA1E78">
              <w:t>income_inequality</w:t>
            </w:r>
            <w:proofErr w:type="spellEnd"/>
            <w:r w:rsidRPr="00FA1E78">
              <w:t xml:space="preserve"> is absent in release years 2011-2014; </w:t>
            </w:r>
            <w:proofErr w:type="spellStart"/>
            <w:r w:rsidRPr="00FA1E78">
              <w:t>pct_white</w:t>
            </w:r>
            <w:proofErr w:type="spellEnd"/>
            <w:r w:rsidRPr="00FA1E78">
              <w:t xml:space="preserve"> is absent in 2011-2012; </w:t>
            </w:r>
            <w:proofErr w:type="spellStart"/>
            <w:r w:rsidRPr="00FA1E78">
              <w:t>severe_housing_rate</w:t>
            </w:r>
            <w:proofErr w:type="spellEnd"/>
            <w:r w:rsidRPr="00FA1E78">
              <w:t xml:space="preserve"> is absent in 2011-2013. These gaps are irreversible without an external data source and are documented as real structural missingness.</w:t>
            </w:r>
          </w:p>
        </w:tc>
      </w:tr>
      <w:tr w:rsidR="00FA1E78" w14:paraId="3A5429CD"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hideMark/>
          </w:tcPr>
          <w:p w14:paraId="20976EF6" w14:textId="77777777" w:rsidR="00FA1E78" w:rsidRPr="00FA1E78" w:rsidRDefault="00FA1E78">
            <w:r w:rsidRPr="00FA1E78">
              <w:t>4</w:t>
            </w:r>
          </w:p>
        </w:tc>
        <w:tc>
          <w:tcPr>
            <w:tcW w:w="1014" w:type="pct"/>
            <w:hideMark/>
          </w:tcPr>
          <w:p w14:paraId="6C88A303"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Modeling window</w:t>
            </w:r>
          </w:p>
        </w:tc>
        <w:tc>
          <w:tcPr>
            <w:tcW w:w="1207" w:type="pct"/>
            <w:hideMark/>
          </w:tcPr>
          <w:p w14:paraId="50E2AD83"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Part 2 modeling window set to 2015-2025 (release years)</w:t>
            </w:r>
          </w:p>
        </w:tc>
        <w:tc>
          <w:tcPr>
            <w:tcW w:w="2384" w:type="pct"/>
            <w:hideMark/>
          </w:tcPr>
          <w:p w14:paraId="23276B82" w14:textId="77777777" w:rsidR="00FA1E78" w:rsidRPr="00FA1E78" w:rsidRDefault="00FA1E78">
            <w:pPr>
              <w:cnfStyle w:val="000000100000" w:firstRow="0" w:lastRow="0" w:firstColumn="0" w:lastColumn="0" w:oddVBand="0" w:evenVBand="0" w:oddHBand="1" w:evenHBand="0" w:firstRowFirstColumn="0" w:firstRowLastColumn="0" w:lastRowFirstColumn="0" w:lastRowLastColumn="0"/>
            </w:pPr>
            <w:r w:rsidRPr="00FA1E78">
              <w:t xml:space="preserve">All Core predictors are fully populated from release year 2015 onward. Using 2015-2025 eliminates the need to handle structural missingness in </w:t>
            </w:r>
            <w:proofErr w:type="spellStart"/>
            <w:r w:rsidRPr="00FA1E78">
              <w:t>income_inequality</w:t>
            </w:r>
            <w:proofErr w:type="spellEnd"/>
            <w:r w:rsidRPr="00FA1E78">
              <w:t xml:space="preserve">, </w:t>
            </w:r>
            <w:proofErr w:type="spellStart"/>
            <w:r w:rsidRPr="00FA1E78">
              <w:t>pct_white</w:t>
            </w:r>
            <w:proofErr w:type="spellEnd"/>
            <w:r w:rsidRPr="00FA1E78">
              <w:t xml:space="preserve">, and </w:t>
            </w:r>
            <w:proofErr w:type="spellStart"/>
            <w:r w:rsidRPr="00FA1E78">
              <w:t>severe_housing_rate</w:t>
            </w:r>
            <w:proofErr w:type="spellEnd"/>
            <w:r w:rsidRPr="00FA1E78">
              <w:t xml:space="preserve"> for the panel </w:t>
            </w:r>
            <w:r w:rsidRPr="00FA1E78">
              <w:lastRenderedPageBreak/>
              <w:t>regression. The descriptive analysis uses the full 2012-2025 panel.</w:t>
            </w:r>
          </w:p>
        </w:tc>
      </w:tr>
      <w:tr w:rsidR="00FA1E78" w14:paraId="2963B66F" w14:textId="77777777" w:rsidTr="00EE3063">
        <w:tc>
          <w:tcPr>
            <w:cnfStyle w:val="001000000000" w:firstRow="0" w:lastRow="0" w:firstColumn="1" w:lastColumn="0" w:oddVBand="0" w:evenVBand="0" w:oddHBand="0" w:evenHBand="0" w:firstRowFirstColumn="0" w:firstRowLastColumn="0" w:lastRowFirstColumn="0" w:lastRowLastColumn="0"/>
            <w:tcW w:w="395" w:type="pct"/>
            <w:hideMark/>
          </w:tcPr>
          <w:p w14:paraId="49D47391" w14:textId="77777777" w:rsidR="00FA1E78" w:rsidRPr="00FA1E78" w:rsidRDefault="00FA1E78">
            <w:r w:rsidRPr="00FA1E78">
              <w:lastRenderedPageBreak/>
              <w:t>4</w:t>
            </w:r>
          </w:p>
        </w:tc>
        <w:tc>
          <w:tcPr>
            <w:tcW w:w="1014" w:type="pct"/>
            <w:hideMark/>
          </w:tcPr>
          <w:p w14:paraId="76625033"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Extension design</w:t>
            </w:r>
          </w:p>
        </w:tc>
        <w:tc>
          <w:tcPr>
            <w:tcW w:w="1207" w:type="pct"/>
            <w:hideMark/>
          </w:tcPr>
          <w:p w14:paraId="34AB9C27"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Medicaid expansion comparison uses population-weighted group means with binary expansion status from Kaiser Family Foundation tracker</w:t>
            </w:r>
          </w:p>
        </w:tc>
        <w:tc>
          <w:tcPr>
            <w:tcW w:w="2384" w:type="pct"/>
            <w:hideMark/>
          </w:tcPr>
          <w:p w14:paraId="3692661A" w14:textId="77777777" w:rsidR="00FA1E78" w:rsidRPr="00FA1E78" w:rsidRDefault="00FA1E78">
            <w:pPr>
              <w:cnfStyle w:val="000000000000" w:firstRow="0" w:lastRow="0" w:firstColumn="0" w:lastColumn="0" w:oddVBand="0" w:evenVBand="0" w:oddHBand="0" w:evenHBand="0" w:firstRowFirstColumn="0" w:firstRowLastColumn="0" w:lastRowFirstColumn="0" w:lastRowLastColumn="0"/>
            </w:pPr>
            <w:r w:rsidRPr="00FA1E78">
              <w:t>Weighting by county population ensures that large counties contribute proportionally to the group trend. Binary expansion status (0/1) is derived from the KFF Medicaid expansion tracker. The comparison is explicitly descriptive and not interpreted causally, given systematic differences between expansion and non-expansion states. A formal event-time analysis using two-way fixed effects is deferred to Part 2.</w:t>
            </w:r>
          </w:p>
        </w:tc>
      </w:tr>
      <w:tr w:rsidR="00980360" w14:paraId="03551497"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18EF62AE" w14:textId="72039E06" w:rsidR="00980360" w:rsidRPr="00FA1E78" w:rsidRDefault="00980360">
            <w:r>
              <w:t>4</w:t>
            </w:r>
          </w:p>
        </w:tc>
        <w:tc>
          <w:tcPr>
            <w:tcW w:w="1014" w:type="pct"/>
          </w:tcPr>
          <w:p w14:paraId="32A97A63" w14:textId="1D659CB6" w:rsidR="00980360" w:rsidRPr="00FA1E78" w:rsidRDefault="00980360">
            <w:pPr>
              <w:cnfStyle w:val="000000100000" w:firstRow="0" w:lastRow="0" w:firstColumn="0" w:lastColumn="0" w:oddVBand="0" w:evenVBand="0" w:oddHBand="1" w:evenHBand="0" w:firstRowFirstColumn="0" w:firstRowLastColumn="0" w:lastRowFirstColumn="0" w:lastRowLastColumn="0"/>
            </w:pPr>
            <w:r>
              <w:t>Variable Classification</w:t>
            </w:r>
          </w:p>
        </w:tc>
        <w:tc>
          <w:tcPr>
            <w:tcW w:w="1207" w:type="pct"/>
          </w:tcPr>
          <w:p w14:paraId="2AC90541" w14:textId="5E744E4A" w:rsidR="00980360" w:rsidRPr="00FA1E78" w:rsidRDefault="00980360">
            <w:pPr>
              <w:cnfStyle w:val="000000100000" w:firstRow="0" w:lastRow="0" w:firstColumn="0" w:lastColumn="0" w:oddVBand="0" w:evenVBand="0" w:oddHBand="1" w:evenHBand="0" w:firstRowFirstColumn="0" w:firstRowLastColumn="0" w:lastRowFirstColumn="0" w:lastRowLastColumn="0"/>
            </w:pPr>
            <w:proofErr w:type="spellStart"/>
            <w:r>
              <w:t>poverty_rate</w:t>
            </w:r>
            <w:proofErr w:type="spellEnd"/>
            <w:r>
              <w:t xml:space="preserve"> removed from feature map</w:t>
            </w:r>
          </w:p>
        </w:tc>
        <w:tc>
          <w:tcPr>
            <w:tcW w:w="2384" w:type="pct"/>
          </w:tcPr>
          <w:p w14:paraId="7CDB478E" w14:textId="2B8A46F5" w:rsidR="00980360" w:rsidRPr="00FA1E78" w:rsidRDefault="001B31B8">
            <w:pPr>
              <w:cnfStyle w:val="000000100000" w:firstRow="0" w:lastRow="0" w:firstColumn="0" w:lastColumn="0" w:oddVBand="0" w:evenVBand="0" w:oddHBand="1" w:evenHBand="0" w:firstRowFirstColumn="0" w:firstRowLastColumn="0" w:lastRowFirstColumn="0" w:lastRowLastColumn="0"/>
            </w:pPr>
            <w:proofErr w:type="spellStart"/>
            <w:r w:rsidRPr="001B31B8">
              <w:t>poverty_rate</w:t>
            </w:r>
            <w:proofErr w:type="spellEnd"/>
            <w:r w:rsidRPr="001B31B8">
              <w:t xml:space="preserve"> (v118_rawvalue) </w:t>
            </w:r>
            <w:r w:rsidR="00BF3849" w:rsidRPr="00BF3849">
              <w:t>was removed from the feature set after diagnostics confirmed it is populated exclusively for Wisconsin counties in the CHR files and is not a national county-level measure. Child poverty rate (v024_rawvalue) is retained as the poverty proxy and is Core-level across all 14 primary years.</w:t>
            </w:r>
          </w:p>
        </w:tc>
      </w:tr>
      <w:tr w:rsidR="00B91DA8" w14:paraId="1AA65E7C"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1C709900" w14:textId="3898FDF6" w:rsidR="00B91DA8" w:rsidRDefault="00B91DA8" w:rsidP="00B91DA8">
            <w:r>
              <w:rPr>
                <w:rFonts w:ascii="Calibri" w:eastAsia="Calibri" w:hAnsi="Calibri" w:cs="Calibri"/>
              </w:rPr>
              <w:t>5</w:t>
            </w:r>
          </w:p>
        </w:tc>
        <w:tc>
          <w:tcPr>
            <w:tcW w:w="1014" w:type="pct"/>
          </w:tcPr>
          <w:p w14:paraId="26AA45B5" w14:textId="6053A47A"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Modeling window</w:t>
            </w:r>
          </w:p>
        </w:tc>
        <w:tc>
          <w:tcPr>
            <w:tcW w:w="1207" w:type="pct"/>
          </w:tcPr>
          <w:p w14:paraId="6D40E6C6" w14:textId="03D9BB8F"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2015-2025 release years used for all baseline models</w:t>
            </w:r>
          </w:p>
        </w:tc>
        <w:tc>
          <w:tcPr>
            <w:tcW w:w="2384" w:type="pct"/>
          </w:tcPr>
          <w:p w14:paraId="6DE238B5" w14:textId="52FD0B41" w:rsidR="00B91DA8" w:rsidRPr="001B31B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 xml:space="preserve">All 17 core features fully populated from 2015 onward; 2012-2014 excluded due to partial availability of </w:t>
            </w:r>
            <w:proofErr w:type="spellStart"/>
            <w:r>
              <w:rPr>
                <w:rFonts w:ascii="Calibri" w:eastAsia="Calibri" w:hAnsi="Calibri" w:cs="Calibri"/>
              </w:rPr>
              <w:t>income_inequality</w:t>
            </w:r>
            <w:proofErr w:type="spellEnd"/>
            <w:r>
              <w:rPr>
                <w:rFonts w:ascii="Calibri" w:eastAsia="Calibri" w:hAnsi="Calibri" w:cs="Calibri"/>
              </w:rPr>
              <w:t xml:space="preserve">, </w:t>
            </w:r>
            <w:proofErr w:type="spellStart"/>
            <w:r>
              <w:rPr>
                <w:rFonts w:ascii="Calibri" w:eastAsia="Calibri" w:hAnsi="Calibri" w:cs="Calibri"/>
              </w:rPr>
              <w:t>severe_housing_rate</w:t>
            </w:r>
            <w:proofErr w:type="spellEnd"/>
            <w:r>
              <w:rPr>
                <w:rFonts w:ascii="Calibri" w:eastAsia="Calibri" w:hAnsi="Calibri" w:cs="Calibri"/>
              </w:rPr>
              <w:t xml:space="preserve">, and </w:t>
            </w:r>
            <w:proofErr w:type="spellStart"/>
            <w:r>
              <w:rPr>
                <w:rFonts w:ascii="Calibri" w:eastAsia="Calibri" w:hAnsi="Calibri" w:cs="Calibri"/>
              </w:rPr>
              <w:t>pct_white</w:t>
            </w:r>
            <w:proofErr w:type="spellEnd"/>
          </w:p>
        </w:tc>
      </w:tr>
      <w:tr w:rsidR="00B91DA8" w14:paraId="2A597343"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42769DA7" w14:textId="50A5A031" w:rsidR="00B91DA8" w:rsidRDefault="00B91DA8" w:rsidP="00B91DA8">
            <w:r>
              <w:rPr>
                <w:rFonts w:ascii="Calibri" w:eastAsia="Calibri" w:hAnsi="Calibri" w:cs="Calibri"/>
              </w:rPr>
              <w:t>5</w:t>
            </w:r>
          </w:p>
        </w:tc>
        <w:tc>
          <w:tcPr>
            <w:tcW w:w="1014" w:type="pct"/>
          </w:tcPr>
          <w:p w14:paraId="5B8AE7DC" w14:textId="7CFF60FF"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Missing-row handling</w:t>
            </w:r>
          </w:p>
        </w:tc>
        <w:tc>
          <w:tcPr>
            <w:tcW w:w="1207" w:type="pct"/>
          </w:tcPr>
          <w:p w14:paraId="7AEDCBBE" w14:textId="6C3917BC"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Rows missing any feature or outcome dropped before modeling (listwise deletion)</w:t>
            </w:r>
          </w:p>
        </w:tc>
        <w:tc>
          <w:tcPr>
            <w:tcW w:w="2384" w:type="pct"/>
          </w:tcPr>
          <w:p w14:paraId="0FAE3CA6" w14:textId="6550864C" w:rsidR="00B91DA8" w:rsidRPr="001B31B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28,932 clean observations remain from 34,474 in the window; no imputation applied at this stage</w:t>
            </w:r>
          </w:p>
        </w:tc>
      </w:tr>
      <w:tr w:rsidR="00B91DA8" w14:paraId="72AD0327"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1E3C74D6" w14:textId="5D3D0D51" w:rsidR="00B91DA8" w:rsidRDefault="00B91DA8" w:rsidP="00B91DA8">
            <w:r>
              <w:rPr>
                <w:rFonts w:ascii="Calibri" w:eastAsia="Calibri" w:hAnsi="Calibri" w:cs="Calibri"/>
              </w:rPr>
              <w:t>5</w:t>
            </w:r>
          </w:p>
        </w:tc>
        <w:tc>
          <w:tcPr>
            <w:tcW w:w="1014" w:type="pct"/>
          </w:tcPr>
          <w:p w14:paraId="105B0AF1" w14:textId="0A34B1FF"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OLS year dummies</w:t>
            </w:r>
          </w:p>
        </w:tc>
        <w:tc>
          <w:tcPr>
            <w:tcW w:w="1207" w:type="pct"/>
          </w:tcPr>
          <w:p w14:paraId="0FBF6C53" w14:textId="229D47C0"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Year dummies included in pooled OLS design matrix</w:t>
            </w:r>
          </w:p>
        </w:tc>
        <w:tc>
          <w:tcPr>
            <w:tcW w:w="2384" w:type="pct"/>
          </w:tcPr>
          <w:p w14:paraId="3DAB60CA" w14:textId="06D64880" w:rsidR="00B91DA8" w:rsidRPr="001B31B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Absorbs national ACA time trend; prevents trend from inflating feature coefficients; open question submitted to professor on whether to retain for final memo</w:t>
            </w:r>
          </w:p>
        </w:tc>
      </w:tr>
      <w:tr w:rsidR="00B91DA8" w14:paraId="0E0F3677"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489ECFB8" w14:textId="65A80F5E" w:rsidR="00B91DA8" w:rsidRDefault="00B91DA8" w:rsidP="00B91DA8">
            <w:r>
              <w:rPr>
                <w:rFonts w:ascii="Calibri" w:eastAsia="Calibri" w:hAnsi="Calibri" w:cs="Calibri"/>
              </w:rPr>
              <w:t>5</w:t>
            </w:r>
          </w:p>
        </w:tc>
        <w:tc>
          <w:tcPr>
            <w:tcW w:w="1014" w:type="pct"/>
          </w:tcPr>
          <w:p w14:paraId="0F939B6A" w14:textId="7B62842D"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 xml:space="preserve">Ridge </w:t>
            </w:r>
            <w:proofErr w:type="spellStart"/>
            <w:r>
              <w:rPr>
                <w:rFonts w:ascii="Calibri" w:eastAsia="Calibri" w:hAnsi="Calibri" w:cs="Calibri"/>
              </w:rPr>
              <w:t>standardisation</w:t>
            </w:r>
            <w:proofErr w:type="spellEnd"/>
          </w:p>
        </w:tc>
        <w:tc>
          <w:tcPr>
            <w:tcW w:w="1207" w:type="pct"/>
          </w:tcPr>
          <w:p w14:paraId="2CBDF59E" w14:textId="0D75BC4B" w:rsidR="00B91DA8" w:rsidRDefault="00B91DA8" w:rsidP="00B91DA8">
            <w:pPr>
              <w:cnfStyle w:val="000000100000" w:firstRow="0" w:lastRow="0" w:firstColumn="0" w:lastColumn="0" w:oddVBand="0" w:evenVBand="0" w:oddHBand="1" w:evenHBand="0" w:firstRowFirstColumn="0" w:firstRowLastColumn="0" w:lastRowFirstColumn="0" w:lastRowLastColumn="0"/>
            </w:pPr>
            <w:proofErr w:type="spellStart"/>
            <w:r>
              <w:rPr>
                <w:rFonts w:ascii="Calibri" w:eastAsia="Calibri" w:hAnsi="Calibri" w:cs="Calibri"/>
              </w:rPr>
              <w:t>Standardise</w:t>
            </w:r>
            <w:proofErr w:type="spellEnd"/>
            <w:r>
              <w:rPr>
                <w:rFonts w:ascii="Calibri" w:eastAsia="Calibri" w:hAnsi="Calibri" w:cs="Calibri"/>
              </w:rPr>
              <w:t xml:space="preserve"> core features only; append year dummies unscaled before </w:t>
            </w:r>
            <w:proofErr w:type="spellStart"/>
            <w:r>
              <w:rPr>
                <w:rFonts w:ascii="Calibri" w:eastAsia="Calibri" w:hAnsi="Calibri" w:cs="Calibri"/>
              </w:rPr>
              <w:t>RidgeCV</w:t>
            </w:r>
            <w:proofErr w:type="spellEnd"/>
          </w:p>
        </w:tc>
        <w:tc>
          <w:tcPr>
            <w:tcW w:w="2384" w:type="pct"/>
          </w:tcPr>
          <w:p w14:paraId="0E848C83" w14:textId="78C54C27" w:rsidR="00B91DA8" w:rsidRPr="001B31B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 xml:space="preserve">Ensures L2 penalty applies on a common scale across features without </w:t>
            </w:r>
            <w:proofErr w:type="spellStart"/>
            <w:r>
              <w:rPr>
                <w:rFonts w:ascii="Calibri" w:eastAsia="Calibri" w:hAnsi="Calibri" w:cs="Calibri"/>
              </w:rPr>
              <w:t>penalising</w:t>
            </w:r>
            <w:proofErr w:type="spellEnd"/>
            <w:r>
              <w:rPr>
                <w:rFonts w:ascii="Calibri" w:eastAsia="Calibri" w:hAnsi="Calibri" w:cs="Calibri"/>
              </w:rPr>
              <w:t xml:space="preserve"> time indicators</w:t>
            </w:r>
          </w:p>
        </w:tc>
      </w:tr>
      <w:tr w:rsidR="00B91DA8" w14:paraId="2F997825"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7F0C18E5" w14:textId="44077C3D" w:rsidR="00B91DA8" w:rsidRDefault="00B91DA8" w:rsidP="00B91DA8">
            <w:r>
              <w:rPr>
                <w:rFonts w:ascii="Calibri" w:eastAsia="Calibri" w:hAnsi="Calibri" w:cs="Calibri"/>
              </w:rPr>
              <w:t>5</w:t>
            </w:r>
          </w:p>
        </w:tc>
        <w:tc>
          <w:tcPr>
            <w:tcW w:w="1014" w:type="pct"/>
          </w:tcPr>
          <w:p w14:paraId="0E23FE3C" w14:textId="6E36049A"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Lasso result</w:t>
            </w:r>
          </w:p>
        </w:tc>
        <w:tc>
          <w:tcPr>
            <w:tcW w:w="1207" w:type="pct"/>
          </w:tcPr>
          <w:p w14:paraId="15DCECC9" w14:textId="295B7CFC" w:rsidR="00B91DA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8 of 17 features zeroed at cross-validated alpha of 0.002</w:t>
            </w:r>
          </w:p>
        </w:tc>
        <w:tc>
          <w:tcPr>
            <w:tcW w:w="2384" w:type="pct"/>
          </w:tcPr>
          <w:p w14:paraId="57749C35" w14:textId="35D69EE6" w:rsidR="00B91DA8" w:rsidRPr="001B31B8" w:rsidRDefault="00B91DA8" w:rsidP="00B91DA8">
            <w:pPr>
              <w:cnfStyle w:val="000000000000" w:firstRow="0" w:lastRow="0" w:firstColumn="0" w:lastColumn="0" w:oddVBand="0" w:evenVBand="0" w:oddHBand="0" w:evenHBand="0" w:firstRowFirstColumn="0" w:firstRowLastColumn="0" w:lastRowFirstColumn="0" w:lastRowLastColumn="0"/>
            </w:pPr>
            <w:r>
              <w:rPr>
                <w:rFonts w:ascii="Calibri" w:eastAsia="Calibri" w:hAnsi="Calibri" w:cs="Calibri"/>
              </w:rPr>
              <w:t xml:space="preserve">Zeroed: </w:t>
            </w:r>
            <w:proofErr w:type="spellStart"/>
            <w:r>
              <w:rPr>
                <w:rFonts w:ascii="Calibri" w:eastAsia="Calibri" w:hAnsi="Calibri" w:cs="Calibri"/>
              </w:rPr>
              <w:t>income_inequality</w:t>
            </w:r>
            <w:proofErr w:type="spellEnd"/>
            <w:r>
              <w:rPr>
                <w:rFonts w:ascii="Calibri" w:eastAsia="Calibri" w:hAnsi="Calibri" w:cs="Calibri"/>
              </w:rPr>
              <w:t xml:space="preserve">, </w:t>
            </w:r>
            <w:proofErr w:type="spellStart"/>
            <w:r>
              <w:rPr>
                <w:rFonts w:ascii="Calibri" w:eastAsia="Calibri" w:hAnsi="Calibri" w:cs="Calibri"/>
              </w:rPr>
              <w:t>unemployment_rate</w:t>
            </w:r>
            <w:proofErr w:type="spellEnd"/>
            <w:r>
              <w:rPr>
                <w:rFonts w:ascii="Calibri" w:eastAsia="Calibri" w:hAnsi="Calibri" w:cs="Calibri"/>
              </w:rPr>
              <w:t xml:space="preserve">, </w:t>
            </w:r>
            <w:proofErr w:type="spellStart"/>
            <w:r>
              <w:rPr>
                <w:rFonts w:ascii="Calibri" w:eastAsia="Calibri" w:hAnsi="Calibri" w:cs="Calibri"/>
              </w:rPr>
              <w:t>hs_graduation_rate</w:t>
            </w:r>
            <w:proofErr w:type="spellEnd"/>
            <w:r>
              <w:rPr>
                <w:rFonts w:ascii="Calibri" w:eastAsia="Calibri" w:hAnsi="Calibri" w:cs="Calibri"/>
              </w:rPr>
              <w:t xml:space="preserve">, </w:t>
            </w:r>
            <w:proofErr w:type="spellStart"/>
            <w:r>
              <w:rPr>
                <w:rFonts w:ascii="Calibri" w:eastAsia="Calibri" w:hAnsi="Calibri" w:cs="Calibri"/>
              </w:rPr>
              <w:t>single_parent_rate</w:t>
            </w:r>
            <w:proofErr w:type="spellEnd"/>
            <w:r>
              <w:rPr>
                <w:rFonts w:ascii="Calibri" w:eastAsia="Calibri" w:hAnsi="Calibri" w:cs="Calibri"/>
              </w:rPr>
              <w:t xml:space="preserve">, pct_65plus, </w:t>
            </w:r>
            <w:proofErr w:type="spellStart"/>
            <w:r>
              <w:rPr>
                <w:rFonts w:ascii="Calibri" w:eastAsia="Calibri" w:hAnsi="Calibri" w:cs="Calibri"/>
              </w:rPr>
              <w:t>pct_black</w:t>
            </w:r>
            <w:proofErr w:type="spellEnd"/>
            <w:r>
              <w:rPr>
                <w:rFonts w:ascii="Calibri" w:eastAsia="Calibri" w:hAnsi="Calibri" w:cs="Calibri"/>
              </w:rPr>
              <w:t xml:space="preserve">, </w:t>
            </w:r>
            <w:proofErr w:type="spellStart"/>
            <w:r>
              <w:rPr>
                <w:rFonts w:ascii="Calibri" w:eastAsia="Calibri" w:hAnsi="Calibri" w:cs="Calibri"/>
              </w:rPr>
              <w:t>pct_asian</w:t>
            </w:r>
            <w:proofErr w:type="spellEnd"/>
            <w:r>
              <w:rPr>
                <w:rFonts w:ascii="Calibri" w:eastAsia="Calibri" w:hAnsi="Calibri" w:cs="Calibri"/>
              </w:rPr>
              <w:t xml:space="preserve">, population. Active set of 9 forms the </w:t>
            </w:r>
            <w:proofErr w:type="spellStart"/>
            <w:r>
              <w:rPr>
                <w:rFonts w:ascii="Calibri" w:eastAsia="Calibri" w:hAnsi="Calibri" w:cs="Calibri"/>
              </w:rPr>
              <w:t>prioritised</w:t>
            </w:r>
            <w:proofErr w:type="spellEnd"/>
            <w:r>
              <w:rPr>
                <w:rFonts w:ascii="Calibri" w:eastAsia="Calibri" w:hAnsi="Calibri" w:cs="Calibri"/>
              </w:rPr>
              <w:t xml:space="preserve"> Part 2 feature set</w:t>
            </w:r>
          </w:p>
        </w:tc>
      </w:tr>
      <w:tr w:rsidR="00B91DA8" w14:paraId="48D0EA0D"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1CC7EEA" w14:textId="059A9EBF" w:rsidR="00B91DA8" w:rsidRDefault="00B91DA8" w:rsidP="00B91DA8">
            <w:r>
              <w:rPr>
                <w:rFonts w:ascii="Calibri" w:eastAsia="Calibri" w:hAnsi="Calibri" w:cs="Calibri"/>
              </w:rPr>
              <w:t>5</w:t>
            </w:r>
          </w:p>
        </w:tc>
        <w:tc>
          <w:tcPr>
            <w:tcW w:w="1014" w:type="pct"/>
          </w:tcPr>
          <w:p w14:paraId="3D2DABC1" w14:textId="17C8B9EA" w:rsidR="00B91DA8" w:rsidRDefault="00B91DA8" w:rsidP="00B91DA8">
            <w:pPr>
              <w:cnfStyle w:val="000000100000" w:firstRow="0" w:lastRow="0" w:firstColumn="0" w:lastColumn="0" w:oddVBand="0" w:evenVBand="0" w:oddHBand="1" w:evenHBand="0" w:firstRowFirstColumn="0" w:firstRowLastColumn="0" w:lastRowFirstColumn="0" w:lastRowLastColumn="0"/>
            </w:pPr>
            <w:proofErr w:type="spellStart"/>
            <w:r>
              <w:rPr>
                <w:rFonts w:ascii="Calibri" w:eastAsia="Calibri" w:hAnsi="Calibri" w:cs="Calibri"/>
              </w:rPr>
              <w:t>hs_graduation_rate</w:t>
            </w:r>
            <w:proofErr w:type="spellEnd"/>
          </w:p>
        </w:tc>
        <w:tc>
          <w:tcPr>
            <w:tcW w:w="1207" w:type="pct"/>
          </w:tcPr>
          <w:p w14:paraId="1C22CF4D" w14:textId="0A910626" w:rsidR="00B91DA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Retain despite lasso zero based on RF importance rank of 8</w:t>
            </w:r>
          </w:p>
        </w:tc>
        <w:tc>
          <w:tcPr>
            <w:tcW w:w="2384" w:type="pct"/>
          </w:tcPr>
          <w:p w14:paraId="7E777BAF" w14:textId="78A5A5DC" w:rsidR="00B91DA8" w:rsidRPr="001B31B8" w:rsidRDefault="00B91DA8" w:rsidP="00B91DA8">
            <w:pPr>
              <w:cnfStyle w:val="000000100000" w:firstRow="0" w:lastRow="0" w:firstColumn="0" w:lastColumn="0" w:oddVBand="0" w:evenVBand="0" w:oddHBand="1" w:evenHBand="0" w:firstRowFirstColumn="0" w:firstRowLastColumn="0" w:lastRowFirstColumn="0" w:lastRowLastColumn="0"/>
            </w:pPr>
            <w:r>
              <w:rPr>
                <w:rFonts w:ascii="Calibri" w:eastAsia="Calibri" w:hAnsi="Calibri" w:cs="Calibri"/>
              </w:rPr>
              <w:t xml:space="preserve">Lasso absorbs signal into </w:t>
            </w:r>
            <w:proofErr w:type="spellStart"/>
            <w:r>
              <w:rPr>
                <w:rFonts w:ascii="Calibri" w:eastAsia="Calibri" w:hAnsi="Calibri" w:cs="Calibri"/>
              </w:rPr>
              <w:t>some_college_rate</w:t>
            </w:r>
            <w:proofErr w:type="spellEnd"/>
            <w:r>
              <w:rPr>
                <w:rFonts w:ascii="Calibri" w:eastAsia="Calibri" w:hAnsi="Calibri" w:cs="Calibri"/>
              </w:rPr>
              <w:t>; random forest finds nonlinear value independently; keeping avoids discarding a theoretically important predictor</w:t>
            </w:r>
          </w:p>
        </w:tc>
      </w:tr>
      <w:tr w:rsidR="00B91DA8" w14:paraId="10E022A5"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336D5F9C" w14:textId="019DD715" w:rsidR="00B91DA8" w:rsidRDefault="00B91DA8" w:rsidP="00B91DA8">
            <w:pPr>
              <w:rPr>
                <w:rFonts w:ascii="Calibri" w:eastAsia="Calibri" w:hAnsi="Calibri" w:cs="Calibri"/>
              </w:rPr>
            </w:pPr>
            <w:r>
              <w:rPr>
                <w:rFonts w:ascii="Calibri" w:eastAsia="Calibri" w:hAnsi="Calibri" w:cs="Calibri"/>
              </w:rPr>
              <w:t>5</w:t>
            </w:r>
          </w:p>
        </w:tc>
        <w:tc>
          <w:tcPr>
            <w:tcW w:w="1014" w:type="pct"/>
          </w:tcPr>
          <w:p w14:paraId="05F9AA1C" w14:textId="1F50EA84"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proofErr w:type="spellStart"/>
            <w:r>
              <w:rPr>
                <w:rFonts w:ascii="Calibri" w:eastAsia="Calibri" w:hAnsi="Calibri" w:cs="Calibri"/>
              </w:rPr>
              <w:t>unemployment_rate</w:t>
            </w:r>
            <w:proofErr w:type="spellEnd"/>
          </w:p>
        </w:tc>
        <w:tc>
          <w:tcPr>
            <w:tcW w:w="1207" w:type="pct"/>
          </w:tcPr>
          <w:p w14:paraId="55FF9DC2" w14:textId="7E419208"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Retain despite lasso zero for Part 2 fixed-effects model</w:t>
            </w:r>
          </w:p>
        </w:tc>
        <w:tc>
          <w:tcPr>
            <w:tcW w:w="2384" w:type="pct"/>
          </w:tcPr>
          <w:p w14:paraId="4A53EE0C" w14:textId="348C3E92"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Week 4 confirmed divergence between pooled and cross-sectional correlation; lasso correctly identifies as redundant in pooled cross-section; Part 2 FE expected to recover within-county signal</w:t>
            </w:r>
          </w:p>
        </w:tc>
      </w:tr>
      <w:tr w:rsidR="00B91DA8" w14:paraId="3E807398"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3646EBF4" w14:textId="60DF5912" w:rsidR="00B91DA8" w:rsidRDefault="00B91DA8" w:rsidP="00B91DA8">
            <w:pPr>
              <w:rPr>
                <w:rFonts w:ascii="Calibri" w:eastAsia="Calibri" w:hAnsi="Calibri" w:cs="Calibri"/>
              </w:rPr>
            </w:pPr>
            <w:r>
              <w:rPr>
                <w:rFonts w:ascii="Calibri" w:eastAsia="Calibri" w:hAnsi="Calibri" w:cs="Calibri"/>
              </w:rPr>
              <w:t>5</w:t>
            </w:r>
          </w:p>
        </w:tc>
        <w:tc>
          <w:tcPr>
            <w:tcW w:w="1014" w:type="pct"/>
          </w:tcPr>
          <w:p w14:paraId="59D6C3C9" w14:textId="7368F2FC"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Nonlinearity finding</w:t>
            </w:r>
          </w:p>
        </w:tc>
        <w:tc>
          <w:tcPr>
            <w:tcW w:w="1207" w:type="pct"/>
          </w:tcPr>
          <w:p w14:paraId="1F21CF30" w14:textId="1C3E9985"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Random forest CV R-squared of 0.783 vs OLS 0.616; gap of approximately 0.17</w:t>
            </w:r>
          </w:p>
        </w:tc>
        <w:tc>
          <w:tcPr>
            <w:tcW w:w="2384" w:type="pct"/>
          </w:tcPr>
          <w:p w14:paraId="6F161DC1" w14:textId="2894536B"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Confirms meaningful nonlinearity but gap is not extreme; two-way fixed effects in Part 2 expected to capture most structure without requiring nonlinear panel methods</w:t>
            </w:r>
          </w:p>
        </w:tc>
      </w:tr>
      <w:tr w:rsidR="00B91DA8" w14:paraId="26FF7B26"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18619934" w14:textId="32241960" w:rsidR="00B91DA8" w:rsidRDefault="00B91DA8" w:rsidP="00B91DA8">
            <w:pPr>
              <w:rPr>
                <w:rFonts w:ascii="Calibri" w:eastAsia="Calibri" w:hAnsi="Calibri" w:cs="Calibri"/>
              </w:rPr>
            </w:pPr>
            <w:r>
              <w:rPr>
                <w:rFonts w:ascii="Calibri" w:eastAsia="Calibri" w:hAnsi="Calibri" w:cs="Calibri"/>
              </w:rPr>
              <w:lastRenderedPageBreak/>
              <w:t>5</w:t>
            </w:r>
          </w:p>
        </w:tc>
        <w:tc>
          <w:tcPr>
            <w:tcW w:w="1014" w:type="pct"/>
          </w:tcPr>
          <w:p w14:paraId="733F0D12" w14:textId="2DEE5709"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population decision</w:t>
            </w:r>
          </w:p>
        </w:tc>
        <w:tc>
          <w:tcPr>
            <w:tcW w:w="1207" w:type="pct"/>
          </w:tcPr>
          <w:p w14:paraId="54E559AF" w14:textId="2B8DC1F9"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population flagged for drop or control-only use in Part 2</w:t>
            </w:r>
          </w:p>
        </w:tc>
        <w:tc>
          <w:tcPr>
            <w:tcW w:w="2384" w:type="pct"/>
          </w:tcPr>
          <w:p w14:paraId="7DAE6902" w14:textId="78572ECB" w:rsidR="00B91DA8" w:rsidRDefault="00B91DA8"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Lasso-inactive, RF rank 14 of 17; no consistent signal across any baseline model</w:t>
            </w:r>
          </w:p>
        </w:tc>
      </w:tr>
      <w:tr w:rsidR="00B91DA8" w14:paraId="3C43999E"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8D9A03D" w14:textId="086924B5" w:rsidR="00B91DA8" w:rsidRDefault="00B91DA8" w:rsidP="00B91DA8">
            <w:pPr>
              <w:rPr>
                <w:rFonts w:ascii="Calibri" w:eastAsia="Calibri" w:hAnsi="Calibri" w:cs="Calibri"/>
              </w:rPr>
            </w:pPr>
            <w:r>
              <w:rPr>
                <w:rFonts w:ascii="Calibri" w:eastAsia="Calibri" w:hAnsi="Calibri" w:cs="Calibri"/>
              </w:rPr>
              <w:t>5</w:t>
            </w:r>
          </w:p>
        </w:tc>
        <w:tc>
          <w:tcPr>
            <w:tcW w:w="1014" w:type="pct"/>
          </w:tcPr>
          <w:p w14:paraId="3FE50366" w14:textId="44B1F338"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proofErr w:type="spellStart"/>
            <w:r>
              <w:rPr>
                <w:rFonts w:ascii="Calibri" w:eastAsia="Calibri" w:hAnsi="Calibri" w:cs="Calibri"/>
              </w:rPr>
              <w:t>single_parent_rate</w:t>
            </w:r>
            <w:proofErr w:type="spellEnd"/>
          </w:p>
        </w:tc>
        <w:tc>
          <w:tcPr>
            <w:tcW w:w="1207" w:type="pct"/>
          </w:tcPr>
          <w:p w14:paraId="4FC04595" w14:textId="79CC7F69"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proofErr w:type="spellStart"/>
            <w:r>
              <w:rPr>
                <w:rFonts w:ascii="Calibri" w:eastAsia="Calibri" w:hAnsi="Calibri" w:cs="Calibri"/>
              </w:rPr>
              <w:t>single_parent_rate</w:t>
            </w:r>
            <w:proofErr w:type="spellEnd"/>
            <w:r>
              <w:rPr>
                <w:rFonts w:ascii="Calibri" w:eastAsia="Calibri" w:hAnsi="Calibri" w:cs="Calibri"/>
              </w:rPr>
              <w:t xml:space="preserve"> flagged for exclusion from Part 2</w:t>
            </w:r>
          </w:p>
        </w:tc>
        <w:tc>
          <w:tcPr>
            <w:tcW w:w="2384" w:type="pct"/>
          </w:tcPr>
          <w:p w14:paraId="1E3A43B1" w14:textId="3540D7B5" w:rsidR="00B91DA8" w:rsidRDefault="00B91DA8"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Fonts w:ascii="Calibri" w:eastAsia="Calibri" w:hAnsi="Calibri" w:cs="Calibri"/>
              </w:rPr>
              <w:t>Lasso-inactive, RF rank 17 of 17; signal fully absorbed by poverty and income measures across all three model types</w:t>
            </w:r>
          </w:p>
        </w:tc>
      </w:tr>
      <w:tr w:rsidR="004E6F04" w14:paraId="31BEF0C7"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66D710D9" w14:textId="116574F4" w:rsidR="004E6F04" w:rsidRDefault="004E6F04" w:rsidP="00B91DA8">
            <w:pPr>
              <w:rPr>
                <w:rFonts w:ascii="Calibri" w:eastAsia="Calibri" w:hAnsi="Calibri" w:cs="Calibri"/>
              </w:rPr>
            </w:pPr>
            <w:r>
              <w:rPr>
                <w:rFonts w:ascii="Calibri" w:eastAsia="Calibri" w:hAnsi="Calibri" w:cs="Calibri"/>
              </w:rPr>
              <w:t>6</w:t>
            </w:r>
          </w:p>
        </w:tc>
        <w:tc>
          <w:tcPr>
            <w:tcW w:w="1014" w:type="pct"/>
          </w:tcPr>
          <w:p w14:paraId="63AE44C6" w14:textId="67DD901C" w:rsidR="004E6F04" w:rsidRDefault="008D0C4E" w:rsidP="00256292">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8D0C4E">
              <w:rPr>
                <w:rFonts w:ascii="Calibri" w:eastAsia="Calibri" w:hAnsi="Calibri" w:cs="Calibri"/>
              </w:rPr>
              <w:t>Two-way FE model specification</w:t>
            </w:r>
          </w:p>
        </w:tc>
        <w:tc>
          <w:tcPr>
            <w:tcW w:w="1207" w:type="pct"/>
          </w:tcPr>
          <w:p w14:paraId="2F914802" w14:textId="60FD6BBB" w:rsidR="004E6F04" w:rsidRDefault="00256292"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t>Confirmed</w:t>
            </w:r>
            <w:r w:rsidR="001816C2">
              <w:t xml:space="preserve"> </w:t>
            </w:r>
            <w:proofErr w:type="spellStart"/>
            <w:r>
              <w:rPr>
                <w:rStyle w:val="HTMLCode"/>
                <w:rFonts w:eastAsia="Arial"/>
              </w:rPr>
              <w:t>unemployment_rate</w:t>
            </w:r>
            <w:proofErr w:type="spellEnd"/>
            <w:r>
              <w:t xml:space="preserve"> sign reverses between pooled (negative, p&lt;0.001) and two-way FE (positive, p=0.030) specifications</w:t>
            </w:r>
          </w:p>
        </w:tc>
        <w:tc>
          <w:tcPr>
            <w:tcW w:w="2384" w:type="pct"/>
          </w:tcPr>
          <w:p w14:paraId="738433AA" w14:textId="5364EFE1" w:rsidR="004E6F04" w:rsidRDefault="0027510A"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t>Both estimates are statistically significant, so this is a genuine within- vs. between-county divergence, not noise. Flagging for professor discussion since the pooled sign is counterintuitive on its own (higher unemployment associated with lower uninsured rate across counties)</w:t>
            </w:r>
          </w:p>
        </w:tc>
      </w:tr>
      <w:tr w:rsidR="004E6F04" w14:paraId="0355E601"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1BCAA7D4" w14:textId="7C447E24" w:rsidR="004E6F04" w:rsidRDefault="004E6F04" w:rsidP="00B91DA8">
            <w:pPr>
              <w:rPr>
                <w:rFonts w:ascii="Calibri" w:eastAsia="Calibri" w:hAnsi="Calibri" w:cs="Calibri"/>
              </w:rPr>
            </w:pPr>
            <w:r>
              <w:rPr>
                <w:rFonts w:ascii="Calibri" w:eastAsia="Calibri" w:hAnsi="Calibri" w:cs="Calibri"/>
              </w:rPr>
              <w:t>6</w:t>
            </w:r>
          </w:p>
        </w:tc>
        <w:tc>
          <w:tcPr>
            <w:tcW w:w="1014" w:type="pct"/>
          </w:tcPr>
          <w:p w14:paraId="48952CB5" w14:textId="036EAD90" w:rsidR="004E6F04" w:rsidRDefault="008D0C4E"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8D0C4E">
              <w:rPr>
                <w:rFonts w:ascii="Calibri" w:eastAsia="Calibri" w:hAnsi="Calibri" w:cs="Calibri"/>
              </w:rPr>
              <w:t>Two-way FE model specification</w:t>
            </w:r>
          </w:p>
        </w:tc>
        <w:tc>
          <w:tcPr>
            <w:tcW w:w="1207" w:type="pct"/>
          </w:tcPr>
          <w:p w14:paraId="1DE0FA8A" w14:textId="518DF9A0" w:rsidR="001816C2" w:rsidRPr="001816C2" w:rsidRDefault="001816C2" w:rsidP="001816C2">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Pr>
                <w:rStyle w:val="HTMLCode"/>
                <w:rFonts w:eastAsia="Arial"/>
              </w:rPr>
              <w:t>pct_65plus</w:t>
            </w:r>
            <w:r>
              <w:t xml:space="preserve"> moves from non-significant in pooled (p=0.267) to significant negative in two-way FE (p=0.0025)</w:t>
            </w:r>
          </w:p>
        </w:tc>
        <w:tc>
          <w:tcPr>
            <w:tcW w:w="2384" w:type="pct"/>
          </w:tcPr>
          <w:p w14:paraId="5AF8515B" w14:textId="70EF26B3" w:rsidR="004E6F04" w:rsidRDefault="0027510A"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27510A">
              <w:rPr>
                <w:rFonts w:ascii="Calibri" w:eastAsia="Calibri" w:hAnsi="Calibri" w:cs="Calibri"/>
              </w:rPr>
              <w:t>Counties aging in place show falling uninsured rates net of fixed county character and year trend; absent from the pooled estimate because that signal is masked by cross-county variation</w:t>
            </w:r>
          </w:p>
        </w:tc>
      </w:tr>
      <w:tr w:rsidR="008D0C4E" w14:paraId="48605ABA"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5D778CD7" w14:textId="33857AD8" w:rsidR="008D0C4E" w:rsidRDefault="008D0C4E" w:rsidP="00B91DA8">
            <w:pPr>
              <w:rPr>
                <w:rFonts w:ascii="Calibri" w:eastAsia="Calibri" w:hAnsi="Calibri" w:cs="Calibri"/>
              </w:rPr>
            </w:pPr>
            <w:r>
              <w:rPr>
                <w:rFonts w:ascii="Calibri" w:eastAsia="Calibri" w:hAnsi="Calibri" w:cs="Calibri"/>
              </w:rPr>
              <w:t>6</w:t>
            </w:r>
          </w:p>
        </w:tc>
        <w:tc>
          <w:tcPr>
            <w:tcW w:w="1014" w:type="pct"/>
          </w:tcPr>
          <w:p w14:paraId="4E630911" w14:textId="288A9FED" w:rsidR="008D0C4E" w:rsidRPr="008D0C4E" w:rsidRDefault="008D0C4E"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Pr>
                <w:rFonts w:ascii="Calibri" w:eastAsia="Calibri" w:hAnsi="Calibri" w:cs="Calibri"/>
              </w:rPr>
              <w:t>Predictor Reliability</w:t>
            </w:r>
          </w:p>
        </w:tc>
        <w:tc>
          <w:tcPr>
            <w:tcW w:w="1207" w:type="pct"/>
          </w:tcPr>
          <w:p w14:paraId="485FBFC5" w14:textId="4201134C" w:rsidR="008D0C4E" w:rsidRDefault="0027510A"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t>Race/ethnicity share predictors (</w:t>
            </w:r>
            <w:proofErr w:type="spellStart"/>
            <w:r>
              <w:rPr>
                <w:rStyle w:val="HTMLCode"/>
                <w:rFonts w:eastAsia="Arial"/>
              </w:rPr>
              <w:t>pct_black</w:t>
            </w:r>
            <w:proofErr w:type="spellEnd"/>
            <w:r>
              <w:t xml:space="preserve">, </w:t>
            </w:r>
            <w:proofErr w:type="spellStart"/>
            <w:r>
              <w:rPr>
                <w:rStyle w:val="HTMLCode"/>
                <w:rFonts w:eastAsia="Arial"/>
              </w:rPr>
              <w:t>pct_aian</w:t>
            </w:r>
            <w:proofErr w:type="spellEnd"/>
            <w:r>
              <w:t xml:space="preserve">, </w:t>
            </w:r>
            <w:proofErr w:type="spellStart"/>
            <w:r>
              <w:rPr>
                <w:rStyle w:val="HTMLCode"/>
                <w:rFonts w:eastAsia="Arial"/>
              </w:rPr>
              <w:t>pct_asian</w:t>
            </w:r>
            <w:proofErr w:type="spellEnd"/>
            <w:r>
              <w:t xml:space="preserve">, </w:t>
            </w:r>
            <w:proofErr w:type="spellStart"/>
            <w:r>
              <w:rPr>
                <w:rStyle w:val="HTMLCode"/>
                <w:rFonts w:eastAsia="Arial"/>
              </w:rPr>
              <w:t>pct_hispanic</w:t>
            </w:r>
            <w:proofErr w:type="spellEnd"/>
            <w:r>
              <w:t xml:space="preserve">, </w:t>
            </w:r>
            <w:proofErr w:type="spellStart"/>
            <w:r>
              <w:rPr>
                <w:rStyle w:val="HTMLCode"/>
                <w:rFonts w:eastAsia="Arial"/>
              </w:rPr>
              <w:t>pct_nh_white</w:t>
            </w:r>
            <w:proofErr w:type="spellEnd"/>
            <w:r>
              <w:t>) show no significant relationship with uninsured rate in either pooled or two-way FE specification</w:t>
            </w:r>
          </w:p>
        </w:tc>
        <w:tc>
          <w:tcPr>
            <w:tcW w:w="2384" w:type="pct"/>
          </w:tcPr>
          <w:p w14:paraId="1C4CC64E" w14:textId="627D0891" w:rsidR="008D0C4E" w:rsidRDefault="0027510A"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27510A">
              <w:rPr>
                <w:rFonts w:ascii="Calibri" w:eastAsia="Calibri" w:hAnsi="Calibri" w:cs="Calibri"/>
              </w:rPr>
              <w:t>Limited within-county variation in racial composition over an 11-year window leaves wide confidence intervals once county fixed effects absorb the baseline; expected behavior given the FE design, not a specification problem</w:t>
            </w:r>
          </w:p>
        </w:tc>
      </w:tr>
      <w:tr w:rsidR="00EE3063" w14:paraId="13B66B18"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25E81F8B" w14:textId="4D8E09D6" w:rsidR="00EE3063" w:rsidRDefault="00EB5174" w:rsidP="00B91DA8">
            <w:pPr>
              <w:rPr>
                <w:rFonts w:ascii="Calibri" w:eastAsia="Calibri" w:hAnsi="Calibri" w:cs="Calibri"/>
              </w:rPr>
            </w:pPr>
            <w:r>
              <w:rPr>
                <w:rFonts w:ascii="Calibri" w:eastAsia="Calibri" w:hAnsi="Calibri" w:cs="Calibri"/>
              </w:rPr>
              <w:t>7</w:t>
            </w:r>
          </w:p>
        </w:tc>
        <w:tc>
          <w:tcPr>
            <w:tcW w:w="1014" w:type="pct"/>
          </w:tcPr>
          <w:p w14:paraId="550ED11D" w14:textId="157FA475" w:rsidR="00EE3063" w:rsidRDefault="00EB5174"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EB5174">
              <w:rPr>
                <w:rFonts w:ascii="Calibri" w:eastAsia="Calibri" w:hAnsi="Calibri" w:cs="Calibri"/>
              </w:rPr>
              <w:t>Diagnostics</w:t>
            </w:r>
          </w:p>
        </w:tc>
        <w:tc>
          <w:tcPr>
            <w:tcW w:w="1207" w:type="pct"/>
          </w:tcPr>
          <w:p w14:paraId="34793986" w14:textId="63152C06" w:rsidR="00EE3063" w:rsidRDefault="001251FA" w:rsidP="00B91DA8">
            <w:pPr>
              <w:cnfStyle w:val="000000100000" w:firstRow="0" w:lastRow="0" w:firstColumn="0" w:lastColumn="0" w:oddVBand="0" w:evenVBand="0" w:oddHBand="1" w:evenHBand="0" w:firstRowFirstColumn="0" w:firstRowLastColumn="0" w:lastRowFirstColumn="0" w:lastRowLastColumn="0"/>
            </w:pPr>
            <w:r w:rsidRPr="001251FA">
              <w:t>Added a within-county variation diagnostic (overall, between, and within standard deviation, plus the within/overall ratio) for all 13 Week 6 predictors</w:t>
            </w:r>
          </w:p>
        </w:tc>
        <w:tc>
          <w:tcPr>
            <w:tcW w:w="2384" w:type="pct"/>
          </w:tcPr>
          <w:p w14:paraId="29A0AA6A" w14:textId="112C8E6E" w:rsidR="00EE3063" w:rsidRPr="0027510A" w:rsidRDefault="001251FA"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1251FA">
              <w:rPr>
                <w:rFonts w:ascii="Calibri" w:eastAsia="Calibri" w:hAnsi="Calibri" w:cs="Calibri"/>
              </w:rPr>
              <w:t>Needed to tell apart predictors with a genuine null effect from predictors where the fixed-effects model simply doesn't have enough within-county movement to detect an effect</w:t>
            </w:r>
          </w:p>
        </w:tc>
      </w:tr>
      <w:tr w:rsidR="00EE3063" w14:paraId="2B2997F4"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6CED1E71" w14:textId="5D1C4197" w:rsidR="00EE3063" w:rsidRDefault="00EB5174" w:rsidP="00B91DA8">
            <w:pPr>
              <w:rPr>
                <w:rFonts w:ascii="Calibri" w:eastAsia="Calibri" w:hAnsi="Calibri" w:cs="Calibri"/>
              </w:rPr>
            </w:pPr>
            <w:r>
              <w:rPr>
                <w:rFonts w:ascii="Calibri" w:eastAsia="Calibri" w:hAnsi="Calibri" w:cs="Calibri"/>
              </w:rPr>
              <w:t>7</w:t>
            </w:r>
          </w:p>
        </w:tc>
        <w:tc>
          <w:tcPr>
            <w:tcW w:w="1014" w:type="pct"/>
          </w:tcPr>
          <w:p w14:paraId="5FB5C73D" w14:textId="6E7F78E4" w:rsidR="00EE3063" w:rsidRDefault="00EB5174"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EB5174">
              <w:rPr>
                <w:rFonts w:ascii="Calibri" w:eastAsia="Calibri" w:hAnsi="Calibri" w:cs="Calibri"/>
              </w:rPr>
              <w:t>Diagnostics</w:t>
            </w:r>
          </w:p>
        </w:tc>
        <w:tc>
          <w:tcPr>
            <w:tcW w:w="1207" w:type="pct"/>
          </w:tcPr>
          <w:p w14:paraId="5BA96878" w14:textId="3CA5E9F0" w:rsidR="00EE3063" w:rsidRDefault="00D84F83" w:rsidP="00B91DA8">
            <w:pPr>
              <w:cnfStyle w:val="000000000000" w:firstRow="0" w:lastRow="0" w:firstColumn="0" w:lastColumn="0" w:oddVBand="0" w:evenVBand="0" w:oddHBand="0" w:evenHBand="0" w:firstRowFirstColumn="0" w:firstRowLastColumn="0" w:lastRowFirstColumn="0" w:lastRowLastColumn="0"/>
            </w:pPr>
            <w:r w:rsidRPr="00D84F83">
              <w:t xml:space="preserve">Ran a </w:t>
            </w:r>
            <w:proofErr w:type="spellStart"/>
            <w:r w:rsidRPr="00D84F83">
              <w:t>Mundlak</w:t>
            </w:r>
            <w:proofErr w:type="spellEnd"/>
            <w:r w:rsidRPr="00D84F83">
              <w:t xml:space="preserve"> test: added each predictor's county-level mean to a random-effects model and tested the mean terms jointly with a Wald test</w:t>
            </w:r>
          </w:p>
        </w:tc>
        <w:tc>
          <w:tcPr>
            <w:tcW w:w="2384" w:type="pct"/>
          </w:tcPr>
          <w:p w14:paraId="0D19A05C" w14:textId="1E5CC51F" w:rsidR="00EE3063" w:rsidRPr="0027510A" w:rsidRDefault="001251FA"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1251FA">
              <w:rPr>
                <w:rFonts w:ascii="Calibri" w:eastAsia="Calibri" w:hAnsi="Calibri" w:cs="Calibri"/>
              </w:rPr>
              <w:t>Formally test whether the random-effects assumption holds, so the fixed-effects specification is backed by a statistical test rather than only the sign changes observed in Week 6</w:t>
            </w:r>
          </w:p>
        </w:tc>
      </w:tr>
      <w:tr w:rsidR="00EE3063" w14:paraId="60A6387F" w14:textId="77777777" w:rsidTr="00EE306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95" w:type="pct"/>
          </w:tcPr>
          <w:p w14:paraId="30584827" w14:textId="200D1872" w:rsidR="00EE3063" w:rsidRDefault="00EB5174" w:rsidP="00B91DA8">
            <w:pPr>
              <w:rPr>
                <w:rFonts w:ascii="Calibri" w:eastAsia="Calibri" w:hAnsi="Calibri" w:cs="Calibri"/>
              </w:rPr>
            </w:pPr>
            <w:r>
              <w:rPr>
                <w:rFonts w:ascii="Calibri" w:eastAsia="Calibri" w:hAnsi="Calibri" w:cs="Calibri"/>
              </w:rPr>
              <w:t>7</w:t>
            </w:r>
          </w:p>
        </w:tc>
        <w:tc>
          <w:tcPr>
            <w:tcW w:w="1014" w:type="pct"/>
          </w:tcPr>
          <w:p w14:paraId="45D4C075" w14:textId="4925569C" w:rsidR="00EE3063" w:rsidRDefault="00165381"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r w:rsidRPr="00165381">
              <w:rPr>
                <w:rFonts w:ascii="Calibri" w:eastAsia="Calibri" w:hAnsi="Calibri" w:cs="Calibri"/>
              </w:rPr>
              <w:t>Model specification</w:t>
            </w:r>
          </w:p>
        </w:tc>
        <w:tc>
          <w:tcPr>
            <w:tcW w:w="1207" w:type="pct"/>
          </w:tcPr>
          <w:p w14:paraId="0DE81C80" w14:textId="64332CF7" w:rsidR="00EE3063" w:rsidRDefault="00D84F83" w:rsidP="00D84F83">
            <w:pPr>
              <w:cnfStyle w:val="000000100000" w:firstRow="0" w:lastRow="0" w:firstColumn="0" w:lastColumn="0" w:oddVBand="0" w:evenVBand="0" w:oddHBand="1" w:evenHBand="0" w:firstRowFirstColumn="0" w:firstRowLastColumn="0" w:lastRowFirstColumn="0" w:lastRowLastColumn="0"/>
            </w:pPr>
            <w:r w:rsidRPr="00D84F83">
              <w:t>Retained the two-way fixed-effects model from Week 6 as the primary Part 2 specification, no changes</w:t>
            </w:r>
          </w:p>
        </w:tc>
        <w:tc>
          <w:tcPr>
            <w:tcW w:w="2384" w:type="pct"/>
          </w:tcPr>
          <w:p w14:paraId="1C9A25BB" w14:textId="2FF97396" w:rsidR="00EE3063" w:rsidRPr="0027510A" w:rsidRDefault="00D84F83" w:rsidP="00B91DA8">
            <w:pPr>
              <w:cnfStyle w:val="000000100000" w:firstRow="0" w:lastRow="0" w:firstColumn="0" w:lastColumn="0" w:oddVBand="0" w:evenVBand="0" w:oddHBand="1" w:evenHBand="0" w:firstRowFirstColumn="0" w:firstRowLastColumn="0" w:lastRowFirstColumn="0" w:lastRowLastColumn="0"/>
              <w:rPr>
                <w:rFonts w:ascii="Calibri" w:eastAsia="Calibri" w:hAnsi="Calibri" w:cs="Calibri"/>
              </w:rPr>
            </w:pPr>
            <w:proofErr w:type="spellStart"/>
            <w:r w:rsidRPr="00D84F83">
              <w:rPr>
                <w:rFonts w:ascii="Calibri" w:eastAsia="Calibri" w:hAnsi="Calibri" w:cs="Calibri"/>
              </w:rPr>
              <w:t>Mundlak</w:t>
            </w:r>
            <w:proofErr w:type="spellEnd"/>
            <w:r w:rsidRPr="00D84F83">
              <w:rPr>
                <w:rFonts w:ascii="Calibri" w:eastAsia="Calibri" w:hAnsi="Calibri" w:cs="Calibri"/>
              </w:rPr>
              <w:t xml:space="preserve"> test rejected the random-effects assumption (chi-squared = 44.44, 13 </w:t>
            </w:r>
            <w:proofErr w:type="spellStart"/>
            <w:r w:rsidRPr="00D84F83">
              <w:rPr>
                <w:rFonts w:ascii="Calibri" w:eastAsia="Calibri" w:hAnsi="Calibri" w:cs="Calibri"/>
              </w:rPr>
              <w:t>df</w:t>
            </w:r>
            <w:proofErr w:type="spellEnd"/>
            <w:r w:rsidRPr="00D84F83">
              <w:rPr>
                <w:rFonts w:ascii="Calibri" w:eastAsia="Calibri" w:hAnsi="Calibri" w:cs="Calibri"/>
              </w:rPr>
              <w:t>, p &lt; 0.0001), confirming fixed effects is the appropriate choice</w:t>
            </w:r>
          </w:p>
        </w:tc>
      </w:tr>
      <w:tr w:rsidR="00EE3063" w14:paraId="601C8B52" w14:textId="77777777" w:rsidTr="00EE3063">
        <w:tc>
          <w:tcPr>
            <w:cnfStyle w:val="001000000000" w:firstRow="0" w:lastRow="0" w:firstColumn="1" w:lastColumn="0" w:oddVBand="0" w:evenVBand="0" w:oddHBand="0" w:evenHBand="0" w:firstRowFirstColumn="0" w:firstRowLastColumn="0" w:lastRowFirstColumn="0" w:lastRowLastColumn="0"/>
            <w:tcW w:w="395" w:type="pct"/>
          </w:tcPr>
          <w:p w14:paraId="05CD76A0" w14:textId="316F980B" w:rsidR="00EE3063" w:rsidRDefault="00EB5174" w:rsidP="00B91DA8">
            <w:pPr>
              <w:rPr>
                <w:rFonts w:ascii="Calibri" w:eastAsia="Calibri" w:hAnsi="Calibri" w:cs="Calibri"/>
              </w:rPr>
            </w:pPr>
            <w:r>
              <w:rPr>
                <w:rFonts w:ascii="Calibri" w:eastAsia="Calibri" w:hAnsi="Calibri" w:cs="Calibri"/>
              </w:rPr>
              <w:t>7</w:t>
            </w:r>
          </w:p>
        </w:tc>
        <w:tc>
          <w:tcPr>
            <w:tcW w:w="1014" w:type="pct"/>
          </w:tcPr>
          <w:p w14:paraId="364C998A" w14:textId="601AD111" w:rsidR="00EE3063" w:rsidRDefault="00165381"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165381">
              <w:rPr>
                <w:rFonts w:ascii="Calibri" w:eastAsia="Calibri" w:hAnsi="Calibri" w:cs="Calibri"/>
              </w:rPr>
              <w:t>Interpretation correction</w:t>
            </w:r>
          </w:p>
        </w:tc>
        <w:tc>
          <w:tcPr>
            <w:tcW w:w="1207" w:type="pct"/>
          </w:tcPr>
          <w:p w14:paraId="33AB0C90" w14:textId="31CD72A1" w:rsidR="00EE3063" w:rsidRDefault="00165381" w:rsidP="00B91DA8">
            <w:pPr>
              <w:cnfStyle w:val="000000000000" w:firstRow="0" w:lastRow="0" w:firstColumn="0" w:lastColumn="0" w:oddVBand="0" w:evenVBand="0" w:oddHBand="0" w:evenHBand="0" w:firstRowFirstColumn="0" w:firstRowLastColumn="0" w:lastRowFirstColumn="0" w:lastRowLastColumn="0"/>
            </w:pPr>
            <w:r w:rsidRPr="00165381">
              <w:t xml:space="preserve">Revised the Week 6 explanation for </w:t>
            </w:r>
            <w:proofErr w:type="spellStart"/>
            <w:r w:rsidRPr="00165381">
              <w:t>median_income's</w:t>
            </w:r>
            <w:proofErr w:type="spellEnd"/>
            <w:r w:rsidRPr="00165381">
              <w:t xml:space="preserve"> non-</w:t>
            </w:r>
            <w:r w:rsidRPr="00165381">
              <w:lastRenderedPageBreak/>
              <w:t>significant fixed-effects coefficient, from "income is slow-moving within a county" to "income has adequate within-county variation but no detectable within-county relationship with the uninsured rate"</w:t>
            </w:r>
          </w:p>
        </w:tc>
        <w:tc>
          <w:tcPr>
            <w:tcW w:w="2384" w:type="pct"/>
          </w:tcPr>
          <w:p w14:paraId="440DCA74" w14:textId="0D83287A" w:rsidR="00EE3063" w:rsidRPr="0027510A" w:rsidRDefault="00D84F83" w:rsidP="00B91DA8">
            <w:pPr>
              <w:cnfStyle w:val="000000000000" w:firstRow="0" w:lastRow="0" w:firstColumn="0" w:lastColumn="0" w:oddVBand="0" w:evenVBand="0" w:oddHBand="0" w:evenHBand="0" w:firstRowFirstColumn="0" w:firstRowLastColumn="0" w:lastRowFirstColumn="0" w:lastRowLastColumn="0"/>
              <w:rPr>
                <w:rFonts w:ascii="Calibri" w:eastAsia="Calibri" w:hAnsi="Calibri" w:cs="Calibri"/>
              </w:rPr>
            </w:pPr>
            <w:r w:rsidRPr="00D84F83">
              <w:rPr>
                <w:rFonts w:ascii="Calibri" w:eastAsia="Calibri" w:hAnsi="Calibri" w:cs="Calibri"/>
              </w:rPr>
              <w:lastRenderedPageBreak/>
              <w:t xml:space="preserve">The variation diagnostic showed </w:t>
            </w:r>
            <w:proofErr w:type="spellStart"/>
            <w:r w:rsidRPr="00D84F83">
              <w:rPr>
                <w:rFonts w:ascii="Calibri" w:eastAsia="Calibri" w:hAnsi="Calibri" w:cs="Calibri"/>
              </w:rPr>
              <w:t>median_income's</w:t>
            </w:r>
            <w:proofErr w:type="spellEnd"/>
            <w:r w:rsidRPr="00D84F83">
              <w:rPr>
                <w:rFonts w:ascii="Calibri" w:eastAsia="Calibri" w:hAnsi="Calibri" w:cs="Calibri"/>
              </w:rPr>
              <w:t xml:space="preserve"> within/overall SD ratio (0.452) is above the </w:t>
            </w:r>
            <w:r w:rsidRPr="00D84F83">
              <w:rPr>
                <w:rFonts w:ascii="Calibri" w:eastAsia="Calibri" w:hAnsi="Calibri" w:cs="Calibri"/>
              </w:rPr>
              <w:lastRenderedPageBreak/>
              <w:t>acceptable threshold (0.4), so insufficient variation does not explain the non-significant result</w:t>
            </w:r>
          </w:p>
        </w:tc>
      </w:tr>
    </w:tbl>
    <w:p w14:paraId="7CFCB634" w14:textId="77777777" w:rsidR="008D514E" w:rsidRDefault="008D514E"/>
    <w:sectPr w:rsidR="008D5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292B"/>
    <w:rsid w:val="000265E9"/>
    <w:rsid w:val="000C21BA"/>
    <w:rsid w:val="001251FA"/>
    <w:rsid w:val="00165381"/>
    <w:rsid w:val="001816C2"/>
    <w:rsid w:val="001B31B8"/>
    <w:rsid w:val="001C6BA2"/>
    <w:rsid w:val="001C767D"/>
    <w:rsid w:val="00256292"/>
    <w:rsid w:val="0027510A"/>
    <w:rsid w:val="004B4832"/>
    <w:rsid w:val="004E6F04"/>
    <w:rsid w:val="005B2EA8"/>
    <w:rsid w:val="008715EE"/>
    <w:rsid w:val="008D0C4E"/>
    <w:rsid w:val="008D514E"/>
    <w:rsid w:val="00980360"/>
    <w:rsid w:val="009C292B"/>
    <w:rsid w:val="00B91DA8"/>
    <w:rsid w:val="00BF3849"/>
    <w:rsid w:val="00CE001D"/>
    <w:rsid w:val="00D575F8"/>
    <w:rsid w:val="00D84F83"/>
    <w:rsid w:val="00DB2AF2"/>
    <w:rsid w:val="00EB5174"/>
    <w:rsid w:val="00EE3063"/>
    <w:rsid w:val="00FA1E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FCA232"/>
  <w15:chartTrackingRefBased/>
  <w15:docId w15:val="{06283CA1-7AF6-4B79-A3E6-7CA6C6D552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92B"/>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9C292B"/>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9C292B"/>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9C292B"/>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9C292B"/>
    <w:pPr>
      <w:keepNext/>
      <w:keepLines/>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9C292B"/>
    <w:pPr>
      <w:keepNext/>
      <w:keepLines/>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9C292B"/>
    <w:pPr>
      <w:keepNext/>
      <w:keepLines/>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9C292B"/>
    <w:pPr>
      <w:keepNext/>
      <w:keepLines/>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9C292B"/>
    <w:pPr>
      <w:keepNext/>
      <w:keepLines/>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9C292B"/>
    <w:pPr>
      <w:keepNext/>
      <w:keepLines/>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C29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C29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C29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C29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C29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C29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C29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C29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C292B"/>
    <w:rPr>
      <w:rFonts w:eastAsiaTheme="majorEastAsia" w:cstheme="majorBidi"/>
      <w:color w:val="272727" w:themeColor="text1" w:themeTint="D8"/>
    </w:rPr>
  </w:style>
  <w:style w:type="paragraph" w:styleId="Title">
    <w:name w:val="Title"/>
    <w:basedOn w:val="Normal"/>
    <w:next w:val="Normal"/>
    <w:link w:val="TitleChar"/>
    <w:uiPriority w:val="10"/>
    <w:qFormat/>
    <w:rsid w:val="009C292B"/>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9C29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C292B"/>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9C29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C292B"/>
    <w:pPr>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9C292B"/>
    <w:rPr>
      <w:i/>
      <w:iCs/>
      <w:color w:val="404040" w:themeColor="text1" w:themeTint="BF"/>
    </w:rPr>
  </w:style>
  <w:style w:type="paragraph" w:styleId="ListParagraph">
    <w:name w:val="List Paragraph"/>
    <w:basedOn w:val="Normal"/>
    <w:uiPriority w:val="34"/>
    <w:qFormat/>
    <w:rsid w:val="009C292B"/>
    <w:pPr>
      <w:spacing w:after="160" w:line="278" w:lineRule="auto"/>
      <w:ind w:left="720"/>
      <w:contextualSpacing/>
    </w:pPr>
    <w:rPr>
      <w:rFonts w:asciiTheme="minorHAnsi" w:eastAsiaTheme="minorHAnsi" w:hAnsiTheme="minorHAnsi" w:cstheme="minorBidi"/>
      <w:kern w:val="2"/>
      <w:sz w:val="24"/>
      <w:szCs w:val="24"/>
      <w14:ligatures w14:val="standardContextual"/>
    </w:rPr>
  </w:style>
  <w:style w:type="character" w:styleId="IntenseEmphasis">
    <w:name w:val="Intense Emphasis"/>
    <w:basedOn w:val="DefaultParagraphFont"/>
    <w:uiPriority w:val="21"/>
    <w:qFormat/>
    <w:rsid w:val="009C292B"/>
    <w:rPr>
      <w:i/>
      <w:iCs/>
      <w:color w:val="0F4761" w:themeColor="accent1" w:themeShade="BF"/>
    </w:rPr>
  </w:style>
  <w:style w:type="paragraph" w:styleId="IntenseQuote">
    <w:name w:val="Intense Quote"/>
    <w:basedOn w:val="Normal"/>
    <w:next w:val="Normal"/>
    <w:link w:val="IntenseQuoteChar"/>
    <w:uiPriority w:val="30"/>
    <w:qFormat/>
    <w:rsid w:val="009C292B"/>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9C292B"/>
    <w:rPr>
      <w:i/>
      <w:iCs/>
      <w:color w:val="0F4761" w:themeColor="accent1" w:themeShade="BF"/>
    </w:rPr>
  </w:style>
  <w:style w:type="character" w:styleId="IntenseReference">
    <w:name w:val="Intense Reference"/>
    <w:basedOn w:val="DefaultParagraphFont"/>
    <w:uiPriority w:val="32"/>
    <w:qFormat/>
    <w:rsid w:val="009C292B"/>
    <w:rPr>
      <w:b/>
      <w:bCs/>
      <w:smallCaps/>
      <w:color w:val="0F4761" w:themeColor="accent1" w:themeShade="BF"/>
      <w:spacing w:val="5"/>
    </w:rPr>
  </w:style>
  <w:style w:type="table" w:styleId="GridTable4-Accent2">
    <w:name w:val="Grid Table 4 Accent 2"/>
    <w:basedOn w:val="TableNormal"/>
    <w:uiPriority w:val="49"/>
    <w:rsid w:val="009C292B"/>
    <w:pPr>
      <w:spacing w:after="0" w:line="240" w:lineRule="auto"/>
    </w:pPr>
    <w:rPr>
      <w:rFonts w:ascii="Arial" w:eastAsia="Arial" w:hAnsi="Arial" w:cs="Arial"/>
      <w:kern w:val="0"/>
      <w:sz w:val="20"/>
      <w:szCs w:val="20"/>
      <w14:ligatures w14:val="none"/>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character" w:styleId="HTMLCode">
    <w:name w:val="HTML Code"/>
    <w:basedOn w:val="DefaultParagraphFont"/>
    <w:uiPriority w:val="99"/>
    <w:semiHidden/>
    <w:unhideWhenUsed/>
    <w:rsid w:val="0025629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D9746C7FF84C449B12CEB48A8E17926" ma:contentTypeVersion="16" ma:contentTypeDescription="Create a new document." ma:contentTypeScope="" ma:versionID="4bb6fe4e1c75b5540c1f4ab272283b02">
  <xsd:schema xmlns:xsd="http://www.w3.org/2001/XMLSchema" xmlns:xs="http://www.w3.org/2001/XMLSchema" xmlns:p="http://schemas.microsoft.com/office/2006/metadata/properties" xmlns:ns3="706b8aa2-8af0-4ab8-9873-df9911b98d43" xmlns:ns4="51b1e863-652f-4e12-a6c4-d71aedd5f070" targetNamespace="http://schemas.microsoft.com/office/2006/metadata/properties" ma:root="true" ma:fieldsID="12b9d2ff6dca74e3d66d5dd31ea60895" ns3:_="" ns4:_="">
    <xsd:import namespace="706b8aa2-8af0-4ab8-9873-df9911b98d43"/>
    <xsd:import namespace="51b1e863-652f-4e12-a6c4-d71aedd5f070"/>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AutoTags" minOccurs="0"/>
                <xsd:element ref="ns3:MediaServiceSearchProperties" minOccurs="0"/>
                <xsd:element ref="ns3:MediaServiceObjectDetectorVersions"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06b8aa2-8af0-4ab8-9873-df9911b98d4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AutoTags" ma:index="18" nillable="true" ma:displayName="Tags" ma:internalName="MediaServiceAutoTag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1b1e863-652f-4e12-a6c4-d71aedd5f070"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706b8aa2-8af0-4ab8-9873-df9911b98d43"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C4BBCEE-F67C-403A-BDA6-D1A8F72166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06b8aa2-8af0-4ab8-9873-df9911b98d43"/>
    <ds:schemaRef ds:uri="51b1e863-652f-4e12-a6c4-d71aedd5f07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F6F1979-D164-4E8C-BB05-AAFC2A814FE6}">
  <ds:schemaRefs>
    <ds:schemaRef ds:uri="http://schemas.microsoft.com/office/2006/metadata/properties"/>
    <ds:schemaRef ds:uri="http://schemas.microsoft.com/office/infopath/2007/PartnerControls"/>
    <ds:schemaRef ds:uri="706b8aa2-8af0-4ab8-9873-df9911b98d43"/>
  </ds:schemaRefs>
</ds:datastoreItem>
</file>

<file path=customXml/itemProps3.xml><?xml version="1.0" encoding="utf-8"?>
<ds:datastoreItem xmlns:ds="http://schemas.openxmlformats.org/officeDocument/2006/customXml" ds:itemID="{D7A5B4EB-9640-4FFD-98EB-39AF60ECE5C4}">
  <ds:schemaRefs>
    <ds:schemaRef ds:uri="http://schemas.microsoft.com/sharepoint/v3/contenttype/forms"/>
  </ds:schemaRefs>
</ds:datastoreItem>
</file>

<file path=docMetadata/LabelInfo.xml><?xml version="1.0" encoding="utf-8"?>
<clbl:labelList xmlns:clbl="http://schemas.microsoft.com/office/2020/mipLabelMetadata">
  <clbl:label id="{762ebf40-80b2-40ba-86fe-6dd409acb499}" enabled="0" method="" siteId="{762ebf40-80b2-40ba-86fe-6dd409acb499}" removed="1"/>
</clbl:labelList>
</file>

<file path=docProps/app.xml><?xml version="1.0" encoding="utf-8"?>
<Properties xmlns="http://schemas.openxmlformats.org/officeDocument/2006/extended-properties" xmlns:vt="http://schemas.openxmlformats.org/officeDocument/2006/docPropsVTypes">
  <Template>Normal</Template>
  <TotalTime>980</TotalTime>
  <Pages>5</Pages>
  <Words>1628</Words>
  <Characters>10148</Characters>
  <Application>Microsoft Office Word</Application>
  <DocSecurity>0</DocSecurity>
  <Lines>461</Lines>
  <Paragraphs>163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Seth Phillips</dc:creator>
  <cp:keywords/>
  <dc:description/>
  <cp:lastModifiedBy>Seth Phillips</cp:lastModifiedBy>
  <cp:revision>19</cp:revision>
  <dcterms:created xsi:type="dcterms:W3CDTF">2026-06-03T19:28:00Z</dcterms:created>
  <dcterms:modified xsi:type="dcterms:W3CDTF">2026-07-01T21:44:00Z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0x0101001D9746C7FF84C449B12CEB48A8E17926</vt:lpwstr>
  </property>
</Properties>
</file>