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dTable4-Accent2"/>
        <w:tblW w:w="5000" w:type="pct"/>
        <w:tblLook w:val="04A0" w:firstRow="1" w:lastRow="0" w:firstColumn="1" w:lastColumn="0" w:noHBand="0" w:noVBand="1"/>
      </w:tblPr>
      <w:tblGrid>
        <w:gridCol w:w="739"/>
        <w:gridCol w:w="1896"/>
        <w:gridCol w:w="2257"/>
        <w:gridCol w:w="4458"/>
      </w:tblGrid>
      <w:tr w:rsidR="009C292B" w14:paraId="62A1B6E8" w14:textId="77777777" w:rsidTr="004E6F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 w:type="pct"/>
          </w:tcPr>
          <w:p w14:paraId="2B292D68" w14:textId="77777777" w:rsidR="009C292B" w:rsidRDefault="009C292B" w:rsidP="00173C90">
            <w:r>
              <w:rPr>
                <w:color w:val="FFFFFF"/>
              </w:rPr>
              <w:t>Week</w:t>
            </w:r>
          </w:p>
        </w:tc>
        <w:tc>
          <w:tcPr>
            <w:tcW w:w="1014" w:type="pct"/>
          </w:tcPr>
          <w:p w14:paraId="65BFA82D" w14:textId="77777777" w:rsidR="009C292B" w:rsidRDefault="009C292B" w:rsidP="00173C90">
            <w:pPr>
              <w:cnfStyle w:val="100000000000" w:firstRow="1" w:lastRow="0" w:firstColumn="0" w:lastColumn="0" w:oddVBand="0" w:evenVBand="0" w:oddHBand="0" w:evenHBand="0" w:firstRowFirstColumn="0" w:firstRowLastColumn="0" w:lastRowFirstColumn="0" w:lastRowLastColumn="0"/>
            </w:pPr>
            <w:r>
              <w:rPr>
                <w:color w:val="FFFFFF"/>
              </w:rPr>
              <w:t>Category</w:t>
            </w:r>
          </w:p>
        </w:tc>
        <w:tc>
          <w:tcPr>
            <w:tcW w:w="1114" w:type="pct"/>
          </w:tcPr>
          <w:p w14:paraId="04A3A570" w14:textId="77777777" w:rsidR="009C292B" w:rsidRDefault="009C292B" w:rsidP="00173C90">
            <w:pPr>
              <w:cnfStyle w:val="100000000000" w:firstRow="1" w:lastRow="0" w:firstColumn="0" w:lastColumn="0" w:oddVBand="0" w:evenVBand="0" w:oddHBand="0" w:evenHBand="0" w:firstRowFirstColumn="0" w:firstRowLastColumn="0" w:lastRowFirstColumn="0" w:lastRowLastColumn="0"/>
            </w:pPr>
            <w:r>
              <w:rPr>
                <w:color w:val="FFFFFF"/>
              </w:rPr>
              <w:t>Decision</w:t>
            </w:r>
          </w:p>
        </w:tc>
        <w:tc>
          <w:tcPr>
            <w:tcW w:w="2476" w:type="pct"/>
          </w:tcPr>
          <w:p w14:paraId="150E5A0F" w14:textId="77777777" w:rsidR="009C292B" w:rsidRDefault="009C292B" w:rsidP="00173C90">
            <w:pPr>
              <w:cnfStyle w:val="100000000000" w:firstRow="1" w:lastRow="0" w:firstColumn="0" w:lastColumn="0" w:oddVBand="0" w:evenVBand="0" w:oddHBand="0" w:evenHBand="0" w:firstRowFirstColumn="0" w:firstRowLastColumn="0" w:lastRowFirstColumn="0" w:lastRowLastColumn="0"/>
            </w:pPr>
            <w:r>
              <w:rPr>
                <w:color w:val="FFFFFF"/>
              </w:rPr>
              <w:t>Justification</w:t>
            </w:r>
          </w:p>
        </w:tc>
      </w:tr>
      <w:tr w:rsidR="009C292B" w14:paraId="765AD3D9" w14:textId="77777777" w:rsidTr="004E6F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 w:type="pct"/>
          </w:tcPr>
          <w:p w14:paraId="70F2CABB" w14:textId="77777777" w:rsidR="009C292B" w:rsidRDefault="009C292B" w:rsidP="00173C90">
            <w:r>
              <w:t>2</w:t>
            </w:r>
          </w:p>
        </w:tc>
        <w:tc>
          <w:tcPr>
            <w:tcW w:w="1014" w:type="pct"/>
          </w:tcPr>
          <w:p w14:paraId="2D5849B7"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Study period</w:t>
            </w:r>
          </w:p>
        </w:tc>
        <w:tc>
          <w:tcPr>
            <w:tcW w:w="1114" w:type="pct"/>
          </w:tcPr>
          <w:p w14:paraId="2F10CCF8"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Primary panel: 2012-2025 (release years)</w:t>
            </w:r>
          </w:p>
        </w:tc>
        <w:tc>
          <w:tcPr>
            <w:tcW w:w="2476" w:type="pct"/>
          </w:tcPr>
          <w:p w14:paraId="3294179E"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CHR began the all-ages uninsured measure (v085) in 2012. Using 2010-2011 in the primary series would mix two different measure populations (adults-only v003 vs all-ages v085), creating a structural break. A clean 14-year all-ages series is more defensible for longitudinal modeling.</w:t>
            </w:r>
          </w:p>
        </w:tc>
      </w:tr>
      <w:tr w:rsidR="009C292B" w14:paraId="2A00A5DA" w14:textId="77777777" w:rsidTr="004E6F04">
        <w:tc>
          <w:tcPr>
            <w:cnfStyle w:val="001000000000" w:firstRow="0" w:lastRow="0" w:firstColumn="1" w:lastColumn="0" w:oddVBand="0" w:evenVBand="0" w:oddHBand="0" w:evenHBand="0" w:firstRowFirstColumn="0" w:firstRowLastColumn="0" w:lastRowFirstColumn="0" w:lastRowLastColumn="0"/>
            <w:tcW w:w="396" w:type="pct"/>
          </w:tcPr>
          <w:p w14:paraId="157E28AA" w14:textId="77777777" w:rsidR="009C292B" w:rsidRDefault="009C292B" w:rsidP="00173C90">
            <w:r>
              <w:t>2</w:t>
            </w:r>
          </w:p>
        </w:tc>
        <w:tc>
          <w:tcPr>
            <w:tcW w:w="1014" w:type="pct"/>
          </w:tcPr>
          <w:p w14:paraId="23EACCEA"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Study period</w:t>
            </w:r>
          </w:p>
        </w:tc>
        <w:tc>
          <w:tcPr>
            <w:tcW w:w="1114" w:type="pct"/>
          </w:tcPr>
          <w:p w14:paraId="01C3E79B"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2010-2011 reserved as independent extension using adults-only measure (v003)</w:t>
            </w:r>
          </w:p>
        </w:tc>
        <w:tc>
          <w:tcPr>
            <w:tcW w:w="2476" w:type="pct"/>
          </w:tcPr>
          <w:p w14:paraId="5398DA6F"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The adult uninsured rate (ages 18-64) is available from 2010 onward and enables a full 16-year series. Preserving 2010-2011 in a separate panel allows the extension analysis (RQ1) to quantify the magnitude of the measure-population break between the two series.</w:t>
            </w:r>
          </w:p>
        </w:tc>
      </w:tr>
      <w:tr w:rsidR="009C292B" w14:paraId="4741B772" w14:textId="77777777" w:rsidTr="004E6F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 w:type="pct"/>
          </w:tcPr>
          <w:p w14:paraId="75E75849" w14:textId="77777777" w:rsidR="009C292B" w:rsidRDefault="009C292B" w:rsidP="00173C90">
            <w:r>
              <w:t>2</w:t>
            </w:r>
          </w:p>
        </w:tc>
        <w:tc>
          <w:tcPr>
            <w:tcW w:w="1014" w:type="pct"/>
          </w:tcPr>
          <w:p w14:paraId="4732DC49"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Geography</w:t>
            </w:r>
          </w:p>
        </w:tc>
        <w:tc>
          <w:tcPr>
            <w:tcW w:w="1114" w:type="pct"/>
          </w:tcPr>
          <w:p w14:paraId="0539A86D"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Connecticut excluded from the panel entirely</w:t>
            </w:r>
          </w:p>
        </w:tc>
        <w:tc>
          <w:tcPr>
            <w:tcW w:w="2476" w:type="pct"/>
          </w:tcPr>
          <w:p w14:paraId="0FFF1127"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Connecticut replaced its 8 counties with 9 planning regions in the 2022 CHR release. A clean crosswalk is not feasible for most variables. Excluding CT at the assembly stage keeps the sample geographically consistent across all descriptive and modeling sections.</w:t>
            </w:r>
          </w:p>
        </w:tc>
      </w:tr>
      <w:tr w:rsidR="009C292B" w14:paraId="778EE341" w14:textId="77777777" w:rsidTr="004E6F04">
        <w:tc>
          <w:tcPr>
            <w:cnfStyle w:val="001000000000" w:firstRow="0" w:lastRow="0" w:firstColumn="1" w:lastColumn="0" w:oddVBand="0" w:evenVBand="0" w:oddHBand="0" w:evenHBand="0" w:firstRowFirstColumn="0" w:firstRowLastColumn="0" w:lastRowFirstColumn="0" w:lastRowLastColumn="0"/>
            <w:tcW w:w="396" w:type="pct"/>
          </w:tcPr>
          <w:p w14:paraId="3F2765AF" w14:textId="77777777" w:rsidR="009C292B" w:rsidRDefault="009C292B" w:rsidP="00173C90">
            <w:r>
              <w:t>2</w:t>
            </w:r>
          </w:p>
        </w:tc>
        <w:tc>
          <w:tcPr>
            <w:tcW w:w="1014" w:type="pct"/>
          </w:tcPr>
          <w:p w14:paraId="6574B92C"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FIPS handling</w:t>
            </w:r>
          </w:p>
        </w:tc>
        <w:tc>
          <w:tcPr>
            <w:tcW w:w="1114" w:type="pct"/>
          </w:tcPr>
          <w:p w14:paraId="49F0BB94"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FIPS codes treated as strings throughout; zero-padded to 5 digits</w:t>
            </w:r>
          </w:p>
        </w:tc>
        <w:tc>
          <w:tcPr>
            <w:tcW w:w="2476" w:type="pct"/>
          </w:tcPr>
          <w:p w14:paraId="3358FA81"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Reading FIPS as integers strips leading zeros (e.g., Alabama counties become 1001 instead of 01001), which breaks all merge and filter operations. String treatment is applied consistently at the file-read stage.</w:t>
            </w:r>
          </w:p>
        </w:tc>
      </w:tr>
      <w:tr w:rsidR="009C292B" w14:paraId="1DEB659F" w14:textId="77777777" w:rsidTr="004E6F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 w:type="pct"/>
          </w:tcPr>
          <w:p w14:paraId="3FB11DE3" w14:textId="77777777" w:rsidR="009C292B" w:rsidRDefault="009C292B" w:rsidP="00173C90">
            <w:r>
              <w:t>2</w:t>
            </w:r>
          </w:p>
        </w:tc>
        <w:tc>
          <w:tcPr>
            <w:tcW w:w="1014" w:type="pct"/>
          </w:tcPr>
          <w:p w14:paraId="08D46F40"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Row filtering</w:t>
            </w:r>
          </w:p>
        </w:tc>
        <w:tc>
          <w:tcPr>
            <w:tcW w:w="1114" w:type="pct"/>
          </w:tcPr>
          <w:p w14:paraId="58BC9F4C"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State summary rows (county FIPS portion = 000) filtered before stacking</w:t>
            </w:r>
          </w:p>
        </w:tc>
        <w:tc>
          <w:tcPr>
            <w:tcW w:w="2476" w:type="pct"/>
          </w:tcPr>
          <w:p w14:paraId="57381786"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Each CHR file contains one state-level summary row per state. These rows represent state aggregates, not counties, and must be removed before constructing a county-level panel.</w:t>
            </w:r>
          </w:p>
        </w:tc>
      </w:tr>
      <w:tr w:rsidR="009C292B" w14:paraId="255EB30D" w14:textId="77777777" w:rsidTr="004E6F04">
        <w:tc>
          <w:tcPr>
            <w:cnfStyle w:val="001000000000" w:firstRow="0" w:lastRow="0" w:firstColumn="1" w:lastColumn="0" w:oddVBand="0" w:evenVBand="0" w:oddHBand="0" w:evenHBand="0" w:firstRowFirstColumn="0" w:firstRowLastColumn="0" w:lastRowFirstColumn="0" w:lastRowLastColumn="0"/>
            <w:tcW w:w="396" w:type="pct"/>
          </w:tcPr>
          <w:p w14:paraId="6AA6347D" w14:textId="77777777" w:rsidR="009C292B" w:rsidRDefault="009C292B" w:rsidP="00173C90">
            <w:r>
              <w:t>2</w:t>
            </w:r>
          </w:p>
        </w:tc>
        <w:tc>
          <w:tcPr>
            <w:tcW w:w="1014" w:type="pct"/>
          </w:tcPr>
          <w:p w14:paraId="0538944D"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Time axis</w:t>
            </w:r>
          </w:p>
        </w:tc>
        <w:tc>
          <w:tcPr>
            <w:tcW w:w="1114" w:type="pct"/>
          </w:tcPr>
          <w:p w14:paraId="669E0F3C"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proofErr w:type="spellStart"/>
            <w:r>
              <w:t>measure_year</w:t>
            </w:r>
            <w:proofErr w:type="spellEnd"/>
            <w:r>
              <w:t xml:space="preserve"> used as time axis; </w:t>
            </w:r>
            <w:proofErr w:type="spellStart"/>
            <w:r>
              <w:t>release_year</w:t>
            </w:r>
            <w:proofErr w:type="spellEnd"/>
            <w:r>
              <w:t xml:space="preserve"> retained for provenance only</w:t>
            </w:r>
          </w:p>
        </w:tc>
        <w:tc>
          <w:tcPr>
            <w:tcW w:w="2476" w:type="pct"/>
          </w:tcPr>
          <w:p w14:paraId="58BB52A7"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CHR release year is not the same as the underlying survey year. The uninsured measure draws from SAHIE single-year estimates with a consistent 2-3 year lag. Using release year on the time axis would misrepresent when the data were collected and misalign trend plots with policy events. All 16 measure years were verified against CHR technical documents.</w:t>
            </w:r>
          </w:p>
        </w:tc>
      </w:tr>
      <w:tr w:rsidR="009C292B" w14:paraId="1F22D26F" w14:textId="77777777" w:rsidTr="004E6F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 w:type="pct"/>
          </w:tcPr>
          <w:p w14:paraId="3D07C028" w14:textId="77777777" w:rsidR="009C292B" w:rsidRDefault="009C292B" w:rsidP="00173C90">
            <w:r>
              <w:t>3</w:t>
            </w:r>
          </w:p>
        </w:tc>
        <w:tc>
          <w:tcPr>
            <w:tcW w:w="1014" w:type="pct"/>
          </w:tcPr>
          <w:p w14:paraId="6D638E7A"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Outcome variable</w:t>
            </w:r>
          </w:p>
        </w:tc>
        <w:tc>
          <w:tcPr>
            <w:tcW w:w="1114" w:type="pct"/>
          </w:tcPr>
          <w:p w14:paraId="1F5DD742"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 xml:space="preserve">Primary outcome: </w:t>
            </w:r>
            <w:proofErr w:type="spellStart"/>
            <w:r>
              <w:t>uninsured_raw</w:t>
            </w:r>
            <w:proofErr w:type="spellEnd"/>
            <w:r>
              <w:t xml:space="preserve"> (all-ages, v085/v059)</w:t>
            </w:r>
          </w:p>
        </w:tc>
        <w:tc>
          <w:tcPr>
            <w:tcW w:w="2476" w:type="pct"/>
          </w:tcPr>
          <w:p w14:paraId="6E17B90B"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The all-ages uninsured rate covers the broadest, most policy-relevant population and is available in 14 consecutive release years (2012-2025) from a consistent SAHIE source. It is 0% missing across all 14 primary years in the final panel.</w:t>
            </w:r>
          </w:p>
        </w:tc>
      </w:tr>
      <w:tr w:rsidR="009C292B" w14:paraId="2FC971E8" w14:textId="77777777" w:rsidTr="004E6F04">
        <w:tc>
          <w:tcPr>
            <w:cnfStyle w:val="001000000000" w:firstRow="0" w:lastRow="0" w:firstColumn="1" w:lastColumn="0" w:oddVBand="0" w:evenVBand="0" w:oddHBand="0" w:evenHBand="0" w:firstRowFirstColumn="0" w:firstRowLastColumn="0" w:lastRowFirstColumn="0" w:lastRowLastColumn="0"/>
            <w:tcW w:w="396" w:type="pct"/>
          </w:tcPr>
          <w:p w14:paraId="15EFB47C" w14:textId="77777777" w:rsidR="009C292B" w:rsidRDefault="009C292B" w:rsidP="00173C90">
            <w:r>
              <w:t>3</w:t>
            </w:r>
          </w:p>
        </w:tc>
        <w:tc>
          <w:tcPr>
            <w:tcW w:w="1014" w:type="pct"/>
          </w:tcPr>
          <w:p w14:paraId="27EBA974"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Feature selection</w:t>
            </w:r>
          </w:p>
        </w:tc>
        <w:tc>
          <w:tcPr>
            <w:tcW w:w="1114" w:type="pct"/>
          </w:tcPr>
          <w:p w14:paraId="16D087A8"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18 socioeconomic and demographic predictors selected; health-behavior measures excluded</w:t>
            </w:r>
          </w:p>
        </w:tc>
        <w:tc>
          <w:tcPr>
            <w:tcW w:w="2476" w:type="pct"/>
          </w:tcPr>
          <w:p w14:paraId="58F0FA91"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Variables selected cover income and poverty (</w:t>
            </w:r>
            <w:proofErr w:type="spellStart"/>
            <w:r>
              <w:t>median_income</w:t>
            </w:r>
            <w:proofErr w:type="spellEnd"/>
            <w:r>
              <w:t xml:space="preserve">, </w:t>
            </w:r>
            <w:proofErr w:type="spellStart"/>
            <w:r>
              <w:t>child_poverty_rate</w:t>
            </w:r>
            <w:proofErr w:type="spellEnd"/>
            <w:r>
              <w:t xml:space="preserve">, </w:t>
            </w:r>
            <w:proofErr w:type="spellStart"/>
            <w:r>
              <w:t>poverty_rate</w:t>
            </w:r>
            <w:proofErr w:type="spellEnd"/>
            <w:r>
              <w:t>), education (</w:t>
            </w:r>
            <w:proofErr w:type="spellStart"/>
            <w:r>
              <w:t>hs_graduation_rate</w:t>
            </w:r>
            <w:proofErr w:type="spellEnd"/>
            <w:r>
              <w:t xml:space="preserve">, </w:t>
            </w:r>
            <w:proofErr w:type="spellStart"/>
            <w:r>
              <w:t>some_college_rate</w:t>
            </w:r>
            <w:proofErr w:type="spellEnd"/>
            <w:r>
              <w:t>), labor market (</w:t>
            </w:r>
            <w:proofErr w:type="spellStart"/>
            <w:r>
              <w:t>unemployment_rate</w:t>
            </w:r>
            <w:proofErr w:type="spellEnd"/>
            <w:r>
              <w:t>), household structure (</w:t>
            </w:r>
            <w:proofErr w:type="spellStart"/>
            <w:r>
              <w:t>single_parent_rate</w:t>
            </w:r>
            <w:proofErr w:type="spellEnd"/>
            <w:r>
              <w:t>), housing (</w:t>
            </w:r>
            <w:proofErr w:type="spellStart"/>
            <w:r>
              <w:t>severe_housing_rate</w:t>
            </w:r>
            <w:proofErr w:type="spellEnd"/>
            <w:r>
              <w:t>), rurality (</w:t>
            </w:r>
            <w:proofErr w:type="spellStart"/>
            <w:r>
              <w:t>pct_rural</w:t>
            </w:r>
            <w:proofErr w:type="spellEnd"/>
            <w:r>
              <w:t>), age composition (pct_under18, pct_65plus), race/ethnicity (</w:t>
            </w:r>
            <w:proofErr w:type="spellStart"/>
            <w:r>
              <w:t>pct_black</w:t>
            </w:r>
            <w:proofErr w:type="spellEnd"/>
            <w:r>
              <w:t xml:space="preserve">, </w:t>
            </w:r>
            <w:proofErr w:type="spellStart"/>
            <w:r>
              <w:t>pct_aian</w:t>
            </w:r>
            <w:proofErr w:type="spellEnd"/>
            <w:r>
              <w:t xml:space="preserve">, </w:t>
            </w:r>
            <w:proofErr w:type="spellStart"/>
            <w:r>
              <w:t>pct_asian</w:t>
            </w:r>
            <w:proofErr w:type="spellEnd"/>
            <w:r>
              <w:t xml:space="preserve">, </w:t>
            </w:r>
            <w:proofErr w:type="spellStart"/>
            <w:r>
              <w:t>pct_hispanic</w:t>
            </w:r>
            <w:proofErr w:type="spellEnd"/>
            <w:r>
              <w:t xml:space="preserve">, </w:t>
            </w:r>
            <w:proofErr w:type="spellStart"/>
            <w:r>
              <w:t>pct_white</w:t>
            </w:r>
            <w:proofErr w:type="spellEnd"/>
            <w:r>
              <w:t xml:space="preserve">), and population. </w:t>
            </w:r>
            <w:r>
              <w:lastRenderedPageBreak/>
              <w:t>Health-behavior measures (smoking, obesity, physical inactivity) are excluded because they are plausibly downstream of insurance access and would complicate Part 1 interpretation.</w:t>
            </w:r>
          </w:p>
        </w:tc>
      </w:tr>
      <w:tr w:rsidR="009C292B" w14:paraId="308886FD" w14:textId="77777777" w:rsidTr="004E6F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 w:type="pct"/>
          </w:tcPr>
          <w:p w14:paraId="5E2393F7" w14:textId="77777777" w:rsidR="009C292B" w:rsidRDefault="009C292B" w:rsidP="00173C90">
            <w:r>
              <w:lastRenderedPageBreak/>
              <w:t>3</w:t>
            </w:r>
          </w:p>
        </w:tc>
        <w:tc>
          <w:tcPr>
            <w:tcW w:w="1014" w:type="pct"/>
          </w:tcPr>
          <w:p w14:paraId="15F05DE6"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Variable classification</w:t>
            </w:r>
          </w:p>
        </w:tc>
        <w:tc>
          <w:tcPr>
            <w:tcW w:w="1114" w:type="pct"/>
          </w:tcPr>
          <w:p w14:paraId="414EFB00"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Variables classified as Core, Partial, or Sparse based on year coverage and missingness</w:t>
            </w:r>
          </w:p>
        </w:tc>
        <w:tc>
          <w:tcPr>
            <w:tcW w:w="2476" w:type="pct"/>
          </w:tcPr>
          <w:p w14:paraId="0DFFFC8E"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Core: present in all 14 primary years with 90%+ county coverage (12 variables). Partial: present in most years with gaps or elevated missingness (4 variables). Sparse: missing in many years or below 70% overall coverage (4 variables). Core variables are used in all models. Partial variables are used with noted caveats. Sparse variables are supplementary only.</w:t>
            </w:r>
          </w:p>
        </w:tc>
      </w:tr>
      <w:tr w:rsidR="009C292B" w14:paraId="25224821" w14:textId="77777777" w:rsidTr="004E6F04">
        <w:tc>
          <w:tcPr>
            <w:cnfStyle w:val="001000000000" w:firstRow="0" w:lastRow="0" w:firstColumn="1" w:lastColumn="0" w:oddVBand="0" w:evenVBand="0" w:oddHBand="0" w:evenHBand="0" w:firstRowFirstColumn="0" w:firstRowLastColumn="0" w:lastRowFirstColumn="0" w:lastRowLastColumn="0"/>
            <w:tcW w:w="396" w:type="pct"/>
          </w:tcPr>
          <w:p w14:paraId="00AF629E" w14:textId="77777777" w:rsidR="009C292B" w:rsidRDefault="009C292B" w:rsidP="00173C90">
            <w:r>
              <w:t>3</w:t>
            </w:r>
          </w:p>
        </w:tc>
        <w:tc>
          <w:tcPr>
            <w:tcW w:w="1014" w:type="pct"/>
          </w:tcPr>
          <w:p w14:paraId="6366FE8B"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Variable classification</w:t>
            </w:r>
          </w:p>
        </w:tc>
        <w:tc>
          <w:tcPr>
            <w:tcW w:w="1114" w:type="pct"/>
          </w:tcPr>
          <w:p w14:paraId="01400EB7"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proofErr w:type="spellStart"/>
            <w:r>
              <w:t>pct_black</w:t>
            </w:r>
            <w:proofErr w:type="spellEnd"/>
            <w:r>
              <w:t xml:space="preserve"> and </w:t>
            </w:r>
            <w:proofErr w:type="spellStart"/>
            <w:r>
              <w:t>pct_aian</w:t>
            </w:r>
            <w:proofErr w:type="spellEnd"/>
            <w:r>
              <w:t xml:space="preserve"> classified Sparse; available 2012-2019 only</w:t>
            </w:r>
          </w:p>
        </w:tc>
        <w:tc>
          <w:tcPr>
            <w:tcW w:w="2476" w:type="pct"/>
          </w:tcPr>
          <w:p w14:paraId="118136DC"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CHR reorganized its race/ethnicity column names after 2019. The columns % Non-Hispanic African American and % American Indian and Alaskan Native are absent from the 2020-2025 files under those names, resulting in 43% overall missingness. Both are retained in the panel for year-specific cross-sectional use but excluded from longitudinal models.</w:t>
            </w:r>
          </w:p>
        </w:tc>
      </w:tr>
      <w:tr w:rsidR="009C292B" w14:paraId="5FFCF219" w14:textId="77777777" w:rsidTr="004E6F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 w:type="pct"/>
          </w:tcPr>
          <w:p w14:paraId="2F35CD6E" w14:textId="77777777" w:rsidR="009C292B" w:rsidRDefault="009C292B" w:rsidP="00173C90">
            <w:r>
              <w:t>3</w:t>
            </w:r>
          </w:p>
        </w:tc>
        <w:tc>
          <w:tcPr>
            <w:tcW w:w="1014" w:type="pct"/>
          </w:tcPr>
          <w:p w14:paraId="3E16AFF8"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Variable classification</w:t>
            </w:r>
          </w:p>
        </w:tc>
        <w:tc>
          <w:tcPr>
            <w:tcW w:w="1114" w:type="pct"/>
          </w:tcPr>
          <w:p w14:paraId="0769855E"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proofErr w:type="spellStart"/>
            <w:r>
              <w:t>poverty_rate</w:t>
            </w:r>
            <w:proofErr w:type="spellEnd"/>
            <w:r>
              <w:t xml:space="preserve"> classified Sparse despite spanning all 14 release years</w:t>
            </w:r>
          </w:p>
        </w:tc>
        <w:tc>
          <w:tcPr>
            <w:tcW w:w="2476" w:type="pct"/>
          </w:tcPr>
          <w:p w14:paraId="762E0EDC"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proofErr w:type="spellStart"/>
            <w:r>
              <w:t>poverty_rate</w:t>
            </w:r>
            <w:proofErr w:type="spellEnd"/>
            <w:r>
              <w:t xml:space="preserve"> is 98% missing in 2013-2020 and present only in 2012 and 2021-2025 due to inconsistent CHR column population across releases. It cannot be used in longitudinal models. </w:t>
            </w:r>
            <w:proofErr w:type="spellStart"/>
            <w:r>
              <w:t>child_poverty_rate</w:t>
            </w:r>
            <w:proofErr w:type="spellEnd"/>
            <w:r>
              <w:t xml:space="preserve"> covers the complementary period (2013-2020) but is also Sparse. Together they cover most of the panel in non-overlapping windows.</w:t>
            </w:r>
          </w:p>
        </w:tc>
      </w:tr>
      <w:tr w:rsidR="009C292B" w14:paraId="0BFCA0FE" w14:textId="77777777" w:rsidTr="004E6F04">
        <w:tc>
          <w:tcPr>
            <w:cnfStyle w:val="001000000000" w:firstRow="0" w:lastRow="0" w:firstColumn="1" w:lastColumn="0" w:oddVBand="0" w:evenVBand="0" w:oddHBand="0" w:evenHBand="0" w:firstRowFirstColumn="0" w:firstRowLastColumn="0" w:lastRowFirstColumn="0" w:lastRowLastColumn="0"/>
            <w:tcW w:w="396" w:type="pct"/>
          </w:tcPr>
          <w:p w14:paraId="05E0A3BE" w14:textId="77777777" w:rsidR="009C292B" w:rsidRDefault="009C292B" w:rsidP="00173C90">
            <w:r>
              <w:t>3</w:t>
            </w:r>
          </w:p>
        </w:tc>
        <w:tc>
          <w:tcPr>
            <w:tcW w:w="1014" w:type="pct"/>
          </w:tcPr>
          <w:p w14:paraId="15F670C4"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Panel output</w:t>
            </w:r>
          </w:p>
        </w:tc>
        <w:tc>
          <w:tcPr>
            <w:tcW w:w="1114" w:type="pct"/>
          </w:tcPr>
          <w:p w14:paraId="2A50C048"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chr_panel.csv is the single data source for Parts 1, 2, and 3</w:t>
            </w:r>
          </w:p>
        </w:tc>
        <w:tc>
          <w:tcPr>
            <w:tcW w:w="2476" w:type="pct"/>
          </w:tcPr>
          <w:p w14:paraId="76ED6305" w14:textId="4C52A112" w:rsidR="009C292B" w:rsidRDefault="009C292B" w:rsidP="00173C90">
            <w:pPr>
              <w:cnfStyle w:val="000000000000" w:firstRow="0" w:lastRow="0" w:firstColumn="0" w:lastColumn="0" w:oddVBand="0" w:evenVBand="0" w:oddHBand="0" w:evenHBand="0" w:firstRowFirstColumn="0" w:firstRowLastColumn="0" w:lastRowFirstColumn="0" w:lastRowLastColumn="0"/>
            </w:pPr>
            <w:r>
              <w:t>Centralizing all filtering, FIPS harmonization, column standardization, and measurement-year joining into one panel file ensures reproducibility across all subsequent notebooks.</w:t>
            </w:r>
          </w:p>
        </w:tc>
      </w:tr>
      <w:tr w:rsidR="00FA1E78" w14:paraId="29BFC1DB" w14:textId="77777777" w:rsidTr="004E6F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 w:type="pct"/>
            <w:hideMark/>
          </w:tcPr>
          <w:p w14:paraId="02821436" w14:textId="77777777" w:rsidR="00FA1E78" w:rsidRPr="00FA1E78" w:rsidRDefault="00FA1E78">
            <w:r w:rsidRPr="00FA1E78">
              <w:t>4</w:t>
            </w:r>
          </w:p>
        </w:tc>
        <w:tc>
          <w:tcPr>
            <w:tcW w:w="1014" w:type="pct"/>
            <w:hideMark/>
          </w:tcPr>
          <w:p w14:paraId="534E0A12"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Variable classification</w:t>
            </w:r>
          </w:p>
        </w:tc>
        <w:tc>
          <w:tcPr>
            <w:tcW w:w="1114" w:type="pct"/>
            <w:hideMark/>
          </w:tcPr>
          <w:p w14:paraId="73E5460E"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 xml:space="preserve">Column-name aliases added for </w:t>
            </w:r>
            <w:proofErr w:type="spellStart"/>
            <w:r w:rsidRPr="00FA1E78">
              <w:t>poverty_rate</w:t>
            </w:r>
            <w:proofErr w:type="spellEnd"/>
            <w:r w:rsidRPr="00FA1E78">
              <w:t xml:space="preserve">, </w:t>
            </w:r>
            <w:proofErr w:type="spellStart"/>
            <w:r w:rsidRPr="00FA1E78">
              <w:t>child_poverty_rate</w:t>
            </w:r>
            <w:proofErr w:type="spellEnd"/>
            <w:r w:rsidRPr="00FA1E78">
              <w:t xml:space="preserve">, </w:t>
            </w:r>
            <w:proofErr w:type="spellStart"/>
            <w:r w:rsidRPr="00FA1E78">
              <w:t>pct_black</w:t>
            </w:r>
            <w:proofErr w:type="spellEnd"/>
            <w:r w:rsidRPr="00FA1E78">
              <w:t xml:space="preserve">, and </w:t>
            </w:r>
            <w:proofErr w:type="spellStart"/>
            <w:r w:rsidRPr="00FA1E78">
              <w:t>pct_aian</w:t>
            </w:r>
            <w:proofErr w:type="spellEnd"/>
            <w:r w:rsidRPr="00FA1E78">
              <w:t>; reclassified as Core</w:t>
            </w:r>
          </w:p>
        </w:tc>
        <w:tc>
          <w:tcPr>
            <w:tcW w:w="2476" w:type="pct"/>
            <w:hideMark/>
          </w:tcPr>
          <w:p w14:paraId="3DBD7F0C"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 xml:space="preserve">These four variables are available in every CHR release year but appeared under different column names across releases. Adding alias entries to FEATURE_MAP (e.g., "% Non-Hispanic Black raw value" for </w:t>
            </w:r>
            <w:proofErr w:type="spellStart"/>
            <w:r w:rsidRPr="00FA1E78">
              <w:t>pct_black</w:t>
            </w:r>
            <w:proofErr w:type="spellEnd"/>
            <w:r w:rsidRPr="00FA1E78">
              <w:t xml:space="preserve">, "Population below poverty line raw value" for </w:t>
            </w:r>
            <w:proofErr w:type="spellStart"/>
            <w:r w:rsidRPr="00FA1E78">
              <w:t>poverty_rate</w:t>
            </w:r>
            <w:proofErr w:type="spellEnd"/>
            <w:r w:rsidRPr="00FA1E78">
              <w:t>) brings their missingness to Core levels. The panel was rebuilt and chr_panel.csv updated.</w:t>
            </w:r>
          </w:p>
        </w:tc>
      </w:tr>
      <w:tr w:rsidR="00FA1E78" w14:paraId="582F1076" w14:textId="77777777" w:rsidTr="004E6F04">
        <w:tc>
          <w:tcPr>
            <w:cnfStyle w:val="001000000000" w:firstRow="0" w:lastRow="0" w:firstColumn="1" w:lastColumn="0" w:oddVBand="0" w:evenVBand="0" w:oddHBand="0" w:evenHBand="0" w:firstRowFirstColumn="0" w:firstRowLastColumn="0" w:lastRowFirstColumn="0" w:lastRowLastColumn="0"/>
            <w:tcW w:w="396" w:type="pct"/>
            <w:hideMark/>
          </w:tcPr>
          <w:p w14:paraId="3C7CC7E0" w14:textId="77777777" w:rsidR="00FA1E78" w:rsidRPr="00FA1E78" w:rsidRDefault="00FA1E78">
            <w:r w:rsidRPr="00FA1E78">
              <w:t>4</w:t>
            </w:r>
          </w:p>
        </w:tc>
        <w:tc>
          <w:tcPr>
            <w:tcW w:w="1014" w:type="pct"/>
            <w:hideMark/>
          </w:tcPr>
          <w:p w14:paraId="1A0CA3A2"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Variable classification</w:t>
            </w:r>
          </w:p>
        </w:tc>
        <w:tc>
          <w:tcPr>
            <w:tcW w:w="1114" w:type="pct"/>
            <w:hideMark/>
          </w:tcPr>
          <w:p w14:paraId="71EE4DB9"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proofErr w:type="spellStart"/>
            <w:r w:rsidRPr="00FA1E78">
              <w:t>income_inequality</w:t>
            </w:r>
            <w:proofErr w:type="spellEnd"/>
            <w:r w:rsidRPr="00FA1E78">
              <w:t xml:space="preserve">, </w:t>
            </w:r>
            <w:proofErr w:type="spellStart"/>
            <w:r w:rsidRPr="00FA1E78">
              <w:t>pct_white</w:t>
            </w:r>
            <w:proofErr w:type="spellEnd"/>
            <w:r w:rsidRPr="00FA1E78">
              <w:t xml:space="preserve">, and </w:t>
            </w:r>
            <w:proofErr w:type="spellStart"/>
            <w:r w:rsidRPr="00FA1E78">
              <w:t>severe_housing_rate</w:t>
            </w:r>
            <w:proofErr w:type="spellEnd"/>
            <w:r w:rsidRPr="00FA1E78">
              <w:t xml:space="preserve"> confirmed as genuinely Sparse for 2011-2014 window</w:t>
            </w:r>
          </w:p>
        </w:tc>
        <w:tc>
          <w:tcPr>
            <w:tcW w:w="2476" w:type="pct"/>
            <w:hideMark/>
          </w:tcPr>
          <w:p w14:paraId="5E28A42C"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 xml:space="preserve">CHR did not back-fill these measures for earlier releases. </w:t>
            </w:r>
            <w:proofErr w:type="spellStart"/>
            <w:r w:rsidRPr="00FA1E78">
              <w:t>income_inequality</w:t>
            </w:r>
            <w:proofErr w:type="spellEnd"/>
            <w:r w:rsidRPr="00FA1E78">
              <w:t xml:space="preserve"> is absent in release years 2011-2014; </w:t>
            </w:r>
            <w:proofErr w:type="spellStart"/>
            <w:r w:rsidRPr="00FA1E78">
              <w:t>pct_white</w:t>
            </w:r>
            <w:proofErr w:type="spellEnd"/>
            <w:r w:rsidRPr="00FA1E78">
              <w:t xml:space="preserve"> is absent in 2011-2012; </w:t>
            </w:r>
            <w:proofErr w:type="spellStart"/>
            <w:r w:rsidRPr="00FA1E78">
              <w:t>severe_housing_rate</w:t>
            </w:r>
            <w:proofErr w:type="spellEnd"/>
            <w:r w:rsidRPr="00FA1E78">
              <w:t xml:space="preserve"> is absent in 2011-2013. These gaps are irreversible without an external data source and are documented as real structural missingness.</w:t>
            </w:r>
          </w:p>
        </w:tc>
      </w:tr>
      <w:tr w:rsidR="00FA1E78" w14:paraId="3A5429CD" w14:textId="77777777" w:rsidTr="004E6F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 w:type="pct"/>
            <w:hideMark/>
          </w:tcPr>
          <w:p w14:paraId="20976EF6" w14:textId="77777777" w:rsidR="00FA1E78" w:rsidRPr="00FA1E78" w:rsidRDefault="00FA1E78">
            <w:r w:rsidRPr="00FA1E78">
              <w:t>4</w:t>
            </w:r>
          </w:p>
        </w:tc>
        <w:tc>
          <w:tcPr>
            <w:tcW w:w="1014" w:type="pct"/>
            <w:hideMark/>
          </w:tcPr>
          <w:p w14:paraId="6C88A303"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Modeling window</w:t>
            </w:r>
          </w:p>
        </w:tc>
        <w:tc>
          <w:tcPr>
            <w:tcW w:w="1114" w:type="pct"/>
            <w:hideMark/>
          </w:tcPr>
          <w:p w14:paraId="50E2AD83"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Part 2 modeling window set to 2015-2025 (release years)</w:t>
            </w:r>
          </w:p>
        </w:tc>
        <w:tc>
          <w:tcPr>
            <w:tcW w:w="2476" w:type="pct"/>
            <w:hideMark/>
          </w:tcPr>
          <w:p w14:paraId="23276B82"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 xml:space="preserve">All Core predictors are fully populated from release year 2015 onward. Using 2015-2025 eliminates the need to handle structural missingness in </w:t>
            </w:r>
            <w:proofErr w:type="spellStart"/>
            <w:r w:rsidRPr="00FA1E78">
              <w:t>income_inequality</w:t>
            </w:r>
            <w:proofErr w:type="spellEnd"/>
            <w:r w:rsidRPr="00FA1E78">
              <w:t xml:space="preserve">, </w:t>
            </w:r>
            <w:proofErr w:type="spellStart"/>
            <w:r w:rsidRPr="00FA1E78">
              <w:t>pct_white</w:t>
            </w:r>
            <w:proofErr w:type="spellEnd"/>
            <w:r w:rsidRPr="00FA1E78">
              <w:t xml:space="preserve">, and </w:t>
            </w:r>
            <w:proofErr w:type="spellStart"/>
            <w:r w:rsidRPr="00FA1E78">
              <w:t>severe_housing_rate</w:t>
            </w:r>
            <w:proofErr w:type="spellEnd"/>
            <w:r w:rsidRPr="00FA1E78">
              <w:t xml:space="preserve"> for the panel </w:t>
            </w:r>
            <w:r w:rsidRPr="00FA1E78">
              <w:lastRenderedPageBreak/>
              <w:t>regression. The descriptive analysis uses the full 2012-2025 panel.</w:t>
            </w:r>
          </w:p>
        </w:tc>
      </w:tr>
      <w:tr w:rsidR="00FA1E78" w14:paraId="2963B66F" w14:textId="77777777" w:rsidTr="004E6F04">
        <w:tc>
          <w:tcPr>
            <w:cnfStyle w:val="001000000000" w:firstRow="0" w:lastRow="0" w:firstColumn="1" w:lastColumn="0" w:oddVBand="0" w:evenVBand="0" w:oddHBand="0" w:evenHBand="0" w:firstRowFirstColumn="0" w:firstRowLastColumn="0" w:lastRowFirstColumn="0" w:lastRowLastColumn="0"/>
            <w:tcW w:w="396" w:type="pct"/>
            <w:hideMark/>
          </w:tcPr>
          <w:p w14:paraId="49D47391" w14:textId="77777777" w:rsidR="00FA1E78" w:rsidRPr="00FA1E78" w:rsidRDefault="00FA1E78">
            <w:r w:rsidRPr="00FA1E78">
              <w:lastRenderedPageBreak/>
              <w:t>4</w:t>
            </w:r>
          </w:p>
        </w:tc>
        <w:tc>
          <w:tcPr>
            <w:tcW w:w="1014" w:type="pct"/>
            <w:hideMark/>
          </w:tcPr>
          <w:p w14:paraId="76625033"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Extension design</w:t>
            </w:r>
          </w:p>
        </w:tc>
        <w:tc>
          <w:tcPr>
            <w:tcW w:w="1114" w:type="pct"/>
            <w:hideMark/>
          </w:tcPr>
          <w:p w14:paraId="34AB9C27"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Medicaid expansion comparison uses population-weighted group means with binary expansion status from Kaiser Family Foundation tracker</w:t>
            </w:r>
          </w:p>
        </w:tc>
        <w:tc>
          <w:tcPr>
            <w:tcW w:w="2476" w:type="pct"/>
            <w:hideMark/>
          </w:tcPr>
          <w:p w14:paraId="3692661A"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Weighting by county population ensures that large counties contribute proportionally to the group trend. Binary expansion status (0/1) is derived from the KFF Medicaid expansion tracker. The comparison is explicitly descriptive and not interpreted causally, given systematic differences between expansion and non-expansion states. A formal event-time analysis using two-way fixed effects is deferred to Part 2.</w:t>
            </w:r>
          </w:p>
        </w:tc>
      </w:tr>
      <w:tr w:rsidR="00980360" w14:paraId="03551497" w14:textId="77777777" w:rsidTr="004E6F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 w:type="pct"/>
          </w:tcPr>
          <w:p w14:paraId="18EF62AE" w14:textId="72039E06" w:rsidR="00980360" w:rsidRPr="00FA1E78" w:rsidRDefault="00980360">
            <w:r>
              <w:t>4</w:t>
            </w:r>
          </w:p>
        </w:tc>
        <w:tc>
          <w:tcPr>
            <w:tcW w:w="1014" w:type="pct"/>
          </w:tcPr>
          <w:p w14:paraId="32A97A63" w14:textId="1D659CB6" w:rsidR="00980360" w:rsidRPr="00FA1E78" w:rsidRDefault="00980360">
            <w:pPr>
              <w:cnfStyle w:val="000000100000" w:firstRow="0" w:lastRow="0" w:firstColumn="0" w:lastColumn="0" w:oddVBand="0" w:evenVBand="0" w:oddHBand="1" w:evenHBand="0" w:firstRowFirstColumn="0" w:firstRowLastColumn="0" w:lastRowFirstColumn="0" w:lastRowLastColumn="0"/>
            </w:pPr>
            <w:r>
              <w:t>Variable Classification</w:t>
            </w:r>
          </w:p>
        </w:tc>
        <w:tc>
          <w:tcPr>
            <w:tcW w:w="1114" w:type="pct"/>
          </w:tcPr>
          <w:p w14:paraId="2AC90541" w14:textId="5E744E4A" w:rsidR="00980360" w:rsidRPr="00FA1E78" w:rsidRDefault="00980360">
            <w:pPr>
              <w:cnfStyle w:val="000000100000" w:firstRow="0" w:lastRow="0" w:firstColumn="0" w:lastColumn="0" w:oddVBand="0" w:evenVBand="0" w:oddHBand="1" w:evenHBand="0" w:firstRowFirstColumn="0" w:firstRowLastColumn="0" w:lastRowFirstColumn="0" w:lastRowLastColumn="0"/>
            </w:pPr>
            <w:proofErr w:type="spellStart"/>
            <w:r>
              <w:t>poverty_rate</w:t>
            </w:r>
            <w:proofErr w:type="spellEnd"/>
            <w:r>
              <w:t xml:space="preserve"> removed from feature map</w:t>
            </w:r>
          </w:p>
        </w:tc>
        <w:tc>
          <w:tcPr>
            <w:tcW w:w="2476" w:type="pct"/>
          </w:tcPr>
          <w:p w14:paraId="7CDB478E" w14:textId="2B8A46F5" w:rsidR="00980360" w:rsidRPr="00FA1E78" w:rsidRDefault="001B31B8">
            <w:pPr>
              <w:cnfStyle w:val="000000100000" w:firstRow="0" w:lastRow="0" w:firstColumn="0" w:lastColumn="0" w:oddVBand="0" w:evenVBand="0" w:oddHBand="1" w:evenHBand="0" w:firstRowFirstColumn="0" w:firstRowLastColumn="0" w:lastRowFirstColumn="0" w:lastRowLastColumn="0"/>
            </w:pPr>
            <w:proofErr w:type="spellStart"/>
            <w:r w:rsidRPr="001B31B8">
              <w:t>poverty_rate</w:t>
            </w:r>
            <w:proofErr w:type="spellEnd"/>
            <w:r w:rsidRPr="001B31B8">
              <w:t xml:space="preserve"> (v118_rawvalue) </w:t>
            </w:r>
            <w:r w:rsidR="00BF3849" w:rsidRPr="00BF3849">
              <w:t>was removed from the feature set after diagnostics confirmed it is populated exclusively for Wisconsin counties in the CHR files and is not a national county-level measure. Child poverty rate (v024_rawvalue) is retained as the poverty proxy and is Core-level across all 14 primary years.</w:t>
            </w:r>
          </w:p>
        </w:tc>
      </w:tr>
      <w:tr w:rsidR="00B91DA8" w14:paraId="1AA65E7C" w14:textId="77777777" w:rsidTr="004E6F04">
        <w:tc>
          <w:tcPr>
            <w:cnfStyle w:val="001000000000" w:firstRow="0" w:lastRow="0" w:firstColumn="1" w:lastColumn="0" w:oddVBand="0" w:evenVBand="0" w:oddHBand="0" w:evenHBand="0" w:firstRowFirstColumn="0" w:firstRowLastColumn="0" w:lastRowFirstColumn="0" w:lastRowLastColumn="0"/>
            <w:tcW w:w="396" w:type="pct"/>
          </w:tcPr>
          <w:p w14:paraId="1C709900" w14:textId="3898FDF6" w:rsidR="00B91DA8" w:rsidRDefault="00B91DA8" w:rsidP="00B91DA8">
            <w:r>
              <w:rPr>
                <w:rFonts w:ascii="Calibri" w:eastAsia="Calibri" w:hAnsi="Calibri" w:cs="Calibri"/>
              </w:rPr>
              <w:t>5</w:t>
            </w:r>
          </w:p>
        </w:tc>
        <w:tc>
          <w:tcPr>
            <w:tcW w:w="1014" w:type="pct"/>
          </w:tcPr>
          <w:p w14:paraId="26AA45B5" w14:textId="6053A47A"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Modeling window</w:t>
            </w:r>
          </w:p>
        </w:tc>
        <w:tc>
          <w:tcPr>
            <w:tcW w:w="1114" w:type="pct"/>
          </w:tcPr>
          <w:p w14:paraId="6D40E6C6" w14:textId="03D9BB8F"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2015-2025 release years used for all baseline models</w:t>
            </w:r>
          </w:p>
        </w:tc>
        <w:tc>
          <w:tcPr>
            <w:tcW w:w="2476" w:type="pct"/>
          </w:tcPr>
          <w:p w14:paraId="6DE238B5" w14:textId="52FD0B41" w:rsidR="00B91DA8" w:rsidRPr="001B31B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 xml:space="preserve">All 17 core features fully populated from 2015 onward; 2012-2014 excluded due to partial availability of </w:t>
            </w:r>
            <w:proofErr w:type="spellStart"/>
            <w:r>
              <w:rPr>
                <w:rFonts w:ascii="Calibri" w:eastAsia="Calibri" w:hAnsi="Calibri" w:cs="Calibri"/>
              </w:rPr>
              <w:t>income_inequality</w:t>
            </w:r>
            <w:proofErr w:type="spellEnd"/>
            <w:r>
              <w:rPr>
                <w:rFonts w:ascii="Calibri" w:eastAsia="Calibri" w:hAnsi="Calibri" w:cs="Calibri"/>
              </w:rPr>
              <w:t xml:space="preserve">, </w:t>
            </w:r>
            <w:proofErr w:type="spellStart"/>
            <w:r>
              <w:rPr>
                <w:rFonts w:ascii="Calibri" w:eastAsia="Calibri" w:hAnsi="Calibri" w:cs="Calibri"/>
              </w:rPr>
              <w:t>severe_housing_rate</w:t>
            </w:r>
            <w:proofErr w:type="spellEnd"/>
            <w:r>
              <w:rPr>
                <w:rFonts w:ascii="Calibri" w:eastAsia="Calibri" w:hAnsi="Calibri" w:cs="Calibri"/>
              </w:rPr>
              <w:t xml:space="preserve">, and </w:t>
            </w:r>
            <w:proofErr w:type="spellStart"/>
            <w:r>
              <w:rPr>
                <w:rFonts w:ascii="Calibri" w:eastAsia="Calibri" w:hAnsi="Calibri" w:cs="Calibri"/>
              </w:rPr>
              <w:t>pct_white</w:t>
            </w:r>
            <w:proofErr w:type="spellEnd"/>
          </w:p>
        </w:tc>
      </w:tr>
      <w:tr w:rsidR="00B91DA8" w14:paraId="2A597343" w14:textId="77777777" w:rsidTr="004E6F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 w:type="pct"/>
          </w:tcPr>
          <w:p w14:paraId="42769DA7" w14:textId="50A5A031" w:rsidR="00B91DA8" w:rsidRDefault="00B91DA8" w:rsidP="00B91DA8">
            <w:r>
              <w:rPr>
                <w:rFonts w:ascii="Calibri" w:eastAsia="Calibri" w:hAnsi="Calibri" w:cs="Calibri"/>
              </w:rPr>
              <w:t>5</w:t>
            </w:r>
          </w:p>
        </w:tc>
        <w:tc>
          <w:tcPr>
            <w:tcW w:w="1014" w:type="pct"/>
          </w:tcPr>
          <w:p w14:paraId="5B8AE7DC" w14:textId="7CFF60FF" w:rsidR="00B91DA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Missing-row handling</w:t>
            </w:r>
          </w:p>
        </w:tc>
        <w:tc>
          <w:tcPr>
            <w:tcW w:w="1114" w:type="pct"/>
          </w:tcPr>
          <w:p w14:paraId="7AEDCBBE" w14:textId="6C3917BC" w:rsidR="00B91DA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Rows missing any feature or outcome dropped before modeling (listwise deletion)</w:t>
            </w:r>
          </w:p>
        </w:tc>
        <w:tc>
          <w:tcPr>
            <w:tcW w:w="2476" w:type="pct"/>
          </w:tcPr>
          <w:p w14:paraId="0FAE3CA6" w14:textId="6550864C" w:rsidR="00B91DA8" w:rsidRPr="001B31B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28,932 clean observations remain from 34,474 in the window; no imputation applied at this stage</w:t>
            </w:r>
          </w:p>
        </w:tc>
      </w:tr>
      <w:tr w:rsidR="00B91DA8" w14:paraId="72AD0327" w14:textId="77777777" w:rsidTr="004E6F04">
        <w:tc>
          <w:tcPr>
            <w:cnfStyle w:val="001000000000" w:firstRow="0" w:lastRow="0" w:firstColumn="1" w:lastColumn="0" w:oddVBand="0" w:evenVBand="0" w:oddHBand="0" w:evenHBand="0" w:firstRowFirstColumn="0" w:firstRowLastColumn="0" w:lastRowFirstColumn="0" w:lastRowLastColumn="0"/>
            <w:tcW w:w="396" w:type="pct"/>
          </w:tcPr>
          <w:p w14:paraId="1E3C74D6" w14:textId="5D3D0D51" w:rsidR="00B91DA8" w:rsidRDefault="00B91DA8" w:rsidP="00B91DA8">
            <w:r>
              <w:rPr>
                <w:rFonts w:ascii="Calibri" w:eastAsia="Calibri" w:hAnsi="Calibri" w:cs="Calibri"/>
              </w:rPr>
              <w:t>5</w:t>
            </w:r>
          </w:p>
        </w:tc>
        <w:tc>
          <w:tcPr>
            <w:tcW w:w="1014" w:type="pct"/>
          </w:tcPr>
          <w:p w14:paraId="105B0AF1" w14:textId="0A34B1FF"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OLS year dummies</w:t>
            </w:r>
          </w:p>
        </w:tc>
        <w:tc>
          <w:tcPr>
            <w:tcW w:w="1114" w:type="pct"/>
          </w:tcPr>
          <w:p w14:paraId="0FBF6C53" w14:textId="229D47C0"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Year dummies included in pooled OLS design matrix</w:t>
            </w:r>
          </w:p>
        </w:tc>
        <w:tc>
          <w:tcPr>
            <w:tcW w:w="2476" w:type="pct"/>
          </w:tcPr>
          <w:p w14:paraId="3DAB60CA" w14:textId="06D64880" w:rsidR="00B91DA8" w:rsidRPr="001B31B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Absorbs national ACA time trend; prevents trend from inflating feature coefficients; open question submitted to professor on whether to retain for final memo</w:t>
            </w:r>
          </w:p>
        </w:tc>
      </w:tr>
      <w:tr w:rsidR="00B91DA8" w14:paraId="0E0F3677" w14:textId="77777777" w:rsidTr="004E6F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 w:type="pct"/>
          </w:tcPr>
          <w:p w14:paraId="489ECFB8" w14:textId="65A80F5E" w:rsidR="00B91DA8" w:rsidRDefault="00B91DA8" w:rsidP="00B91DA8">
            <w:r>
              <w:rPr>
                <w:rFonts w:ascii="Calibri" w:eastAsia="Calibri" w:hAnsi="Calibri" w:cs="Calibri"/>
              </w:rPr>
              <w:t>5</w:t>
            </w:r>
          </w:p>
        </w:tc>
        <w:tc>
          <w:tcPr>
            <w:tcW w:w="1014" w:type="pct"/>
          </w:tcPr>
          <w:p w14:paraId="0F939B6A" w14:textId="7B62842D" w:rsidR="00B91DA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 xml:space="preserve">Ridge </w:t>
            </w:r>
            <w:proofErr w:type="spellStart"/>
            <w:r>
              <w:rPr>
                <w:rFonts w:ascii="Calibri" w:eastAsia="Calibri" w:hAnsi="Calibri" w:cs="Calibri"/>
              </w:rPr>
              <w:t>standardisation</w:t>
            </w:r>
            <w:proofErr w:type="spellEnd"/>
          </w:p>
        </w:tc>
        <w:tc>
          <w:tcPr>
            <w:tcW w:w="1114" w:type="pct"/>
          </w:tcPr>
          <w:p w14:paraId="2CBDF59E" w14:textId="0D75BC4B" w:rsidR="00B91DA8" w:rsidRDefault="00B91DA8" w:rsidP="00B91DA8">
            <w:pPr>
              <w:cnfStyle w:val="000000100000" w:firstRow="0" w:lastRow="0" w:firstColumn="0" w:lastColumn="0" w:oddVBand="0" w:evenVBand="0" w:oddHBand="1" w:evenHBand="0" w:firstRowFirstColumn="0" w:firstRowLastColumn="0" w:lastRowFirstColumn="0" w:lastRowLastColumn="0"/>
            </w:pPr>
            <w:proofErr w:type="spellStart"/>
            <w:r>
              <w:rPr>
                <w:rFonts w:ascii="Calibri" w:eastAsia="Calibri" w:hAnsi="Calibri" w:cs="Calibri"/>
              </w:rPr>
              <w:t>Standardise</w:t>
            </w:r>
            <w:proofErr w:type="spellEnd"/>
            <w:r>
              <w:rPr>
                <w:rFonts w:ascii="Calibri" w:eastAsia="Calibri" w:hAnsi="Calibri" w:cs="Calibri"/>
              </w:rPr>
              <w:t xml:space="preserve"> core features only; append year dummies unscaled before </w:t>
            </w:r>
            <w:proofErr w:type="spellStart"/>
            <w:r>
              <w:rPr>
                <w:rFonts w:ascii="Calibri" w:eastAsia="Calibri" w:hAnsi="Calibri" w:cs="Calibri"/>
              </w:rPr>
              <w:t>RidgeCV</w:t>
            </w:r>
            <w:proofErr w:type="spellEnd"/>
          </w:p>
        </w:tc>
        <w:tc>
          <w:tcPr>
            <w:tcW w:w="2476" w:type="pct"/>
          </w:tcPr>
          <w:p w14:paraId="0E848C83" w14:textId="78C54C27" w:rsidR="00B91DA8" w:rsidRPr="001B31B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 xml:space="preserve">Ensures L2 penalty applies on a common scale across features without </w:t>
            </w:r>
            <w:proofErr w:type="spellStart"/>
            <w:r>
              <w:rPr>
                <w:rFonts w:ascii="Calibri" w:eastAsia="Calibri" w:hAnsi="Calibri" w:cs="Calibri"/>
              </w:rPr>
              <w:t>penalising</w:t>
            </w:r>
            <w:proofErr w:type="spellEnd"/>
            <w:r>
              <w:rPr>
                <w:rFonts w:ascii="Calibri" w:eastAsia="Calibri" w:hAnsi="Calibri" w:cs="Calibri"/>
              </w:rPr>
              <w:t xml:space="preserve"> time indicators</w:t>
            </w:r>
          </w:p>
        </w:tc>
      </w:tr>
      <w:tr w:rsidR="00B91DA8" w14:paraId="2F997825" w14:textId="77777777" w:rsidTr="004E6F04">
        <w:tc>
          <w:tcPr>
            <w:cnfStyle w:val="001000000000" w:firstRow="0" w:lastRow="0" w:firstColumn="1" w:lastColumn="0" w:oddVBand="0" w:evenVBand="0" w:oddHBand="0" w:evenHBand="0" w:firstRowFirstColumn="0" w:firstRowLastColumn="0" w:lastRowFirstColumn="0" w:lastRowLastColumn="0"/>
            <w:tcW w:w="396" w:type="pct"/>
          </w:tcPr>
          <w:p w14:paraId="7F0C18E5" w14:textId="44077C3D" w:rsidR="00B91DA8" w:rsidRDefault="00B91DA8" w:rsidP="00B91DA8">
            <w:r>
              <w:rPr>
                <w:rFonts w:ascii="Calibri" w:eastAsia="Calibri" w:hAnsi="Calibri" w:cs="Calibri"/>
              </w:rPr>
              <w:t>5</w:t>
            </w:r>
          </w:p>
        </w:tc>
        <w:tc>
          <w:tcPr>
            <w:tcW w:w="1014" w:type="pct"/>
          </w:tcPr>
          <w:p w14:paraId="0E23FE3C" w14:textId="6E36049A"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Lasso result</w:t>
            </w:r>
          </w:p>
        </w:tc>
        <w:tc>
          <w:tcPr>
            <w:tcW w:w="1114" w:type="pct"/>
          </w:tcPr>
          <w:p w14:paraId="15DCECC9" w14:textId="295B7CFC"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8 of 17 features zeroed at cross-validated alpha of 0.002</w:t>
            </w:r>
          </w:p>
        </w:tc>
        <w:tc>
          <w:tcPr>
            <w:tcW w:w="2476" w:type="pct"/>
          </w:tcPr>
          <w:p w14:paraId="57749C35" w14:textId="35D69EE6" w:rsidR="00B91DA8" w:rsidRPr="001B31B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 xml:space="preserve">Zeroed: </w:t>
            </w:r>
            <w:proofErr w:type="spellStart"/>
            <w:r>
              <w:rPr>
                <w:rFonts w:ascii="Calibri" w:eastAsia="Calibri" w:hAnsi="Calibri" w:cs="Calibri"/>
              </w:rPr>
              <w:t>income_inequality</w:t>
            </w:r>
            <w:proofErr w:type="spellEnd"/>
            <w:r>
              <w:rPr>
                <w:rFonts w:ascii="Calibri" w:eastAsia="Calibri" w:hAnsi="Calibri" w:cs="Calibri"/>
              </w:rPr>
              <w:t xml:space="preserve">, </w:t>
            </w:r>
            <w:proofErr w:type="spellStart"/>
            <w:r>
              <w:rPr>
                <w:rFonts w:ascii="Calibri" w:eastAsia="Calibri" w:hAnsi="Calibri" w:cs="Calibri"/>
              </w:rPr>
              <w:t>unemployment_rate</w:t>
            </w:r>
            <w:proofErr w:type="spellEnd"/>
            <w:r>
              <w:rPr>
                <w:rFonts w:ascii="Calibri" w:eastAsia="Calibri" w:hAnsi="Calibri" w:cs="Calibri"/>
              </w:rPr>
              <w:t xml:space="preserve">, </w:t>
            </w:r>
            <w:proofErr w:type="spellStart"/>
            <w:r>
              <w:rPr>
                <w:rFonts w:ascii="Calibri" w:eastAsia="Calibri" w:hAnsi="Calibri" w:cs="Calibri"/>
              </w:rPr>
              <w:t>hs_graduation_rate</w:t>
            </w:r>
            <w:proofErr w:type="spellEnd"/>
            <w:r>
              <w:rPr>
                <w:rFonts w:ascii="Calibri" w:eastAsia="Calibri" w:hAnsi="Calibri" w:cs="Calibri"/>
              </w:rPr>
              <w:t xml:space="preserve">, </w:t>
            </w:r>
            <w:proofErr w:type="spellStart"/>
            <w:r>
              <w:rPr>
                <w:rFonts w:ascii="Calibri" w:eastAsia="Calibri" w:hAnsi="Calibri" w:cs="Calibri"/>
              </w:rPr>
              <w:t>single_parent_rate</w:t>
            </w:r>
            <w:proofErr w:type="spellEnd"/>
            <w:r>
              <w:rPr>
                <w:rFonts w:ascii="Calibri" w:eastAsia="Calibri" w:hAnsi="Calibri" w:cs="Calibri"/>
              </w:rPr>
              <w:t xml:space="preserve">, pct_65plus, </w:t>
            </w:r>
            <w:proofErr w:type="spellStart"/>
            <w:r>
              <w:rPr>
                <w:rFonts w:ascii="Calibri" w:eastAsia="Calibri" w:hAnsi="Calibri" w:cs="Calibri"/>
              </w:rPr>
              <w:t>pct_black</w:t>
            </w:r>
            <w:proofErr w:type="spellEnd"/>
            <w:r>
              <w:rPr>
                <w:rFonts w:ascii="Calibri" w:eastAsia="Calibri" w:hAnsi="Calibri" w:cs="Calibri"/>
              </w:rPr>
              <w:t xml:space="preserve">, </w:t>
            </w:r>
            <w:proofErr w:type="spellStart"/>
            <w:r>
              <w:rPr>
                <w:rFonts w:ascii="Calibri" w:eastAsia="Calibri" w:hAnsi="Calibri" w:cs="Calibri"/>
              </w:rPr>
              <w:t>pct_asian</w:t>
            </w:r>
            <w:proofErr w:type="spellEnd"/>
            <w:r>
              <w:rPr>
                <w:rFonts w:ascii="Calibri" w:eastAsia="Calibri" w:hAnsi="Calibri" w:cs="Calibri"/>
              </w:rPr>
              <w:t xml:space="preserve">, population. Active set of 9 forms the </w:t>
            </w:r>
            <w:proofErr w:type="spellStart"/>
            <w:r>
              <w:rPr>
                <w:rFonts w:ascii="Calibri" w:eastAsia="Calibri" w:hAnsi="Calibri" w:cs="Calibri"/>
              </w:rPr>
              <w:t>prioritised</w:t>
            </w:r>
            <w:proofErr w:type="spellEnd"/>
            <w:r>
              <w:rPr>
                <w:rFonts w:ascii="Calibri" w:eastAsia="Calibri" w:hAnsi="Calibri" w:cs="Calibri"/>
              </w:rPr>
              <w:t xml:space="preserve"> Part 2 feature set</w:t>
            </w:r>
          </w:p>
        </w:tc>
      </w:tr>
      <w:tr w:rsidR="00B91DA8" w14:paraId="48D0EA0D" w14:textId="77777777" w:rsidTr="004E6F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 w:type="pct"/>
          </w:tcPr>
          <w:p w14:paraId="21CC7EEA" w14:textId="059A9EBF" w:rsidR="00B91DA8" w:rsidRDefault="00B91DA8" w:rsidP="00B91DA8">
            <w:r>
              <w:rPr>
                <w:rFonts w:ascii="Calibri" w:eastAsia="Calibri" w:hAnsi="Calibri" w:cs="Calibri"/>
              </w:rPr>
              <w:t>5</w:t>
            </w:r>
          </w:p>
        </w:tc>
        <w:tc>
          <w:tcPr>
            <w:tcW w:w="1014" w:type="pct"/>
          </w:tcPr>
          <w:p w14:paraId="3D2DABC1" w14:textId="17C8B9EA" w:rsidR="00B91DA8" w:rsidRDefault="00B91DA8" w:rsidP="00B91DA8">
            <w:pPr>
              <w:cnfStyle w:val="000000100000" w:firstRow="0" w:lastRow="0" w:firstColumn="0" w:lastColumn="0" w:oddVBand="0" w:evenVBand="0" w:oddHBand="1" w:evenHBand="0" w:firstRowFirstColumn="0" w:firstRowLastColumn="0" w:lastRowFirstColumn="0" w:lastRowLastColumn="0"/>
            </w:pPr>
            <w:proofErr w:type="spellStart"/>
            <w:r>
              <w:rPr>
                <w:rFonts w:ascii="Calibri" w:eastAsia="Calibri" w:hAnsi="Calibri" w:cs="Calibri"/>
              </w:rPr>
              <w:t>hs_graduation_rate</w:t>
            </w:r>
            <w:proofErr w:type="spellEnd"/>
          </w:p>
        </w:tc>
        <w:tc>
          <w:tcPr>
            <w:tcW w:w="1114" w:type="pct"/>
          </w:tcPr>
          <w:p w14:paraId="1C22CF4D" w14:textId="0A910626" w:rsidR="00B91DA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Retain despite lasso zero based on RF importance rank of 8</w:t>
            </w:r>
          </w:p>
        </w:tc>
        <w:tc>
          <w:tcPr>
            <w:tcW w:w="2476" w:type="pct"/>
          </w:tcPr>
          <w:p w14:paraId="7E777BAF" w14:textId="78A5A5DC" w:rsidR="00B91DA8" w:rsidRPr="001B31B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 xml:space="preserve">Lasso absorbs signal into </w:t>
            </w:r>
            <w:proofErr w:type="spellStart"/>
            <w:r>
              <w:rPr>
                <w:rFonts w:ascii="Calibri" w:eastAsia="Calibri" w:hAnsi="Calibri" w:cs="Calibri"/>
              </w:rPr>
              <w:t>some_college_rate</w:t>
            </w:r>
            <w:proofErr w:type="spellEnd"/>
            <w:r>
              <w:rPr>
                <w:rFonts w:ascii="Calibri" w:eastAsia="Calibri" w:hAnsi="Calibri" w:cs="Calibri"/>
              </w:rPr>
              <w:t>; random forest finds nonlinear value independently; keeping avoids discarding a theoretically important predictor</w:t>
            </w:r>
          </w:p>
        </w:tc>
      </w:tr>
      <w:tr w:rsidR="00B91DA8" w14:paraId="10E022A5" w14:textId="77777777" w:rsidTr="004E6F04">
        <w:tc>
          <w:tcPr>
            <w:cnfStyle w:val="001000000000" w:firstRow="0" w:lastRow="0" w:firstColumn="1" w:lastColumn="0" w:oddVBand="0" w:evenVBand="0" w:oddHBand="0" w:evenHBand="0" w:firstRowFirstColumn="0" w:firstRowLastColumn="0" w:lastRowFirstColumn="0" w:lastRowLastColumn="0"/>
            <w:tcW w:w="396" w:type="pct"/>
          </w:tcPr>
          <w:p w14:paraId="336D5F9C" w14:textId="019DD715" w:rsidR="00B91DA8" w:rsidRDefault="00B91DA8" w:rsidP="00B91DA8">
            <w:pPr>
              <w:rPr>
                <w:rFonts w:ascii="Calibri" w:eastAsia="Calibri" w:hAnsi="Calibri" w:cs="Calibri"/>
              </w:rPr>
            </w:pPr>
            <w:r>
              <w:rPr>
                <w:rFonts w:ascii="Calibri" w:eastAsia="Calibri" w:hAnsi="Calibri" w:cs="Calibri"/>
              </w:rPr>
              <w:t>5</w:t>
            </w:r>
          </w:p>
        </w:tc>
        <w:tc>
          <w:tcPr>
            <w:tcW w:w="1014" w:type="pct"/>
          </w:tcPr>
          <w:p w14:paraId="05F9AA1C" w14:textId="1F50EA84"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roofErr w:type="spellStart"/>
            <w:r>
              <w:rPr>
                <w:rFonts w:ascii="Calibri" w:eastAsia="Calibri" w:hAnsi="Calibri" w:cs="Calibri"/>
              </w:rPr>
              <w:t>unemployment_rate</w:t>
            </w:r>
            <w:proofErr w:type="spellEnd"/>
          </w:p>
        </w:tc>
        <w:tc>
          <w:tcPr>
            <w:tcW w:w="1114" w:type="pct"/>
          </w:tcPr>
          <w:p w14:paraId="55FF9DC2" w14:textId="7E419208"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Retain despite lasso zero for Part 2 fixed-effects model</w:t>
            </w:r>
          </w:p>
        </w:tc>
        <w:tc>
          <w:tcPr>
            <w:tcW w:w="2476" w:type="pct"/>
          </w:tcPr>
          <w:p w14:paraId="4A53EE0C" w14:textId="348C3E92"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Week 4 confirmed divergence between pooled and cross-sectional correlation; lasso correctly identifies as redundant in pooled cross-section; Part 2 FE expected to recover within-county signal</w:t>
            </w:r>
          </w:p>
        </w:tc>
      </w:tr>
      <w:tr w:rsidR="00B91DA8" w14:paraId="3E807398" w14:textId="77777777" w:rsidTr="004E6F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 w:type="pct"/>
          </w:tcPr>
          <w:p w14:paraId="3646EBF4" w14:textId="60DF5912" w:rsidR="00B91DA8" w:rsidRDefault="00B91DA8" w:rsidP="00B91DA8">
            <w:pPr>
              <w:rPr>
                <w:rFonts w:ascii="Calibri" w:eastAsia="Calibri" w:hAnsi="Calibri" w:cs="Calibri"/>
              </w:rPr>
            </w:pPr>
            <w:r>
              <w:rPr>
                <w:rFonts w:ascii="Calibri" w:eastAsia="Calibri" w:hAnsi="Calibri" w:cs="Calibri"/>
              </w:rPr>
              <w:t>5</w:t>
            </w:r>
          </w:p>
        </w:tc>
        <w:tc>
          <w:tcPr>
            <w:tcW w:w="1014" w:type="pct"/>
          </w:tcPr>
          <w:p w14:paraId="59D6C3C9" w14:textId="7368F2FC"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Nonlinearity finding</w:t>
            </w:r>
          </w:p>
        </w:tc>
        <w:tc>
          <w:tcPr>
            <w:tcW w:w="1114" w:type="pct"/>
          </w:tcPr>
          <w:p w14:paraId="1F21CF30" w14:textId="1C3E9985"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Random forest CV R-squared of 0.783 vs OLS 0.616; gap of approximately 0.17</w:t>
            </w:r>
          </w:p>
        </w:tc>
        <w:tc>
          <w:tcPr>
            <w:tcW w:w="2476" w:type="pct"/>
          </w:tcPr>
          <w:p w14:paraId="6F161DC1" w14:textId="2894536B"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Confirms meaningful nonlinearity but gap is not extreme; two-way fixed effects in Part 2 expected to capture most structure without requiring nonlinear panel methods</w:t>
            </w:r>
          </w:p>
        </w:tc>
      </w:tr>
      <w:tr w:rsidR="00B91DA8" w14:paraId="26FF7B26" w14:textId="77777777" w:rsidTr="004E6F04">
        <w:tc>
          <w:tcPr>
            <w:cnfStyle w:val="001000000000" w:firstRow="0" w:lastRow="0" w:firstColumn="1" w:lastColumn="0" w:oddVBand="0" w:evenVBand="0" w:oddHBand="0" w:evenHBand="0" w:firstRowFirstColumn="0" w:firstRowLastColumn="0" w:lastRowFirstColumn="0" w:lastRowLastColumn="0"/>
            <w:tcW w:w="396" w:type="pct"/>
          </w:tcPr>
          <w:p w14:paraId="18619934" w14:textId="32241960" w:rsidR="00B91DA8" w:rsidRDefault="00B91DA8" w:rsidP="00B91DA8">
            <w:pPr>
              <w:rPr>
                <w:rFonts w:ascii="Calibri" w:eastAsia="Calibri" w:hAnsi="Calibri" w:cs="Calibri"/>
              </w:rPr>
            </w:pPr>
            <w:r>
              <w:rPr>
                <w:rFonts w:ascii="Calibri" w:eastAsia="Calibri" w:hAnsi="Calibri" w:cs="Calibri"/>
              </w:rPr>
              <w:lastRenderedPageBreak/>
              <w:t>5</w:t>
            </w:r>
          </w:p>
        </w:tc>
        <w:tc>
          <w:tcPr>
            <w:tcW w:w="1014" w:type="pct"/>
          </w:tcPr>
          <w:p w14:paraId="733F0D12" w14:textId="2DEE5709"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population decision</w:t>
            </w:r>
          </w:p>
        </w:tc>
        <w:tc>
          <w:tcPr>
            <w:tcW w:w="1114" w:type="pct"/>
          </w:tcPr>
          <w:p w14:paraId="54E559AF" w14:textId="2B8DC1F9"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population flagged for drop or control-only use in Part 2</w:t>
            </w:r>
          </w:p>
        </w:tc>
        <w:tc>
          <w:tcPr>
            <w:tcW w:w="2476" w:type="pct"/>
          </w:tcPr>
          <w:p w14:paraId="7DAE6902" w14:textId="78572ECB"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Lasso-inactive, RF rank 14 of 17; no consistent signal across any baseline model</w:t>
            </w:r>
          </w:p>
        </w:tc>
      </w:tr>
      <w:tr w:rsidR="00B91DA8" w14:paraId="3C43999E" w14:textId="77777777" w:rsidTr="004E6F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 w:type="pct"/>
          </w:tcPr>
          <w:p w14:paraId="28D9A03D" w14:textId="086924B5" w:rsidR="00B91DA8" w:rsidRDefault="00B91DA8" w:rsidP="00B91DA8">
            <w:pPr>
              <w:rPr>
                <w:rFonts w:ascii="Calibri" w:eastAsia="Calibri" w:hAnsi="Calibri" w:cs="Calibri"/>
              </w:rPr>
            </w:pPr>
            <w:r>
              <w:rPr>
                <w:rFonts w:ascii="Calibri" w:eastAsia="Calibri" w:hAnsi="Calibri" w:cs="Calibri"/>
              </w:rPr>
              <w:t>5</w:t>
            </w:r>
          </w:p>
        </w:tc>
        <w:tc>
          <w:tcPr>
            <w:tcW w:w="1014" w:type="pct"/>
          </w:tcPr>
          <w:p w14:paraId="3FE50366" w14:textId="44B1F338"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proofErr w:type="spellStart"/>
            <w:r>
              <w:rPr>
                <w:rFonts w:ascii="Calibri" w:eastAsia="Calibri" w:hAnsi="Calibri" w:cs="Calibri"/>
              </w:rPr>
              <w:t>single_parent_rate</w:t>
            </w:r>
            <w:proofErr w:type="spellEnd"/>
          </w:p>
        </w:tc>
        <w:tc>
          <w:tcPr>
            <w:tcW w:w="1114" w:type="pct"/>
          </w:tcPr>
          <w:p w14:paraId="4FC04595" w14:textId="79CC7F69"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proofErr w:type="spellStart"/>
            <w:r>
              <w:rPr>
                <w:rFonts w:ascii="Calibri" w:eastAsia="Calibri" w:hAnsi="Calibri" w:cs="Calibri"/>
              </w:rPr>
              <w:t>single_parent_rate</w:t>
            </w:r>
            <w:proofErr w:type="spellEnd"/>
            <w:r>
              <w:rPr>
                <w:rFonts w:ascii="Calibri" w:eastAsia="Calibri" w:hAnsi="Calibri" w:cs="Calibri"/>
              </w:rPr>
              <w:t xml:space="preserve"> flagged for exclusion from Part 2</w:t>
            </w:r>
          </w:p>
        </w:tc>
        <w:tc>
          <w:tcPr>
            <w:tcW w:w="2476" w:type="pct"/>
          </w:tcPr>
          <w:p w14:paraId="1E3A43B1" w14:textId="3540D7B5"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Lasso-inactive, RF rank 17 of 17; signal fully absorbed by poverty and income measures across all three model types</w:t>
            </w:r>
          </w:p>
        </w:tc>
      </w:tr>
      <w:tr w:rsidR="004E6F04" w14:paraId="31BEF0C7" w14:textId="77777777" w:rsidTr="004E6F04">
        <w:tc>
          <w:tcPr>
            <w:cnfStyle w:val="001000000000" w:firstRow="0" w:lastRow="0" w:firstColumn="1" w:lastColumn="0" w:oddVBand="0" w:evenVBand="0" w:oddHBand="0" w:evenHBand="0" w:firstRowFirstColumn="0" w:firstRowLastColumn="0" w:lastRowFirstColumn="0" w:lastRowLastColumn="0"/>
            <w:tcW w:w="396" w:type="pct"/>
          </w:tcPr>
          <w:p w14:paraId="66D710D9" w14:textId="116574F4" w:rsidR="004E6F04" w:rsidRDefault="004E6F04" w:rsidP="00B91DA8">
            <w:pPr>
              <w:rPr>
                <w:rFonts w:ascii="Calibri" w:eastAsia="Calibri" w:hAnsi="Calibri" w:cs="Calibri"/>
              </w:rPr>
            </w:pPr>
            <w:r>
              <w:rPr>
                <w:rFonts w:ascii="Calibri" w:eastAsia="Calibri" w:hAnsi="Calibri" w:cs="Calibri"/>
              </w:rPr>
              <w:t>6</w:t>
            </w:r>
          </w:p>
        </w:tc>
        <w:tc>
          <w:tcPr>
            <w:tcW w:w="1014" w:type="pct"/>
          </w:tcPr>
          <w:p w14:paraId="63AE44C6" w14:textId="67DD901C" w:rsidR="004E6F04" w:rsidRDefault="008D0C4E" w:rsidP="00256292">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8D0C4E">
              <w:rPr>
                <w:rFonts w:ascii="Calibri" w:eastAsia="Calibri" w:hAnsi="Calibri" w:cs="Calibri"/>
              </w:rPr>
              <w:t>Two-way FE model specification</w:t>
            </w:r>
          </w:p>
        </w:tc>
        <w:tc>
          <w:tcPr>
            <w:tcW w:w="1114" w:type="pct"/>
          </w:tcPr>
          <w:p w14:paraId="2F914802" w14:textId="60FD6BBB" w:rsidR="004E6F04" w:rsidRDefault="00256292"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t>Confirmed</w:t>
            </w:r>
            <w:r w:rsidR="001816C2">
              <w:t xml:space="preserve"> </w:t>
            </w:r>
            <w:proofErr w:type="spellStart"/>
            <w:r>
              <w:rPr>
                <w:rStyle w:val="HTMLCode"/>
                <w:rFonts w:eastAsia="Arial"/>
              </w:rPr>
              <w:t>unemployment_rate</w:t>
            </w:r>
            <w:proofErr w:type="spellEnd"/>
            <w:r>
              <w:t xml:space="preserve"> sign reverses between pooled (negative, p&lt;0.001) and two-way FE (positive, p=0.030) specifications</w:t>
            </w:r>
          </w:p>
        </w:tc>
        <w:tc>
          <w:tcPr>
            <w:tcW w:w="2476" w:type="pct"/>
          </w:tcPr>
          <w:p w14:paraId="738433AA" w14:textId="5364EFE1" w:rsidR="004E6F04" w:rsidRDefault="0027510A"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t>Both estimates are statistically significant, so this is a genuine within- vs. between-county divergence, not noise. Flagging for professor discussion since the pooled sign is counterintuitive on its own (higher unemployment associated with lower uninsured rate across counties)</w:t>
            </w:r>
          </w:p>
        </w:tc>
      </w:tr>
      <w:tr w:rsidR="004E6F04" w14:paraId="0355E601" w14:textId="77777777" w:rsidTr="004E6F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 w:type="pct"/>
          </w:tcPr>
          <w:p w14:paraId="1BCAA7D4" w14:textId="7C447E24" w:rsidR="004E6F04" w:rsidRDefault="004E6F04" w:rsidP="00B91DA8">
            <w:pPr>
              <w:rPr>
                <w:rFonts w:ascii="Calibri" w:eastAsia="Calibri" w:hAnsi="Calibri" w:cs="Calibri"/>
              </w:rPr>
            </w:pPr>
            <w:r>
              <w:rPr>
                <w:rFonts w:ascii="Calibri" w:eastAsia="Calibri" w:hAnsi="Calibri" w:cs="Calibri"/>
              </w:rPr>
              <w:t>6</w:t>
            </w:r>
          </w:p>
        </w:tc>
        <w:tc>
          <w:tcPr>
            <w:tcW w:w="1014" w:type="pct"/>
          </w:tcPr>
          <w:p w14:paraId="48952CB5" w14:textId="036EAD90" w:rsidR="004E6F04" w:rsidRDefault="008D0C4E"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8D0C4E">
              <w:rPr>
                <w:rFonts w:ascii="Calibri" w:eastAsia="Calibri" w:hAnsi="Calibri" w:cs="Calibri"/>
              </w:rPr>
              <w:t>Two-way FE model specification</w:t>
            </w:r>
          </w:p>
        </w:tc>
        <w:tc>
          <w:tcPr>
            <w:tcW w:w="1114" w:type="pct"/>
          </w:tcPr>
          <w:p w14:paraId="1DE0FA8A" w14:textId="518DF9A0" w:rsidR="001816C2" w:rsidRPr="001816C2" w:rsidRDefault="001816C2" w:rsidP="001816C2">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Style w:val="HTMLCode"/>
                <w:rFonts w:eastAsia="Arial"/>
              </w:rPr>
              <w:t>pct_65plus</w:t>
            </w:r>
            <w:r>
              <w:t xml:space="preserve"> moves from non-significant in pooled (p=0.267) to significant negative in two-way FE (p=0.0025)</w:t>
            </w:r>
          </w:p>
        </w:tc>
        <w:tc>
          <w:tcPr>
            <w:tcW w:w="2476" w:type="pct"/>
          </w:tcPr>
          <w:p w14:paraId="5AF8515B" w14:textId="70EF26B3" w:rsidR="004E6F04" w:rsidRDefault="0027510A"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27510A">
              <w:rPr>
                <w:rFonts w:ascii="Calibri" w:eastAsia="Calibri" w:hAnsi="Calibri" w:cs="Calibri"/>
              </w:rPr>
              <w:t>Counties aging in place show falling uninsured rates net of fixed county character and year trend; absent from the pooled estimate because that signal is masked by cross-county variation</w:t>
            </w:r>
          </w:p>
        </w:tc>
      </w:tr>
      <w:tr w:rsidR="008D0C4E" w14:paraId="48605ABA" w14:textId="77777777" w:rsidTr="004E6F04">
        <w:tc>
          <w:tcPr>
            <w:cnfStyle w:val="001000000000" w:firstRow="0" w:lastRow="0" w:firstColumn="1" w:lastColumn="0" w:oddVBand="0" w:evenVBand="0" w:oddHBand="0" w:evenHBand="0" w:firstRowFirstColumn="0" w:firstRowLastColumn="0" w:lastRowFirstColumn="0" w:lastRowLastColumn="0"/>
            <w:tcW w:w="396" w:type="pct"/>
          </w:tcPr>
          <w:p w14:paraId="5D778CD7" w14:textId="33857AD8" w:rsidR="008D0C4E" w:rsidRDefault="008D0C4E" w:rsidP="00B91DA8">
            <w:pPr>
              <w:rPr>
                <w:rFonts w:ascii="Calibri" w:eastAsia="Calibri" w:hAnsi="Calibri" w:cs="Calibri"/>
              </w:rPr>
            </w:pPr>
            <w:r>
              <w:rPr>
                <w:rFonts w:ascii="Calibri" w:eastAsia="Calibri" w:hAnsi="Calibri" w:cs="Calibri"/>
              </w:rPr>
              <w:t>6</w:t>
            </w:r>
          </w:p>
        </w:tc>
        <w:tc>
          <w:tcPr>
            <w:tcW w:w="1014" w:type="pct"/>
          </w:tcPr>
          <w:p w14:paraId="4E630911" w14:textId="288A9FED" w:rsidR="008D0C4E" w:rsidRPr="008D0C4E" w:rsidRDefault="008D0C4E"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Predictor Reliability</w:t>
            </w:r>
          </w:p>
        </w:tc>
        <w:tc>
          <w:tcPr>
            <w:tcW w:w="1114" w:type="pct"/>
          </w:tcPr>
          <w:p w14:paraId="485FBFC5" w14:textId="4201134C" w:rsidR="008D0C4E" w:rsidRDefault="0027510A"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t>Race/ethnicity share predictors (</w:t>
            </w:r>
            <w:proofErr w:type="spellStart"/>
            <w:r>
              <w:rPr>
                <w:rStyle w:val="HTMLCode"/>
                <w:rFonts w:eastAsia="Arial"/>
              </w:rPr>
              <w:t>pct_black</w:t>
            </w:r>
            <w:proofErr w:type="spellEnd"/>
            <w:r>
              <w:t xml:space="preserve">, </w:t>
            </w:r>
            <w:proofErr w:type="spellStart"/>
            <w:r>
              <w:rPr>
                <w:rStyle w:val="HTMLCode"/>
                <w:rFonts w:eastAsia="Arial"/>
              </w:rPr>
              <w:t>pct_aian</w:t>
            </w:r>
            <w:proofErr w:type="spellEnd"/>
            <w:r>
              <w:t xml:space="preserve">, </w:t>
            </w:r>
            <w:proofErr w:type="spellStart"/>
            <w:r>
              <w:rPr>
                <w:rStyle w:val="HTMLCode"/>
                <w:rFonts w:eastAsia="Arial"/>
              </w:rPr>
              <w:t>pct_asian</w:t>
            </w:r>
            <w:proofErr w:type="spellEnd"/>
            <w:r>
              <w:t xml:space="preserve">, </w:t>
            </w:r>
            <w:proofErr w:type="spellStart"/>
            <w:r>
              <w:rPr>
                <w:rStyle w:val="HTMLCode"/>
                <w:rFonts w:eastAsia="Arial"/>
              </w:rPr>
              <w:t>pct_hispanic</w:t>
            </w:r>
            <w:proofErr w:type="spellEnd"/>
            <w:r>
              <w:t xml:space="preserve">, </w:t>
            </w:r>
            <w:proofErr w:type="spellStart"/>
            <w:r>
              <w:rPr>
                <w:rStyle w:val="HTMLCode"/>
                <w:rFonts w:eastAsia="Arial"/>
              </w:rPr>
              <w:t>pct_nh_white</w:t>
            </w:r>
            <w:proofErr w:type="spellEnd"/>
            <w:r>
              <w:t>) show no significant relationship with uninsured rate in either pooled or two-way FE specification</w:t>
            </w:r>
          </w:p>
        </w:tc>
        <w:tc>
          <w:tcPr>
            <w:tcW w:w="2476" w:type="pct"/>
          </w:tcPr>
          <w:p w14:paraId="1C4CC64E" w14:textId="627D0891" w:rsidR="008D0C4E" w:rsidRDefault="0027510A"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27510A">
              <w:rPr>
                <w:rFonts w:ascii="Calibri" w:eastAsia="Calibri" w:hAnsi="Calibri" w:cs="Calibri"/>
              </w:rPr>
              <w:t>Limited within-county variation in racial composition over an 11-year window leaves wide confidence intervals once county fixed effects absorb the baseline; expected behavior given the FE design, not a specification problem</w:t>
            </w:r>
          </w:p>
        </w:tc>
      </w:tr>
    </w:tbl>
    <w:p w14:paraId="7CFCB634" w14:textId="77777777" w:rsidR="008D514E" w:rsidRDefault="008D514E"/>
    <w:sectPr w:rsidR="008D51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92B"/>
    <w:rsid w:val="000265E9"/>
    <w:rsid w:val="000C21BA"/>
    <w:rsid w:val="001816C2"/>
    <w:rsid w:val="001B31B8"/>
    <w:rsid w:val="001C6BA2"/>
    <w:rsid w:val="001C767D"/>
    <w:rsid w:val="00256292"/>
    <w:rsid w:val="0027510A"/>
    <w:rsid w:val="004B4832"/>
    <w:rsid w:val="004E6F04"/>
    <w:rsid w:val="005B2EA8"/>
    <w:rsid w:val="008715EE"/>
    <w:rsid w:val="008D0C4E"/>
    <w:rsid w:val="008D514E"/>
    <w:rsid w:val="00980360"/>
    <w:rsid w:val="009C292B"/>
    <w:rsid w:val="00B91DA8"/>
    <w:rsid w:val="00BF3849"/>
    <w:rsid w:val="00CE001D"/>
    <w:rsid w:val="00D575F8"/>
    <w:rsid w:val="00DB2AF2"/>
    <w:rsid w:val="00FA1E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CA232"/>
  <w15:chartTrackingRefBased/>
  <w15:docId w15:val="{06283CA1-7AF6-4B79-A3E6-7CA6C6D55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92B"/>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9C292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C292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C292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C292B"/>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C292B"/>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C292B"/>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C292B"/>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C292B"/>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C292B"/>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29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29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29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29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29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29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29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29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292B"/>
    <w:rPr>
      <w:rFonts w:eastAsiaTheme="majorEastAsia" w:cstheme="majorBidi"/>
      <w:color w:val="272727" w:themeColor="text1" w:themeTint="D8"/>
    </w:rPr>
  </w:style>
  <w:style w:type="paragraph" w:styleId="Title">
    <w:name w:val="Title"/>
    <w:basedOn w:val="Normal"/>
    <w:next w:val="Normal"/>
    <w:link w:val="TitleChar"/>
    <w:uiPriority w:val="10"/>
    <w:qFormat/>
    <w:rsid w:val="009C292B"/>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C29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292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C29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292B"/>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C292B"/>
    <w:rPr>
      <w:i/>
      <w:iCs/>
      <w:color w:val="404040" w:themeColor="text1" w:themeTint="BF"/>
    </w:rPr>
  </w:style>
  <w:style w:type="paragraph" w:styleId="ListParagraph">
    <w:name w:val="List Paragraph"/>
    <w:basedOn w:val="Normal"/>
    <w:uiPriority w:val="34"/>
    <w:qFormat/>
    <w:rsid w:val="009C292B"/>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9C292B"/>
    <w:rPr>
      <w:i/>
      <w:iCs/>
      <w:color w:val="0F4761" w:themeColor="accent1" w:themeShade="BF"/>
    </w:rPr>
  </w:style>
  <w:style w:type="paragraph" w:styleId="IntenseQuote">
    <w:name w:val="Intense Quote"/>
    <w:basedOn w:val="Normal"/>
    <w:next w:val="Normal"/>
    <w:link w:val="IntenseQuoteChar"/>
    <w:uiPriority w:val="30"/>
    <w:qFormat/>
    <w:rsid w:val="009C292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C292B"/>
    <w:rPr>
      <w:i/>
      <w:iCs/>
      <w:color w:val="0F4761" w:themeColor="accent1" w:themeShade="BF"/>
    </w:rPr>
  </w:style>
  <w:style w:type="character" w:styleId="IntenseReference">
    <w:name w:val="Intense Reference"/>
    <w:basedOn w:val="DefaultParagraphFont"/>
    <w:uiPriority w:val="32"/>
    <w:qFormat/>
    <w:rsid w:val="009C292B"/>
    <w:rPr>
      <w:b/>
      <w:bCs/>
      <w:smallCaps/>
      <w:color w:val="0F4761" w:themeColor="accent1" w:themeShade="BF"/>
      <w:spacing w:val="5"/>
    </w:rPr>
  </w:style>
  <w:style w:type="table" w:styleId="GridTable4-Accent2">
    <w:name w:val="Grid Table 4 Accent 2"/>
    <w:basedOn w:val="TableNormal"/>
    <w:uiPriority w:val="49"/>
    <w:rsid w:val="009C292B"/>
    <w:pPr>
      <w:spacing w:after="0" w:line="240" w:lineRule="auto"/>
    </w:pPr>
    <w:rPr>
      <w:rFonts w:ascii="Arial" w:eastAsia="Arial" w:hAnsi="Arial" w:cs="Arial"/>
      <w:kern w:val="0"/>
      <w:sz w:val="20"/>
      <w:szCs w:val="20"/>
      <w14:ligatures w14:val="none"/>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HTMLCode">
    <w:name w:val="HTML Code"/>
    <w:basedOn w:val="DefaultParagraphFont"/>
    <w:uiPriority w:val="99"/>
    <w:semiHidden/>
    <w:unhideWhenUsed/>
    <w:rsid w:val="0025629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706b8aa2-8af0-4ab8-9873-df9911b98d4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D9746C7FF84C449B12CEB48A8E17926" ma:contentTypeVersion="16" ma:contentTypeDescription="Create a new document." ma:contentTypeScope="" ma:versionID="4bb6fe4e1c75b5540c1f4ab272283b02">
  <xsd:schema xmlns:xsd="http://www.w3.org/2001/XMLSchema" xmlns:xs="http://www.w3.org/2001/XMLSchema" xmlns:p="http://schemas.microsoft.com/office/2006/metadata/properties" xmlns:ns3="706b8aa2-8af0-4ab8-9873-df9911b98d43" xmlns:ns4="51b1e863-652f-4e12-a6c4-d71aedd5f070" targetNamespace="http://schemas.microsoft.com/office/2006/metadata/properties" ma:root="true" ma:fieldsID="12b9d2ff6dca74e3d66d5dd31ea60895" ns3:_="" ns4:_="">
    <xsd:import namespace="706b8aa2-8af0-4ab8-9873-df9911b98d43"/>
    <xsd:import namespace="51b1e863-652f-4e12-a6c4-d71aedd5f07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AutoTags"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6b8aa2-8af0-4ab8-9873-df9911b98d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element name="MediaServiceAutoTags" ma:index="18" nillable="true" ma:displayName="Tags" ma:internalName="MediaServiceAutoTag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GenerationTime" ma:index="22" nillable="true" ma:displayName="MediaServiceGenerationTime" ma:hidden="true" ma:internalName="MediaServiceGenerationTime" ma:readOnly="true">
      <xsd:simpleType>
        <xsd:restriction base="dms:Text"/>
      </xsd:simpleType>
    </xsd:element>
    <xsd:element name="MediaServiceEventHashCode" ma:index="23"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1b1e863-652f-4e12-a6c4-d71aedd5f070"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7A5B4EB-9640-4FFD-98EB-39AF60ECE5C4}">
  <ds:schemaRefs>
    <ds:schemaRef ds:uri="http://schemas.microsoft.com/sharepoint/v3/contenttype/forms"/>
  </ds:schemaRefs>
</ds:datastoreItem>
</file>

<file path=customXml/itemProps2.xml><?xml version="1.0" encoding="utf-8"?>
<ds:datastoreItem xmlns:ds="http://schemas.openxmlformats.org/officeDocument/2006/customXml" ds:itemID="{9F6F1979-D164-4E8C-BB05-AAFC2A814FE6}">
  <ds:schemaRefs>
    <ds:schemaRef ds:uri="http://schemas.microsoft.com/office/2006/metadata/properties"/>
    <ds:schemaRef ds:uri="http://schemas.microsoft.com/office/infopath/2007/PartnerControls"/>
    <ds:schemaRef ds:uri="706b8aa2-8af0-4ab8-9873-df9911b98d43"/>
  </ds:schemaRefs>
</ds:datastoreItem>
</file>

<file path=customXml/itemProps3.xml><?xml version="1.0" encoding="utf-8"?>
<ds:datastoreItem xmlns:ds="http://schemas.openxmlformats.org/officeDocument/2006/customXml" ds:itemID="{7C4BBCEE-F67C-403A-BDA6-D1A8F72166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6b8aa2-8af0-4ab8-9873-df9911b98d43"/>
    <ds:schemaRef ds:uri="51b1e863-652f-4e12-a6c4-d71aedd5f0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762ebf40-80b2-40ba-86fe-6dd409acb499}" enabled="0" method="" siteId="{762ebf40-80b2-40ba-86fe-6dd409acb499}" removed="1"/>
</clbl:labelList>
</file>

<file path=docProps/app.xml><?xml version="1.0" encoding="utf-8"?>
<Properties xmlns="http://schemas.openxmlformats.org/officeDocument/2006/extended-properties" xmlns:vt="http://schemas.openxmlformats.org/officeDocument/2006/docPropsVTypes">
  <Template>Normal</Template>
  <TotalTime>977</TotalTime>
  <Pages>4</Pages>
  <Words>1438</Words>
  <Characters>8917</Characters>
  <Application>Microsoft Office Word</Application>
  <DocSecurity>0</DocSecurity>
  <Lines>387</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Phillips</dc:creator>
  <cp:keywords/>
  <dc:description/>
  <cp:lastModifiedBy>Seth Phillips</cp:lastModifiedBy>
  <cp:revision>14</cp:revision>
  <dcterms:created xsi:type="dcterms:W3CDTF">2026-06-03T19:28:00Z</dcterms:created>
  <dcterms:modified xsi:type="dcterms:W3CDTF">2026-06-25T05:42:00Z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0x0101001D9746C7FF84C449B12CEB48A8E17926</vt:lpwstr>
  </property>
</Properties>
</file>