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2"/>
        <w:tblW w:w="5000" w:type="pct"/>
        <w:tblLook w:val="04A0" w:firstRow="1" w:lastRow="0" w:firstColumn="1" w:lastColumn="0" w:noHBand="0" w:noVBand="1"/>
      </w:tblPr>
      <w:tblGrid>
        <w:gridCol w:w="739"/>
        <w:gridCol w:w="1896"/>
        <w:gridCol w:w="2257"/>
        <w:gridCol w:w="4458"/>
      </w:tblGrid>
      <w:tr w:rsidR="009C292B" w14:paraId="62A1B6E8" w14:textId="77777777" w:rsidTr="00EE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B292D68" w14:textId="77777777" w:rsidR="009C292B" w:rsidRDefault="009C292B" w:rsidP="00173C90">
            <w:r>
              <w:rPr>
                <w:color w:val="FFFFFF"/>
              </w:rPr>
              <w:t>Week</w:t>
            </w:r>
          </w:p>
        </w:tc>
        <w:tc>
          <w:tcPr>
            <w:tcW w:w="1014" w:type="pct"/>
          </w:tcPr>
          <w:p w14:paraId="65BFA82D" w14:textId="77777777" w:rsidR="009C292B" w:rsidRDefault="009C292B" w:rsidP="00173C90">
            <w:pPr>
              <w:cnfStyle w:val="100000000000" w:firstRow="1" w:lastRow="0" w:firstColumn="0" w:lastColumn="0" w:oddVBand="0" w:evenVBand="0" w:oddHBand="0" w:evenHBand="0" w:firstRowFirstColumn="0" w:firstRowLastColumn="0" w:lastRowFirstColumn="0" w:lastRowLastColumn="0"/>
            </w:pPr>
            <w:r>
              <w:rPr>
                <w:color w:val="FFFFFF"/>
              </w:rPr>
              <w:t>Category</w:t>
            </w:r>
          </w:p>
        </w:tc>
        <w:tc>
          <w:tcPr>
            <w:tcW w:w="1207" w:type="pct"/>
          </w:tcPr>
          <w:p w14:paraId="04A3A570" w14:textId="77777777" w:rsidR="009C292B" w:rsidRDefault="009C292B" w:rsidP="00173C90">
            <w:pPr>
              <w:cnfStyle w:val="100000000000" w:firstRow="1" w:lastRow="0" w:firstColumn="0" w:lastColumn="0" w:oddVBand="0" w:evenVBand="0" w:oddHBand="0" w:evenHBand="0" w:firstRowFirstColumn="0" w:firstRowLastColumn="0" w:lastRowFirstColumn="0" w:lastRowLastColumn="0"/>
            </w:pPr>
            <w:r>
              <w:rPr>
                <w:color w:val="FFFFFF"/>
              </w:rPr>
              <w:t>Decision</w:t>
            </w:r>
          </w:p>
        </w:tc>
        <w:tc>
          <w:tcPr>
            <w:tcW w:w="2384" w:type="pct"/>
          </w:tcPr>
          <w:p w14:paraId="150E5A0F" w14:textId="77777777" w:rsidR="009C292B" w:rsidRDefault="009C292B" w:rsidP="00173C90">
            <w:pPr>
              <w:cnfStyle w:val="100000000000" w:firstRow="1" w:lastRow="0" w:firstColumn="0" w:lastColumn="0" w:oddVBand="0" w:evenVBand="0" w:oddHBand="0" w:evenHBand="0" w:firstRowFirstColumn="0" w:firstRowLastColumn="0" w:lastRowFirstColumn="0" w:lastRowLastColumn="0"/>
            </w:pPr>
            <w:r>
              <w:rPr>
                <w:color w:val="FFFFFF"/>
              </w:rPr>
              <w:t>Justification</w:t>
            </w:r>
          </w:p>
        </w:tc>
      </w:tr>
      <w:tr w:rsidR="009C292B" w14:paraId="765AD3D9"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70F2CABB" w14:textId="77777777" w:rsidR="009C292B" w:rsidRDefault="009C292B" w:rsidP="00173C90">
            <w:r>
              <w:t>2</w:t>
            </w:r>
          </w:p>
        </w:tc>
        <w:tc>
          <w:tcPr>
            <w:tcW w:w="1014" w:type="pct"/>
          </w:tcPr>
          <w:p w14:paraId="2D5849B7"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Study period</w:t>
            </w:r>
          </w:p>
        </w:tc>
        <w:tc>
          <w:tcPr>
            <w:tcW w:w="1207" w:type="pct"/>
          </w:tcPr>
          <w:p w14:paraId="2F10CCF8"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Primary panel: 2012-2025 (release years)</w:t>
            </w:r>
          </w:p>
        </w:tc>
        <w:tc>
          <w:tcPr>
            <w:tcW w:w="2384" w:type="pct"/>
          </w:tcPr>
          <w:p w14:paraId="3294179E"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CHR began the all-ages uninsured measure (v085) in 2012. Using 2010-2011 in the primary series would mix two different measure populations (adults-only v003 vs all-ages v085), creating a structural break. A clean 14-year all-ages series is more defensible for longitudinal modeling.</w:t>
            </w:r>
          </w:p>
        </w:tc>
      </w:tr>
      <w:tr w:rsidR="009C292B" w14:paraId="2A00A5DA"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157E28AA" w14:textId="77777777" w:rsidR="009C292B" w:rsidRDefault="009C292B" w:rsidP="00173C90">
            <w:r>
              <w:t>2</w:t>
            </w:r>
          </w:p>
        </w:tc>
        <w:tc>
          <w:tcPr>
            <w:tcW w:w="1014" w:type="pct"/>
          </w:tcPr>
          <w:p w14:paraId="23EACCEA"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Study period</w:t>
            </w:r>
          </w:p>
        </w:tc>
        <w:tc>
          <w:tcPr>
            <w:tcW w:w="1207" w:type="pct"/>
          </w:tcPr>
          <w:p w14:paraId="01C3E79B"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2010-2011 reserved as independent extension using adults-only measure (v003)</w:t>
            </w:r>
          </w:p>
        </w:tc>
        <w:tc>
          <w:tcPr>
            <w:tcW w:w="2384" w:type="pct"/>
          </w:tcPr>
          <w:p w14:paraId="5398DA6F"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The adult uninsured rate (ages 18-64) is available from 2010 onward and enables a full 16-year series. Preserving 2010-2011 in a separate panel allows the extension analysis (RQ1) to quantify the magnitude of the measure-population break between the two series.</w:t>
            </w:r>
          </w:p>
        </w:tc>
      </w:tr>
      <w:tr w:rsidR="009C292B" w14:paraId="4741B772"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75E75849" w14:textId="77777777" w:rsidR="009C292B" w:rsidRDefault="009C292B" w:rsidP="00173C90">
            <w:r>
              <w:t>2</w:t>
            </w:r>
          </w:p>
        </w:tc>
        <w:tc>
          <w:tcPr>
            <w:tcW w:w="1014" w:type="pct"/>
          </w:tcPr>
          <w:p w14:paraId="4732DC49"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Geography</w:t>
            </w:r>
          </w:p>
        </w:tc>
        <w:tc>
          <w:tcPr>
            <w:tcW w:w="1207" w:type="pct"/>
          </w:tcPr>
          <w:p w14:paraId="0539A86D"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Connecticut excluded from the panel entirely</w:t>
            </w:r>
          </w:p>
        </w:tc>
        <w:tc>
          <w:tcPr>
            <w:tcW w:w="2384" w:type="pct"/>
          </w:tcPr>
          <w:p w14:paraId="0FFF1127"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Connecticut replaced its 8 counties with 9 planning regions in the 2022 CHR release. A clean crosswalk is not feasible for most variables. Excluding CT at the assembly stage keeps the sample geographically consistent across all descriptive and modeling sections.</w:t>
            </w:r>
          </w:p>
        </w:tc>
      </w:tr>
      <w:tr w:rsidR="009C292B" w14:paraId="778EE341"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3F2765AF" w14:textId="77777777" w:rsidR="009C292B" w:rsidRDefault="009C292B" w:rsidP="00173C90">
            <w:r>
              <w:t>2</w:t>
            </w:r>
          </w:p>
        </w:tc>
        <w:tc>
          <w:tcPr>
            <w:tcW w:w="1014" w:type="pct"/>
          </w:tcPr>
          <w:p w14:paraId="6574B92C"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FIPS handling</w:t>
            </w:r>
          </w:p>
        </w:tc>
        <w:tc>
          <w:tcPr>
            <w:tcW w:w="1207" w:type="pct"/>
          </w:tcPr>
          <w:p w14:paraId="49F0BB94"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FIPS codes treated as strings throughout; zero-padded to 5 digits</w:t>
            </w:r>
          </w:p>
        </w:tc>
        <w:tc>
          <w:tcPr>
            <w:tcW w:w="2384" w:type="pct"/>
          </w:tcPr>
          <w:p w14:paraId="3358FA81"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Reading FIPS as integers strips leading zeros (e.g., Alabama counties become 1001 instead of 01001), which breaks all merge and filter operations. String treatment is applied consistently at the file-read stage.</w:t>
            </w:r>
          </w:p>
        </w:tc>
      </w:tr>
      <w:tr w:rsidR="009C292B" w14:paraId="1DEB659F"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3FB11DE3" w14:textId="77777777" w:rsidR="009C292B" w:rsidRDefault="009C292B" w:rsidP="00173C90">
            <w:r>
              <w:t>2</w:t>
            </w:r>
          </w:p>
        </w:tc>
        <w:tc>
          <w:tcPr>
            <w:tcW w:w="1014" w:type="pct"/>
          </w:tcPr>
          <w:p w14:paraId="08D46F40"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Row filtering</w:t>
            </w:r>
          </w:p>
        </w:tc>
        <w:tc>
          <w:tcPr>
            <w:tcW w:w="1207" w:type="pct"/>
          </w:tcPr>
          <w:p w14:paraId="58BC9F4C"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State summary rows (county FIPS portion = 000) filtered before stacking</w:t>
            </w:r>
          </w:p>
        </w:tc>
        <w:tc>
          <w:tcPr>
            <w:tcW w:w="2384" w:type="pct"/>
          </w:tcPr>
          <w:p w14:paraId="57381786"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Each CHR file contains one state-level summary row per state. These rows represent state aggregates, not counties, and must be removed before constructing a county-level panel.</w:t>
            </w:r>
          </w:p>
        </w:tc>
      </w:tr>
      <w:tr w:rsidR="009C292B" w14:paraId="255EB30D"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6AA6347D" w14:textId="77777777" w:rsidR="009C292B" w:rsidRDefault="009C292B" w:rsidP="00173C90">
            <w:r>
              <w:t>2</w:t>
            </w:r>
          </w:p>
        </w:tc>
        <w:tc>
          <w:tcPr>
            <w:tcW w:w="1014" w:type="pct"/>
          </w:tcPr>
          <w:p w14:paraId="0538944D"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Time axis</w:t>
            </w:r>
          </w:p>
        </w:tc>
        <w:tc>
          <w:tcPr>
            <w:tcW w:w="1207" w:type="pct"/>
          </w:tcPr>
          <w:p w14:paraId="669E0F3C"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measure_year used as time axis; release_year retained for provenance only</w:t>
            </w:r>
          </w:p>
        </w:tc>
        <w:tc>
          <w:tcPr>
            <w:tcW w:w="2384" w:type="pct"/>
          </w:tcPr>
          <w:p w14:paraId="58BB52A7"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CHR release year is not the same as the underlying survey year. The uninsured measure draws from SAHIE single-year estimates with a consistent 2-3 year lag. Using release year on the time axis would misrepresent when the data were collected and misalign trend plots with policy events. All 16 measure years were verified against CHR technical documents.</w:t>
            </w:r>
          </w:p>
        </w:tc>
      </w:tr>
      <w:tr w:rsidR="009C292B" w14:paraId="1F22D26F"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3D07C028" w14:textId="77777777" w:rsidR="009C292B" w:rsidRDefault="009C292B" w:rsidP="00173C90">
            <w:r>
              <w:t>3</w:t>
            </w:r>
          </w:p>
        </w:tc>
        <w:tc>
          <w:tcPr>
            <w:tcW w:w="1014" w:type="pct"/>
          </w:tcPr>
          <w:p w14:paraId="6D638E7A"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Outcome variable</w:t>
            </w:r>
          </w:p>
        </w:tc>
        <w:tc>
          <w:tcPr>
            <w:tcW w:w="1207" w:type="pct"/>
          </w:tcPr>
          <w:p w14:paraId="1F5DD742"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Primary outcome: uninsured_raw (all-ages, v085/v059)</w:t>
            </w:r>
          </w:p>
        </w:tc>
        <w:tc>
          <w:tcPr>
            <w:tcW w:w="2384" w:type="pct"/>
          </w:tcPr>
          <w:p w14:paraId="6E17B90B"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The all-ages uninsured rate covers the broadest, most policy-relevant population and is available in 14 consecutive release years (2012-2025) from a consistent SAHIE source. It is 0% missing across all 14 primary years in the final panel.</w:t>
            </w:r>
          </w:p>
        </w:tc>
      </w:tr>
      <w:tr w:rsidR="009C292B" w14:paraId="2FC971E8"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15EFB47C" w14:textId="77777777" w:rsidR="009C292B" w:rsidRDefault="009C292B" w:rsidP="00173C90">
            <w:r>
              <w:t>3</w:t>
            </w:r>
          </w:p>
        </w:tc>
        <w:tc>
          <w:tcPr>
            <w:tcW w:w="1014" w:type="pct"/>
          </w:tcPr>
          <w:p w14:paraId="27EBA974"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Feature selection</w:t>
            </w:r>
          </w:p>
        </w:tc>
        <w:tc>
          <w:tcPr>
            <w:tcW w:w="1207" w:type="pct"/>
          </w:tcPr>
          <w:p w14:paraId="16D087A8"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18 socioeconomic and demographic predictors selected; health-behavior measures excluded</w:t>
            </w:r>
          </w:p>
        </w:tc>
        <w:tc>
          <w:tcPr>
            <w:tcW w:w="2384" w:type="pct"/>
          </w:tcPr>
          <w:p w14:paraId="58F0FA91"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 xml:space="preserve">Variables selected cover income and poverty (median_income, child_poverty_rate, poverty_rate), education (hs_graduation_rate, some_college_rate), labor market (unemployment_rate), household structure (single_parent_rate), housing (severe_housing_rate), rurality (pct_rural), age composition (pct_under18, pct_65plus), race/ethnicity (pct_black, pct_aian, pct_asian, pct_hispanic, pct_white), and population. </w:t>
            </w:r>
            <w:r>
              <w:lastRenderedPageBreak/>
              <w:t>Health-behavior measures (smoking, obesity, physical inactivity) are excluded because they are plausibly downstream of insurance access and would complicate Part 1 interpretation.</w:t>
            </w:r>
          </w:p>
        </w:tc>
      </w:tr>
      <w:tr w:rsidR="009C292B" w14:paraId="308886FD"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5E2393F7" w14:textId="77777777" w:rsidR="009C292B" w:rsidRDefault="009C292B" w:rsidP="00173C90">
            <w:r>
              <w:lastRenderedPageBreak/>
              <w:t>3</w:t>
            </w:r>
          </w:p>
        </w:tc>
        <w:tc>
          <w:tcPr>
            <w:tcW w:w="1014" w:type="pct"/>
          </w:tcPr>
          <w:p w14:paraId="15F05DE6"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Variable classification</w:t>
            </w:r>
          </w:p>
        </w:tc>
        <w:tc>
          <w:tcPr>
            <w:tcW w:w="1207" w:type="pct"/>
          </w:tcPr>
          <w:p w14:paraId="414EFB00"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Variables classified as Core, Partial, or Sparse based on year coverage and missingness</w:t>
            </w:r>
          </w:p>
        </w:tc>
        <w:tc>
          <w:tcPr>
            <w:tcW w:w="2384" w:type="pct"/>
          </w:tcPr>
          <w:p w14:paraId="0DFFFC8E"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Core: present in all 14 primary years with 90%+ county coverage (12 variables). Partial: present in most years with gaps or elevated missingness (4 variables). Sparse: missing in many years or below 70% overall coverage (4 variables). Core variables are used in all models. Partial variables are used with noted caveats. Sparse variables are supplementary only.</w:t>
            </w:r>
          </w:p>
        </w:tc>
      </w:tr>
      <w:tr w:rsidR="009C292B" w14:paraId="25224821"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00AF629E" w14:textId="77777777" w:rsidR="009C292B" w:rsidRDefault="009C292B" w:rsidP="00173C90">
            <w:r>
              <w:t>3</w:t>
            </w:r>
          </w:p>
        </w:tc>
        <w:tc>
          <w:tcPr>
            <w:tcW w:w="1014" w:type="pct"/>
          </w:tcPr>
          <w:p w14:paraId="6366FE8B"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Variable classification</w:t>
            </w:r>
          </w:p>
        </w:tc>
        <w:tc>
          <w:tcPr>
            <w:tcW w:w="1207" w:type="pct"/>
          </w:tcPr>
          <w:p w14:paraId="01400EB7"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pct_black and pct_aian classified Sparse; available 2012-2019 only</w:t>
            </w:r>
          </w:p>
        </w:tc>
        <w:tc>
          <w:tcPr>
            <w:tcW w:w="2384" w:type="pct"/>
          </w:tcPr>
          <w:p w14:paraId="118136DC"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CHR reorganized its race/ethnicity column names after 2019. The columns % Non-Hispanic African American and % American Indian and Alaskan Native are absent from the 2020-2025 files under those names, resulting in 43% overall missingness. Both are retained in the panel for year-specific cross-sectional use but excluded from longitudinal models.</w:t>
            </w:r>
          </w:p>
        </w:tc>
      </w:tr>
      <w:tr w:rsidR="009C292B" w14:paraId="5FFCF219"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F35CD6E" w14:textId="77777777" w:rsidR="009C292B" w:rsidRDefault="009C292B" w:rsidP="00173C90">
            <w:r>
              <w:t>3</w:t>
            </w:r>
          </w:p>
        </w:tc>
        <w:tc>
          <w:tcPr>
            <w:tcW w:w="1014" w:type="pct"/>
          </w:tcPr>
          <w:p w14:paraId="3E16AFF8"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Variable classification</w:t>
            </w:r>
          </w:p>
        </w:tc>
        <w:tc>
          <w:tcPr>
            <w:tcW w:w="1207" w:type="pct"/>
          </w:tcPr>
          <w:p w14:paraId="0769855E"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poverty_rate classified Sparse despite spanning all 14 release years</w:t>
            </w:r>
          </w:p>
        </w:tc>
        <w:tc>
          <w:tcPr>
            <w:tcW w:w="2384" w:type="pct"/>
          </w:tcPr>
          <w:p w14:paraId="762E0EDC" w14:textId="77777777" w:rsidR="009C292B" w:rsidRDefault="009C292B" w:rsidP="00173C90">
            <w:pPr>
              <w:cnfStyle w:val="000000100000" w:firstRow="0" w:lastRow="0" w:firstColumn="0" w:lastColumn="0" w:oddVBand="0" w:evenVBand="0" w:oddHBand="1" w:evenHBand="0" w:firstRowFirstColumn="0" w:firstRowLastColumn="0" w:lastRowFirstColumn="0" w:lastRowLastColumn="0"/>
            </w:pPr>
            <w:r>
              <w:t>poverty_rate is 98% missing in 2013-2020 and present only in 2012 and 2021-2025 due to inconsistent CHR column population across releases. It cannot be used in longitudinal models. child_poverty_rate covers the complementary period (2013-2020) but is also Sparse. Together they cover most of the panel in non-overlapping windows.</w:t>
            </w:r>
          </w:p>
        </w:tc>
      </w:tr>
      <w:tr w:rsidR="009C292B" w14:paraId="0BFCA0FE"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05E0A3BE" w14:textId="77777777" w:rsidR="009C292B" w:rsidRDefault="009C292B" w:rsidP="00173C90">
            <w:r>
              <w:t>3</w:t>
            </w:r>
          </w:p>
        </w:tc>
        <w:tc>
          <w:tcPr>
            <w:tcW w:w="1014" w:type="pct"/>
          </w:tcPr>
          <w:p w14:paraId="15F670C4"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Panel output</w:t>
            </w:r>
          </w:p>
        </w:tc>
        <w:tc>
          <w:tcPr>
            <w:tcW w:w="1207" w:type="pct"/>
          </w:tcPr>
          <w:p w14:paraId="2A50C048" w14:textId="77777777" w:rsidR="009C292B" w:rsidRDefault="009C292B" w:rsidP="00173C90">
            <w:pPr>
              <w:cnfStyle w:val="000000000000" w:firstRow="0" w:lastRow="0" w:firstColumn="0" w:lastColumn="0" w:oddVBand="0" w:evenVBand="0" w:oddHBand="0" w:evenHBand="0" w:firstRowFirstColumn="0" w:firstRowLastColumn="0" w:lastRowFirstColumn="0" w:lastRowLastColumn="0"/>
            </w:pPr>
            <w:r>
              <w:t>chr_panel.csv is the single data source for Parts 1, 2, and 3</w:t>
            </w:r>
          </w:p>
        </w:tc>
        <w:tc>
          <w:tcPr>
            <w:tcW w:w="2384" w:type="pct"/>
          </w:tcPr>
          <w:p w14:paraId="76ED6305" w14:textId="4C52A112" w:rsidR="009C292B" w:rsidRDefault="009C292B" w:rsidP="00173C90">
            <w:pPr>
              <w:cnfStyle w:val="000000000000" w:firstRow="0" w:lastRow="0" w:firstColumn="0" w:lastColumn="0" w:oddVBand="0" w:evenVBand="0" w:oddHBand="0" w:evenHBand="0" w:firstRowFirstColumn="0" w:firstRowLastColumn="0" w:lastRowFirstColumn="0" w:lastRowLastColumn="0"/>
            </w:pPr>
            <w:r>
              <w:t>Centralizing all filtering, FIPS harmonization, column standardization, and measurement-year joining into one panel file ensures reproducibility across all subsequent notebooks.</w:t>
            </w:r>
          </w:p>
        </w:tc>
      </w:tr>
      <w:tr w:rsidR="00FA1E78" w14:paraId="29BFC1DB"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hideMark/>
          </w:tcPr>
          <w:p w14:paraId="02821436" w14:textId="77777777" w:rsidR="00FA1E78" w:rsidRPr="00FA1E78" w:rsidRDefault="00FA1E78">
            <w:r w:rsidRPr="00FA1E78">
              <w:t>4</w:t>
            </w:r>
          </w:p>
        </w:tc>
        <w:tc>
          <w:tcPr>
            <w:tcW w:w="1014" w:type="pct"/>
            <w:hideMark/>
          </w:tcPr>
          <w:p w14:paraId="534E0A12" w14:textId="77777777" w:rsidR="00FA1E78" w:rsidRPr="00FA1E78" w:rsidRDefault="00FA1E78">
            <w:pPr>
              <w:cnfStyle w:val="000000100000" w:firstRow="0" w:lastRow="0" w:firstColumn="0" w:lastColumn="0" w:oddVBand="0" w:evenVBand="0" w:oddHBand="1" w:evenHBand="0" w:firstRowFirstColumn="0" w:firstRowLastColumn="0" w:lastRowFirstColumn="0" w:lastRowLastColumn="0"/>
            </w:pPr>
            <w:r w:rsidRPr="00FA1E78">
              <w:t>Variable classification</w:t>
            </w:r>
          </w:p>
        </w:tc>
        <w:tc>
          <w:tcPr>
            <w:tcW w:w="1207" w:type="pct"/>
            <w:hideMark/>
          </w:tcPr>
          <w:p w14:paraId="73E5460E" w14:textId="77777777" w:rsidR="00FA1E78" w:rsidRPr="00FA1E78" w:rsidRDefault="00FA1E78">
            <w:pPr>
              <w:cnfStyle w:val="000000100000" w:firstRow="0" w:lastRow="0" w:firstColumn="0" w:lastColumn="0" w:oddVBand="0" w:evenVBand="0" w:oddHBand="1" w:evenHBand="0" w:firstRowFirstColumn="0" w:firstRowLastColumn="0" w:lastRowFirstColumn="0" w:lastRowLastColumn="0"/>
            </w:pPr>
            <w:r w:rsidRPr="00FA1E78">
              <w:t>Column-name aliases added for poverty_rate, child_poverty_rate, pct_black, and pct_aian; reclassified as Core</w:t>
            </w:r>
          </w:p>
        </w:tc>
        <w:tc>
          <w:tcPr>
            <w:tcW w:w="2384" w:type="pct"/>
            <w:hideMark/>
          </w:tcPr>
          <w:p w14:paraId="3DBD7F0C" w14:textId="77777777" w:rsidR="00FA1E78" w:rsidRPr="00FA1E78" w:rsidRDefault="00FA1E78">
            <w:pPr>
              <w:cnfStyle w:val="000000100000" w:firstRow="0" w:lastRow="0" w:firstColumn="0" w:lastColumn="0" w:oddVBand="0" w:evenVBand="0" w:oddHBand="1" w:evenHBand="0" w:firstRowFirstColumn="0" w:firstRowLastColumn="0" w:lastRowFirstColumn="0" w:lastRowLastColumn="0"/>
            </w:pPr>
            <w:r w:rsidRPr="00FA1E78">
              <w:t>These four variables are available in every CHR release year but appeared under different column names across releases. Adding alias entries to FEATURE_MAP (e.g., "% Non-Hispanic Black raw value" for pct_black, "Population below poverty line raw value" for poverty_rate) brings their missingness to Core levels. The panel was rebuilt and chr_panel.csv updated.</w:t>
            </w:r>
          </w:p>
        </w:tc>
      </w:tr>
      <w:tr w:rsidR="00FA1E78" w14:paraId="582F1076" w14:textId="77777777" w:rsidTr="00EE3063">
        <w:tc>
          <w:tcPr>
            <w:cnfStyle w:val="001000000000" w:firstRow="0" w:lastRow="0" w:firstColumn="1" w:lastColumn="0" w:oddVBand="0" w:evenVBand="0" w:oddHBand="0" w:evenHBand="0" w:firstRowFirstColumn="0" w:firstRowLastColumn="0" w:lastRowFirstColumn="0" w:lastRowLastColumn="0"/>
            <w:tcW w:w="395" w:type="pct"/>
            <w:hideMark/>
          </w:tcPr>
          <w:p w14:paraId="3C7CC7E0" w14:textId="77777777" w:rsidR="00FA1E78" w:rsidRPr="00FA1E78" w:rsidRDefault="00FA1E78">
            <w:r w:rsidRPr="00FA1E78">
              <w:t>4</w:t>
            </w:r>
          </w:p>
        </w:tc>
        <w:tc>
          <w:tcPr>
            <w:tcW w:w="1014" w:type="pct"/>
            <w:hideMark/>
          </w:tcPr>
          <w:p w14:paraId="1A0CA3A2" w14:textId="77777777" w:rsidR="00FA1E78" w:rsidRPr="00FA1E78" w:rsidRDefault="00FA1E78">
            <w:pPr>
              <w:cnfStyle w:val="000000000000" w:firstRow="0" w:lastRow="0" w:firstColumn="0" w:lastColumn="0" w:oddVBand="0" w:evenVBand="0" w:oddHBand="0" w:evenHBand="0" w:firstRowFirstColumn="0" w:firstRowLastColumn="0" w:lastRowFirstColumn="0" w:lastRowLastColumn="0"/>
            </w:pPr>
            <w:r w:rsidRPr="00FA1E78">
              <w:t>Variable classification</w:t>
            </w:r>
          </w:p>
        </w:tc>
        <w:tc>
          <w:tcPr>
            <w:tcW w:w="1207" w:type="pct"/>
            <w:hideMark/>
          </w:tcPr>
          <w:p w14:paraId="71EE4DB9" w14:textId="77777777" w:rsidR="00FA1E78" w:rsidRPr="00FA1E78" w:rsidRDefault="00FA1E78">
            <w:pPr>
              <w:cnfStyle w:val="000000000000" w:firstRow="0" w:lastRow="0" w:firstColumn="0" w:lastColumn="0" w:oddVBand="0" w:evenVBand="0" w:oddHBand="0" w:evenHBand="0" w:firstRowFirstColumn="0" w:firstRowLastColumn="0" w:lastRowFirstColumn="0" w:lastRowLastColumn="0"/>
            </w:pPr>
            <w:r w:rsidRPr="00FA1E78">
              <w:t>income_inequality, pct_white, and severe_housing_rate confirmed as genuinely Sparse for 2011-2014 window</w:t>
            </w:r>
          </w:p>
        </w:tc>
        <w:tc>
          <w:tcPr>
            <w:tcW w:w="2384" w:type="pct"/>
            <w:hideMark/>
          </w:tcPr>
          <w:p w14:paraId="5E28A42C" w14:textId="77777777" w:rsidR="00FA1E78" w:rsidRPr="00FA1E78" w:rsidRDefault="00FA1E78">
            <w:pPr>
              <w:cnfStyle w:val="000000000000" w:firstRow="0" w:lastRow="0" w:firstColumn="0" w:lastColumn="0" w:oddVBand="0" w:evenVBand="0" w:oddHBand="0" w:evenHBand="0" w:firstRowFirstColumn="0" w:firstRowLastColumn="0" w:lastRowFirstColumn="0" w:lastRowLastColumn="0"/>
            </w:pPr>
            <w:r w:rsidRPr="00FA1E78">
              <w:t>CHR did not back-fill these measures for earlier releases. income_inequality is absent in release years 2011-2014; pct_white is absent in 2011-2012; severe_housing_rate is absent in 2011-2013. These gaps are irreversible without an external data source and are documented as real structural missingness.</w:t>
            </w:r>
          </w:p>
        </w:tc>
      </w:tr>
      <w:tr w:rsidR="00FA1E78" w14:paraId="3A5429CD"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hideMark/>
          </w:tcPr>
          <w:p w14:paraId="20976EF6" w14:textId="77777777" w:rsidR="00FA1E78" w:rsidRPr="00FA1E78" w:rsidRDefault="00FA1E78">
            <w:r w:rsidRPr="00FA1E78">
              <w:t>4</w:t>
            </w:r>
          </w:p>
        </w:tc>
        <w:tc>
          <w:tcPr>
            <w:tcW w:w="1014" w:type="pct"/>
            <w:hideMark/>
          </w:tcPr>
          <w:p w14:paraId="6C88A303" w14:textId="77777777" w:rsidR="00FA1E78" w:rsidRPr="00FA1E78" w:rsidRDefault="00FA1E78">
            <w:pPr>
              <w:cnfStyle w:val="000000100000" w:firstRow="0" w:lastRow="0" w:firstColumn="0" w:lastColumn="0" w:oddVBand="0" w:evenVBand="0" w:oddHBand="1" w:evenHBand="0" w:firstRowFirstColumn="0" w:firstRowLastColumn="0" w:lastRowFirstColumn="0" w:lastRowLastColumn="0"/>
            </w:pPr>
            <w:r w:rsidRPr="00FA1E78">
              <w:t>Modeling window</w:t>
            </w:r>
          </w:p>
        </w:tc>
        <w:tc>
          <w:tcPr>
            <w:tcW w:w="1207" w:type="pct"/>
            <w:hideMark/>
          </w:tcPr>
          <w:p w14:paraId="50E2AD83" w14:textId="77777777" w:rsidR="00FA1E78" w:rsidRPr="00FA1E78" w:rsidRDefault="00FA1E78">
            <w:pPr>
              <w:cnfStyle w:val="000000100000" w:firstRow="0" w:lastRow="0" w:firstColumn="0" w:lastColumn="0" w:oddVBand="0" w:evenVBand="0" w:oddHBand="1" w:evenHBand="0" w:firstRowFirstColumn="0" w:firstRowLastColumn="0" w:lastRowFirstColumn="0" w:lastRowLastColumn="0"/>
            </w:pPr>
            <w:r w:rsidRPr="00FA1E78">
              <w:t>Part 2 modeling window set to 2015-2025 (release years)</w:t>
            </w:r>
          </w:p>
        </w:tc>
        <w:tc>
          <w:tcPr>
            <w:tcW w:w="2384" w:type="pct"/>
            <w:hideMark/>
          </w:tcPr>
          <w:p w14:paraId="23276B82" w14:textId="77777777" w:rsidR="00FA1E78" w:rsidRPr="00FA1E78" w:rsidRDefault="00FA1E78">
            <w:pPr>
              <w:cnfStyle w:val="000000100000" w:firstRow="0" w:lastRow="0" w:firstColumn="0" w:lastColumn="0" w:oddVBand="0" w:evenVBand="0" w:oddHBand="1" w:evenHBand="0" w:firstRowFirstColumn="0" w:firstRowLastColumn="0" w:lastRowFirstColumn="0" w:lastRowLastColumn="0"/>
            </w:pPr>
            <w:r w:rsidRPr="00FA1E78">
              <w:t xml:space="preserve">All Core predictors are fully populated from release year 2015 onward. Using 2015-2025 eliminates the need to handle structural missingness in income_inequality, pct_white, and severe_housing_rate for the panel </w:t>
            </w:r>
            <w:r w:rsidRPr="00FA1E78">
              <w:lastRenderedPageBreak/>
              <w:t>regression. The descriptive analysis uses the full 2012-2025 panel.</w:t>
            </w:r>
          </w:p>
        </w:tc>
      </w:tr>
      <w:tr w:rsidR="00FA1E78" w14:paraId="2963B66F" w14:textId="77777777" w:rsidTr="00EE3063">
        <w:tc>
          <w:tcPr>
            <w:cnfStyle w:val="001000000000" w:firstRow="0" w:lastRow="0" w:firstColumn="1" w:lastColumn="0" w:oddVBand="0" w:evenVBand="0" w:oddHBand="0" w:evenHBand="0" w:firstRowFirstColumn="0" w:firstRowLastColumn="0" w:lastRowFirstColumn="0" w:lastRowLastColumn="0"/>
            <w:tcW w:w="395" w:type="pct"/>
            <w:hideMark/>
          </w:tcPr>
          <w:p w14:paraId="49D47391" w14:textId="77777777" w:rsidR="00FA1E78" w:rsidRPr="00FA1E78" w:rsidRDefault="00FA1E78">
            <w:r w:rsidRPr="00FA1E78">
              <w:lastRenderedPageBreak/>
              <w:t>4</w:t>
            </w:r>
          </w:p>
        </w:tc>
        <w:tc>
          <w:tcPr>
            <w:tcW w:w="1014" w:type="pct"/>
            <w:hideMark/>
          </w:tcPr>
          <w:p w14:paraId="76625033" w14:textId="77777777" w:rsidR="00FA1E78" w:rsidRPr="00FA1E78" w:rsidRDefault="00FA1E78">
            <w:pPr>
              <w:cnfStyle w:val="000000000000" w:firstRow="0" w:lastRow="0" w:firstColumn="0" w:lastColumn="0" w:oddVBand="0" w:evenVBand="0" w:oddHBand="0" w:evenHBand="0" w:firstRowFirstColumn="0" w:firstRowLastColumn="0" w:lastRowFirstColumn="0" w:lastRowLastColumn="0"/>
            </w:pPr>
            <w:r w:rsidRPr="00FA1E78">
              <w:t>Extension design</w:t>
            </w:r>
          </w:p>
        </w:tc>
        <w:tc>
          <w:tcPr>
            <w:tcW w:w="1207" w:type="pct"/>
            <w:hideMark/>
          </w:tcPr>
          <w:p w14:paraId="34AB9C27" w14:textId="77777777" w:rsidR="00FA1E78" w:rsidRPr="00FA1E78" w:rsidRDefault="00FA1E78">
            <w:pPr>
              <w:cnfStyle w:val="000000000000" w:firstRow="0" w:lastRow="0" w:firstColumn="0" w:lastColumn="0" w:oddVBand="0" w:evenVBand="0" w:oddHBand="0" w:evenHBand="0" w:firstRowFirstColumn="0" w:firstRowLastColumn="0" w:lastRowFirstColumn="0" w:lastRowLastColumn="0"/>
            </w:pPr>
            <w:r w:rsidRPr="00FA1E78">
              <w:t>Medicaid expansion comparison uses population-weighted group means with binary expansion status from Kaiser Family Foundation tracker</w:t>
            </w:r>
          </w:p>
        </w:tc>
        <w:tc>
          <w:tcPr>
            <w:tcW w:w="2384" w:type="pct"/>
            <w:hideMark/>
          </w:tcPr>
          <w:p w14:paraId="3692661A" w14:textId="77777777" w:rsidR="00FA1E78" w:rsidRPr="00FA1E78" w:rsidRDefault="00FA1E78">
            <w:pPr>
              <w:cnfStyle w:val="000000000000" w:firstRow="0" w:lastRow="0" w:firstColumn="0" w:lastColumn="0" w:oddVBand="0" w:evenVBand="0" w:oddHBand="0" w:evenHBand="0" w:firstRowFirstColumn="0" w:firstRowLastColumn="0" w:lastRowFirstColumn="0" w:lastRowLastColumn="0"/>
            </w:pPr>
            <w:r w:rsidRPr="00FA1E78">
              <w:t>Weighting by county population ensures that large counties contribute proportionally to the group trend. Binary expansion status (0/1) is derived from the KFF Medicaid expansion tracker. The comparison is explicitly descriptive and not interpreted causally, given systematic differences between expansion and non-expansion states. A formal event-time analysis using two-way fixed effects is deferred to Part 2.</w:t>
            </w:r>
          </w:p>
        </w:tc>
      </w:tr>
      <w:tr w:rsidR="00980360" w14:paraId="03551497"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18EF62AE" w14:textId="72039E06" w:rsidR="00980360" w:rsidRPr="00FA1E78" w:rsidRDefault="00980360">
            <w:r>
              <w:t>4</w:t>
            </w:r>
          </w:p>
        </w:tc>
        <w:tc>
          <w:tcPr>
            <w:tcW w:w="1014" w:type="pct"/>
          </w:tcPr>
          <w:p w14:paraId="32A97A63" w14:textId="1D659CB6" w:rsidR="00980360" w:rsidRPr="00FA1E78" w:rsidRDefault="00980360">
            <w:pPr>
              <w:cnfStyle w:val="000000100000" w:firstRow="0" w:lastRow="0" w:firstColumn="0" w:lastColumn="0" w:oddVBand="0" w:evenVBand="0" w:oddHBand="1" w:evenHBand="0" w:firstRowFirstColumn="0" w:firstRowLastColumn="0" w:lastRowFirstColumn="0" w:lastRowLastColumn="0"/>
            </w:pPr>
            <w:r>
              <w:t>Variable Classification</w:t>
            </w:r>
          </w:p>
        </w:tc>
        <w:tc>
          <w:tcPr>
            <w:tcW w:w="1207" w:type="pct"/>
          </w:tcPr>
          <w:p w14:paraId="2AC90541" w14:textId="5E744E4A" w:rsidR="00980360" w:rsidRPr="00FA1E78" w:rsidRDefault="00980360">
            <w:pPr>
              <w:cnfStyle w:val="000000100000" w:firstRow="0" w:lastRow="0" w:firstColumn="0" w:lastColumn="0" w:oddVBand="0" w:evenVBand="0" w:oddHBand="1" w:evenHBand="0" w:firstRowFirstColumn="0" w:firstRowLastColumn="0" w:lastRowFirstColumn="0" w:lastRowLastColumn="0"/>
            </w:pPr>
            <w:r>
              <w:t>poverty_rate removed from feature map</w:t>
            </w:r>
          </w:p>
        </w:tc>
        <w:tc>
          <w:tcPr>
            <w:tcW w:w="2384" w:type="pct"/>
          </w:tcPr>
          <w:p w14:paraId="7CDB478E" w14:textId="2B8A46F5" w:rsidR="00980360" w:rsidRPr="00FA1E78" w:rsidRDefault="001B31B8">
            <w:pPr>
              <w:cnfStyle w:val="000000100000" w:firstRow="0" w:lastRow="0" w:firstColumn="0" w:lastColumn="0" w:oddVBand="0" w:evenVBand="0" w:oddHBand="1" w:evenHBand="0" w:firstRowFirstColumn="0" w:firstRowLastColumn="0" w:lastRowFirstColumn="0" w:lastRowLastColumn="0"/>
            </w:pPr>
            <w:r w:rsidRPr="001B31B8">
              <w:t xml:space="preserve">poverty_rate (v118_rawvalue) </w:t>
            </w:r>
            <w:r w:rsidR="00BF3849" w:rsidRPr="00BF3849">
              <w:t>was removed from the feature set after diagnostics confirmed it is populated exclusively for Wisconsin counties in the CHR files and is not a national county-level measure. Child poverty rate (v024_rawvalue) is retained as the poverty proxy and is Core-level across all 14 primary years.</w:t>
            </w:r>
          </w:p>
        </w:tc>
      </w:tr>
      <w:tr w:rsidR="00B91DA8" w14:paraId="1AA65E7C"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1C709900" w14:textId="3898FDF6" w:rsidR="00B91DA8" w:rsidRDefault="00B91DA8" w:rsidP="00B91DA8">
            <w:r>
              <w:rPr>
                <w:rFonts w:ascii="Calibri" w:eastAsia="Calibri" w:hAnsi="Calibri" w:cs="Calibri"/>
              </w:rPr>
              <w:t>5</w:t>
            </w:r>
          </w:p>
        </w:tc>
        <w:tc>
          <w:tcPr>
            <w:tcW w:w="1014" w:type="pct"/>
          </w:tcPr>
          <w:p w14:paraId="26AA45B5" w14:textId="6053A47A" w:rsidR="00B91DA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Modeling window</w:t>
            </w:r>
          </w:p>
        </w:tc>
        <w:tc>
          <w:tcPr>
            <w:tcW w:w="1207" w:type="pct"/>
          </w:tcPr>
          <w:p w14:paraId="6D40E6C6" w14:textId="03D9BB8F" w:rsidR="00B91DA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2015-2025 release years used for all baseline models</w:t>
            </w:r>
          </w:p>
        </w:tc>
        <w:tc>
          <w:tcPr>
            <w:tcW w:w="2384" w:type="pct"/>
          </w:tcPr>
          <w:p w14:paraId="6DE238B5" w14:textId="52FD0B41" w:rsidR="00B91DA8" w:rsidRPr="001B31B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All 17 core features fully populated from 2015 onward; 2012-2014 excluded due to partial availability of income_inequality, severe_housing_rate, and pct_white</w:t>
            </w:r>
          </w:p>
        </w:tc>
      </w:tr>
      <w:tr w:rsidR="00B91DA8" w14:paraId="2A597343"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42769DA7" w14:textId="50A5A031" w:rsidR="00B91DA8" w:rsidRDefault="00B91DA8" w:rsidP="00B91DA8">
            <w:r>
              <w:rPr>
                <w:rFonts w:ascii="Calibri" w:eastAsia="Calibri" w:hAnsi="Calibri" w:cs="Calibri"/>
              </w:rPr>
              <w:t>5</w:t>
            </w:r>
          </w:p>
        </w:tc>
        <w:tc>
          <w:tcPr>
            <w:tcW w:w="1014" w:type="pct"/>
          </w:tcPr>
          <w:p w14:paraId="5B8AE7DC" w14:textId="7CFF60FF" w:rsidR="00B91DA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Missing-row handling</w:t>
            </w:r>
          </w:p>
        </w:tc>
        <w:tc>
          <w:tcPr>
            <w:tcW w:w="1207" w:type="pct"/>
          </w:tcPr>
          <w:p w14:paraId="7AEDCBBE" w14:textId="6C3917BC" w:rsidR="00B91DA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Rows missing any feature or outcome dropped before modeling (listwise deletion)</w:t>
            </w:r>
          </w:p>
        </w:tc>
        <w:tc>
          <w:tcPr>
            <w:tcW w:w="2384" w:type="pct"/>
          </w:tcPr>
          <w:p w14:paraId="0FAE3CA6" w14:textId="6550864C" w:rsidR="00B91DA8" w:rsidRPr="001B31B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28,932 clean observations remain from 34,474 in the window; no imputation applied at this stage</w:t>
            </w:r>
          </w:p>
        </w:tc>
      </w:tr>
      <w:tr w:rsidR="00B91DA8" w14:paraId="72AD0327"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1E3C74D6" w14:textId="5D3D0D51" w:rsidR="00B91DA8" w:rsidRDefault="00B91DA8" w:rsidP="00B91DA8">
            <w:r>
              <w:rPr>
                <w:rFonts w:ascii="Calibri" w:eastAsia="Calibri" w:hAnsi="Calibri" w:cs="Calibri"/>
              </w:rPr>
              <w:t>5</w:t>
            </w:r>
          </w:p>
        </w:tc>
        <w:tc>
          <w:tcPr>
            <w:tcW w:w="1014" w:type="pct"/>
          </w:tcPr>
          <w:p w14:paraId="105B0AF1" w14:textId="0A34B1FF" w:rsidR="00B91DA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OLS year dummies</w:t>
            </w:r>
          </w:p>
        </w:tc>
        <w:tc>
          <w:tcPr>
            <w:tcW w:w="1207" w:type="pct"/>
          </w:tcPr>
          <w:p w14:paraId="0FBF6C53" w14:textId="229D47C0" w:rsidR="00B91DA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Year dummies included in pooled OLS design matrix</w:t>
            </w:r>
          </w:p>
        </w:tc>
        <w:tc>
          <w:tcPr>
            <w:tcW w:w="2384" w:type="pct"/>
          </w:tcPr>
          <w:p w14:paraId="3DAB60CA" w14:textId="06D64880" w:rsidR="00B91DA8" w:rsidRPr="001B31B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Absorbs national ACA time trend; prevents trend from inflating feature coefficients; open question submitted to professor on whether to retain for final memo</w:t>
            </w:r>
          </w:p>
        </w:tc>
      </w:tr>
      <w:tr w:rsidR="00B91DA8" w14:paraId="0E0F3677"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489ECFB8" w14:textId="65A80F5E" w:rsidR="00B91DA8" w:rsidRDefault="00B91DA8" w:rsidP="00B91DA8">
            <w:r>
              <w:rPr>
                <w:rFonts w:ascii="Calibri" w:eastAsia="Calibri" w:hAnsi="Calibri" w:cs="Calibri"/>
              </w:rPr>
              <w:t>5</w:t>
            </w:r>
          </w:p>
        </w:tc>
        <w:tc>
          <w:tcPr>
            <w:tcW w:w="1014" w:type="pct"/>
          </w:tcPr>
          <w:p w14:paraId="0F939B6A" w14:textId="7B62842D" w:rsidR="00B91DA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Ridge standardisation</w:t>
            </w:r>
          </w:p>
        </w:tc>
        <w:tc>
          <w:tcPr>
            <w:tcW w:w="1207" w:type="pct"/>
          </w:tcPr>
          <w:p w14:paraId="2CBDF59E" w14:textId="0D75BC4B" w:rsidR="00B91DA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Standardise core features only; append year dummies unscaled before RidgeCV</w:t>
            </w:r>
          </w:p>
        </w:tc>
        <w:tc>
          <w:tcPr>
            <w:tcW w:w="2384" w:type="pct"/>
          </w:tcPr>
          <w:p w14:paraId="0E848C83" w14:textId="78C54C27" w:rsidR="00B91DA8" w:rsidRPr="001B31B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Ensures L2 penalty applies on a common scale across features without penalising time indicators</w:t>
            </w:r>
          </w:p>
        </w:tc>
      </w:tr>
      <w:tr w:rsidR="00B91DA8" w14:paraId="2F997825"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7F0C18E5" w14:textId="44077C3D" w:rsidR="00B91DA8" w:rsidRDefault="00B91DA8" w:rsidP="00B91DA8">
            <w:r>
              <w:rPr>
                <w:rFonts w:ascii="Calibri" w:eastAsia="Calibri" w:hAnsi="Calibri" w:cs="Calibri"/>
              </w:rPr>
              <w:t>5</w:t>
            </w:r>
          </w:p>
        </w:tc>
        <w:tc>
          <w:tcPr>
            <w:tcW w:w="1014" w:type="pct"/>
          </w:tcPr>
          <w:p w14:paraId="0E23FE3C" w14:textId="6E36049A" w:rsidR="00B91DA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Lasso result</w:t>
            </w:r>
          </w:p>
        </w:tc>
        <w:tc>
          <w:tcPr>
            <w:tcW w:w="1207" w:type="pct"/>
          </w:tcPr>
          <w:p w14:paraId="15DCECC9" w14:textId="295B7CFC" w:rsidR="00B91DA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8 of 17 features zeroed at cross-validated alpha of 0.002</w:t>
            </w:r>
          </w:p>
        </w:tc>
        <w:tc>
          <w:tcPr>
            <w:tcW w:w="2384" w:type="pct"/>
          </w:tcPr>
          <w:p w14:paraId="57749C35" w14:textId="35D69EE6" w:rsidR="00B91DA8" w:rsidRPr="001B31B8" w:rsidRDefault="00B91DA8" w:rsidP="00B91DA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Zeroed: income_inequality, unemployment_rate, hs_graduation_rate, single_parent_rate, pct_65plus, pct_black, pct_asian, population. Active set of 9 forms the prioritised Part 2 feature set</w:t>
            </w:r>
          </w:p>
        </w:tc>
      </w:tr>
      <w:tr w:rsidR="00B91DA8" w14:paraId="48D0EA0D"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1CC7EEA" w14:textId="059A9EBF" w:rsidR="00B91DA8" w:rsidRDefault="00B91DA8" w:rsidP="00B91DA8">
            <w:r>
              <w:rPr>
                <w:rFonts w:ascii="Calibri" w:eastAsia="Calibri" w:hAnsi="Calibri" w:cs="Calibri"/>
              </w:rPr>
              <w:t>5</w:t>
            </w:r>
          </w:p>
        </w:tc>
        <w:tc>
          <w:tcPr>
            <w:tcW w:w="1014" w:type="pct"/>
          </w:tcPr>
          <w:p w14:paraId="3D2DABC1" w14:textId="17C8B9EA" w:rsidR="00B91DA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hs_graduation_rate</w:t>
            </w:r>
          </w:p>
        </w:tc>
        <w:tc>
          <w:tcPr>
            <w:tcW w:w="1207" w:type="pct"/>
          </w:tcPr>
          <w:p w14:paraId="1C22CF4D" w14:textId="0A910626" w:rsidR="00B91DA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Retain despite lasso zero based on RF importance rank of 8</w:t>
            </w:r>
          </w:p>
        </w:tc>
        <w:tc>
          <w:tcPr>
            <w:tcW w:w="2384" w:type="pct"/>
          </w:tcPr>
          <w:p w14:paraId="7E777BAF" w14:textId="78A5A5DC" w:rsidR="00B91DA8" w:rsidRPr="001B31B8" w:rsidRDefault="00B91DA8" w:rsidP="00B91DA8">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rPr>
              <w:t>Lasso absorbs signal into some_college_rate; random forest finds nonlinear value independently; keeping avoids discarding a theoretically important predictor</w:t>
            </w:r>
          </w:p>
        </w:tc>
      </w:tr>
      <w:tr w:rsidR="00B91DA8" w14:paraId="10E022A5"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336D5F9C" w14:textId="019DD715" w:rsidR="00B91DA8" w:rsidRDefault="00B91DA8" w:rsidP="00B91DA8">
            <w:pPr>
              <w:rPr>
                <w:rFonts w:ascii="Calibri" w:eastAsia="Calibri" w:hAnsi="Calibri" w:cs="Calibri"/>
              </w:rPr>
            </w:pPr>
            <w:r>
              <w:rPr>
                <w:rFonts w:ascii="Calibri" w:eastAsia="Calibri" w:hAnsi="Calibri" w:cs="Calibri"/>
              </w:rPr>
              <w:t>5</w:t>
            </w:r>
          </w:p>
        </w:tc>
        <w:tc>
          <w:tcPr>
            <w:tcW w:w="1014" w:type="pct"/>
          </w:tcPr>
          <w:p w14:paraId="05F9AA1C" w14:textId="1F50EA84" w:rsidR="00B91DA8" w:rsidRDefault="00B91DA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unemployment_rate</w:t>
            </w:r>
          </w:p>
        </w:tc>
        <w:tc>
          <w:tcPr>
            <w:tcW w:w="1207" w:type="pct"/>
          </w:tcPr>
          <w:p w14:paraId="55FF9DC2" w14:textId="7E419208" w:rsidR="00B91DA8" w:rsidRDefault="00B91DA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Retain despite lasso zero for Part 2 fixed-effects model</w:t>
            </w:r>
          </w:p>
        </w:tc>
        <w:tc>
          <w:tcPr>
            <w:tcW w:w="2384" w:type="pct"/>
          </w:tcPr>
          <w:p w14:paraId="4A53EE0C" w14:textId="348C3E92" w:rsidR="00B91DA8" w:rsidRDefault="00B91DA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Week 4 confirmed divergence between pooled and cross-sectional correlation; lasso correctly identifies as redundant in pooled cross-section; Part 2 FE expected to recover within-county signal</w:t>
            </w:r>
          </w:p>
        </w:tc>
      </w:tr>
      <w:tr w:rsidR="00B91DA8" w14:paraId="3E807398"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3646EBF4" w14:textId="60DF5912" w:rsidR="00B91DA8" w:rsidRDefault="00B91DA8" w:rsidP="00B91DA8">
            <w:pPr>
              <w:rPr>
                <w:rFonts w:ascii="Calibri" w:eastAsia="Calibri" w:hAnsi="Calibri" w:cs="Calibri"/>
              </w:rPr>
            </w:pPr>
            <w:r>
              <w:rPr>
                <w:rFonts w:ascii="Calibri" w:eastAsia="Calibri" w:hAnsi="Calibri" w:cs="Calibri"/>
              </w:rPr>
              <w:t>5</w:t>
            </w:r>
          </w:p>
        </w:tc>
        <w:tc>
          <w:tcPr>
            <w:tcW w:w="1014" w:type="pct"/>
          </w:tcPr>
          <w:p w14:paraId="59D6C3C9" w14:textId="7368F2FC" w:rsidR="00B91DA8" w:rsidRDefault="00B91DA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Nonlinearity finding</w:t>
            </w:r>
          </w:p>
        </w:tc>
        <w:tc>
          <w:tcPr>
            <w:tcW w:w="1207" w:type="pct"/>
          </w:tcPr>
          <w:p w14:paraId="1F21CF30" w14:textId="1C3E9985" w:rsidR="00B91DA8" w:rsidRDefault="00B91DA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Random forest CV R-squared of 0.783 vs OLS 0.616; gap of approximately 0.17</w:t>
            </w:r>
          </w:p>
        </w:tc>
        <w:tc>
          <w:tcPr>
            <w:tcW w:w="2384" w:type="pct"/>
          </w:tcPr>
          <w:p w14:paraId="6F161DC1" w14:textId="2894536B" w:rsidR="00B91DA8" w:rsidRDefault="00B91DA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Confirms meaningful nonlinearity but gap is not extreme; two-way fixed effects in Part 2 expected to capture most structure without requiring nonlinear panel methods</w:t>
            </w:r>
          </w:p>
        </w:tc>
      </w:tr>
      <w:tr w:rsidR="00B91DA8" w14:paraId="26FF7B26"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18619934" w14:textId="32241960" w:rsidR="00B91DA8" w:rsidRDefault="00B91DA8" w:rsidP="00B91DA8">
            <w:pPr>
              <w:rPr>
                <w:rFonts w:ascii="Calibri" w:eastAsia="Calibri" w:hAnsi="Calibri" w:cs="Calibri"/>
              </w:rPr>
            </w:pPr>
            <w:r>
              <w:rPr>
                <w:rFonts w:ascii="Calibri" w:eastAsia="Calibri" w:hAnsi="Calibri" w:cs="Calibri"/>
              </w:rPr>
              <w:lastRenderedPageBreak/>
              <w:t>5</w:t>
            </w:r>
          </w:p>
        </w:tc>
        <w:tc>
          <w:tcPr>
            <w:tcW w:w="1014" w:type="pct"/>
          </w:tcPr>
          <w:p w14:paraId="733F0D12" w14:textId="2DEE5709" w:rsidR="00B91DA8" w:rsidRDefault="00B91DA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population decision</w:t>
            </w:r>
          </w:p>
        </w:tc>
        <w:tc>
          <w:tcPr>
            <w:tcW w:w="1207" w:type="pct"/>
          </w:tcPr>
          <w:p w14:paraId="54E559AF" w14:textId="2B8DC1F9" w:rsidR="00B91DA8" w:rsidRDefault="00B91DA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population flagged for drop or control-only use in Part 2</w:t>
            </w:r>
          </w:p>
        </w:tc>
        <w:tc>
          <w:tcPr>
            <w:tcW w:w="2384" w:type="pct"/>
          </w:tcPr>
          <w:p w14:paraId="7DAE6902" w14:textId="78572ECB" w:rsidR="00B91DA8" w:rsidRDefault="00B91DA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Lasso-inactive, RF rank 14 of 17; no consistent signal across any baseline model</w:t>
            </w:r>
          </w:p>
        </w:tc>
      </w:tr>
      <w:tr w:rsidR="00B91DA8" w14:paraId="3C43999E"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8D9A03D" w14:textId="086924B5" w:rsidR="00B91DA8" w:rsidRDefault="00B91DA8" w:rsidP="00B91DA8">
            <w:pPr>
              <w:rPr>
                <w:rFonts w:ascii="Calibri" w:eastAsia="Calibri" w:hAnsi="Calibri" w:cs="Calibri"/>
              </w:rPr>
            </w:pPr>
            <w:r>
              <w:rPr>
                <w:rFonts w:ascii="Calibri" w:eastAsia="Calibri" w:hAnsi="Calibri" w:cs="Calibri"/>
              </w:rPr>
              <w:t>5</w:t>
            </w:r>
          </w:p>
        </w:tc>
        <w:tc>
          <w:tcPr>
            <w:tcW w:w="1014" w:type="pct"/>
          </w:tcPr>
          <w:p w14:paraId="3FE50366" w14:textId="44B1F338" w:rsidR="00B91DA8" w:rsidRDefault="00B91DA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single_parent_rate</w:t>
            </w:r>
          </w:p>
        </w:tc>
        <w:tc>
          <w:tcPr>
            <w:tcW w:w="1207" w:type="pct"/>
          </w:tcPr>
          <w:p w14:paraId="4FC04595" w14:textId="79CC7F69" w:rsidR="00B91DA8" w:rsidRDefault="00B91DA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single_parent_rate flagged for exclusion from Part 2</w:t>
            </w:r>
          </w:p>
        </w:tc>
        <w:tc>
          <w:tcPr>
            <w:tcW w:w="2384" w:type="pct"/>
          </w:tcPr>
          <w:p w14:paraId="1E3A43B1" w14:textId="3540D7B5" w:rsidR="00B91DA8" w:rsidRDefault="00B91DA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Lasso-inactive, RF rank 17 of 17; signal fully absorbed by poverty and income measures across all three model types</w:t>
            </w:r>
          </w:p>
        </w:tc>
      </w:tr>
      <w:tr w:rsidR="004E6F04" w14:paraId="31BEF0C7"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66D710D9" w14:textId="116574F4" w:rsidR="004E6F04" w:rsidRDefault="004E6F04" w:rsidP="00B91DA8">
            <w:pPr>
              <w:rPr>
                <w:rFonts w:ascii="Calibri" w:eastAsia="Calibri" w:hAnsi="Calibri" w:cs="Calibri"/>
              </w:rPr>
            </w:pPr>
            <w:r>
              <w:rPr>
                <w:rFonts w:ascii="Calibri" w:eastAsia="Calibri" w:hAnsi="Calibri" w:cs="Calibri"/>
              </w:rPr>
              <w:t>6</w:t>
            </w:r>
          </w:p>
        </w:tc>
        <w:tc>
          <w:tcPr>
            <w:tcW w:w="1014" w:type="pct"/>
          </w:tcPr>
          <w:p w14:paraId="63AE44C6" w14:textId="67DD901C" w:rsidR="004E6F04" w:rsidRDefault="008D0C4E" w:rsidP="0025629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8D0C4E">
              <w:rPr>
                <w:rFonts w:ascii="Calibri" w:eastAsia="Calibri" w:hAnsi="Calibri" w:cs="Calibri"/>
              </w:rPr>
              <w:t>Two-way FE model specification</w:t>
            </w:r>
          </w:p>
        </w:tc>
        <w:tc>
          <w:tcPr>
            <w:tcW w:w="1207" w:type="pct"/>
          </w:tcPr>
          <w:p w14:paraId="2F914802" w14:textId="60FD6BBB" w:rsidR="004E6F04" w:rsidRDefault="00256292"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t>Confirmed</w:t>
            </w:r>
            <w:r w:rsidR="001816C2">
              <w:t xml:space="preserve"> </w:t>
            </w:r>
            <w:r>
              <w:rPr>
                <w:rStyle w:val="HTMLCode"/>
                <w:rFonts w:eastAsia="Arial"/>
              </w:rPr>
              <w:t>unemployment_rate</w:t>
            </w:r>
            <w:r>
              <w:t xml:space="preserve"> sign reverses between pooled (negative, p&lt;0.001) and two-way FE (positive, p=0.030) specifications</w:t>
            </w:r>
          </w:p>
        </w:tc>
        <w:tc>
          <w:tcPr>
            <w:tcW w:w="2384" w:type="pct"/>
          </w:tcPr>
          <w:p w14:paraId="738433AA" w14:textId="5364EFE1" w:rsidR="004E6F04" w:rsidRDefault="0027510A"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t>Both estimates are statistically significant, so this is a genuine within- vs. between-county divergence, not noise. Flagging for professor discussion since the pooled sign is counterintuitive on its own (higher unemployment associated with lower uninsured rate across counties)</w:t>
            </w:r>
          </w:p>
        </w:tc>
      </w:tr>
      <w:tr w:rsidR="004E6F04" w14:paraId="0355E601"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1BCAA7D4" w14:textId="7C447E24" w:rsidR="004E6F04" w:rsidRDefault="004E6F04" w:rsidP="00B91DA8">
            <w:pPr>
              <w:rPr>
                <w:rFonts w:ascii="Calibri" w:eastAsia="Calibri" w:hAnsi="Calibri" w:cs="Calibri"/>
              </w:rPr>
            </w:pPr>
            <w:r>
              <w:rPr>
                <w:rFonts w:ascii="Calibri" w:eastAsia="Calibri" w:hAnsi="Calibri" w:cs="Calibri"/>
              </w:rPr>
              <w:t>6</w:t>
            </w:r>
          </w:p>
        </w:tc>
        <w:tc>
          <w:tcPr>
            <w:tcW w:w="1014" w:type="pct"/>
          </w:tcPr>
          <w:p w14:paraId="48952CB5" w14:textId="036EAD90" w:rsidR="004E6F04" w:rsidRDefault="008D0C4E"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8D0C4E">
              <w:rPr>
                <w:rFonts w:ascii="Calibri" w:eastAsia="Calibri" w:hAnsi="Calibri" w:cs="Calibri"/>
              </w:rPr>
              <w:t>Two-way FE model specification</w:t>
            </w:r>
          </w:p>
        </w:tc>
        <w:tc>
          <w:tcPr>
            <w:tcW w:w="1207" w:type="pct"/>
          </w:tcPr>
          <w:p w14:paraId="1DE0FA8A" w14:textId="518DF9A0" w:rsidR="001816C2" w:rsidRPr="001816C2" w:rsidRDefault="001816C2" w:rsidP="001816C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Style w:val="HTMLCode"/>
                <w:rFonts w:eastAsia="Arial"/>
              </w:rPr>
              <w:t>pct_65plus</w:t>
            </w:r>
            <w:r>
              <w:t xml:space="preserve"> moves from non-significant in pooled (p=0.267) to significant negative in two-way FE (p=0.0025)</w:t>
            </w:r>
          </w:p>
        </w:tc>
        <w:tc>
          <w:tcPr>
            <w:tcW w:w="2384" w:type="pct"/>
          </w:tcPr>
          <w:p w14:paraId="5AF8515B" w14:textId="70EF26B3" w:rsidR="004E6F04" w:rsidRDefault="0027510A"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27510A">
              <w:rPr>
                <w:rFonts w:ascii="Calibri" w:eastAsia="Calibri" w:hAnsi="Calibri" w:cs="Calibri"/>
              </w:rPr>
              <w:t>Counties aging in place show falling uninsured rates net of fixed county character and year trend; absent from the pooled estimate because that signal is masked by cross-county variation</w:t>
            </w:r>
          </w:p>
        </w:tc>
      </w:tr>
      <w:tr w:rsidR="008D0C4E" w14:paraId="48605ABA"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5D778CD7" w14:textId="33857AD8" w:rsidR="008D0C4E" w:rsidRDefault="008D0C4E" w:rsidP="00B91DA8">
            <w:pPr>
              <w:rPr>
                <w:rFonts w:ascii="Calibri" w:eastAsia="Calibri" w:hAnsi="Calibri" w:cs="Calibri"/>
              </w:rPr>
            </w:pPr>
            <w:r>
              <w:rPr>
                <w:rFonts w:ascii="Calibri" w:eastAsia="Calibri" w:hAnsi="Calibri" w:cs="Calibri"/>
              </w:rPr>
              <w:t>6</w:t>
            </w:r>
          </w:p>
        </w:tc>
        <w:tc>
          <w:tcPr>
            <w:tcW w:w="1014" w:type="pct"/>
          </w:tcPr>
          <w:p w14:paraId="4E630911" w14:textId="288A9FED" w:rsidR="008D0C4E" w:rsidRPr="008D0C4E" w:rsidRDefault="008D0C4E"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Predictor Reliability</w:t>
            </w:r>
          </w:p>
        </w:tc>
        <w:tc>
          <w:tcPr>
            <w:tcW w:w="1207" w:type="pct"/>
          </w:tcPr>
          <w:p w14:paraId="485FBFC5" w14:textId="4201134C" w:rsidR="008D0C4E" w:rsidRDefault="0027510A"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t>Race/ethnicity share predictors (</w:t>
            </w:r>
            <w:r>
              <w:rPr>
                <w:rStyle w:val="HTMLCode"/>
                <w:rFonts w:eastAsia="Arial"/>
              </w:rPr>
              <w:t>pct_black</w:t>
            </w:r>
            <w:r>
              <w:t xml:space="preserve">, </w:t>
            </w:r>
            <w:r>
              <w:rPr>
                <w:rStyle w:val="HTMLCode"/>
                <w:rFonts w:eastAsia="Arial"/>
              </w:rPr>
              <w:t>pct_aian</w:t>
            </w:r>
            <w:r>
              <w:t xml:space="preserve">, </w:t>
            </w:r>
            <w:r>
              <w:rPr>
                <w:rStyle w:val="HTMLCode"/>
                <w:rFonts w:eastAsia="Arial"/>
              </w:rPr>
              <w:t>pct_asian</w:t>
            </w:r>
            <w:r>
              <w:t xml:space="preserve">, </w:t>
            </w:r>
            <w:r>
              <w:rPr>
                <w:rStyle w:val="HTMLCode"/>
                <w:rFonts w:eastAsia="Arial"/>
              </w:rPr>
              <w:t>pct_hispanic</w:t>
            </w:r>
            <w:r>
              <w:t xml:space="preserve">, </w:t>
            </w:r>
            <w:r>
              <w:rPr>
                <w:rStyle w:val="HTMLCode"/>
                <w:rFonts w:eastAsia="Arial"/>
              </w:rPr>
              <w:t>pct_nh_white</w:t>
            </w:r>
            <w:r>
              <w:t>) show no significant relationship with uninsured rate in either pooled or two-way FE specification</w:t>
            </w:r>
          </w:p>
        </w:tc>
        <w:tc>
          <w:tcPr>
            <w:tcW w:w="2384" w:type="pct"/>
          </w:tcPr>
          <w:p w14:paraId="1C4CC64E" w14:textId="627D0891" w:rsidR="008D0C4E" w:rsidRDefault="0027510A"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27510A">
              <w:rPr>
                <w:rFonts w:ascii="Calibri" w:eastAsia="Calibri" w:hAnsi="Calibri" w:cs="Calibri"/>
              </w:rPr>
              <w:t>Limited within-county variation in racial composition over an 11-year window leaves wide confidence intervals once county fixed effects absorb the baseline; expected behavior given the FE design, not a specification problem</w:t>
            </w:r>
          </w:p>
        </w:tc>
      </w:tr>
      <w:tr w:rsidR="00EE3063" w14:paraId="13B66B18"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5E81F8B" w14:textId="4D8E09D6" w:rsidR="00EE3063" w:rsidRDefault="00EB5174" w:rsidP="00B91DA8">
            <w:pPr>
              <w:rPr>
                <w:rFonts w:ascii="Calibri" w:eastAsia="Calibri" w:hAnsi="Calibri" w:cs="Calibri"/>
              </w:rPr>
            </w:pPr>
            <w:r>
              <w:rPr>
                <w:rFonts w:ascii="Calibri" w:eastAsia="Calibri" w:hAnsi="Calibri" w:cs="Calibri"/>
              </w:rPr>
              <w:t>7</w:t>
            </w:r>
          </w:p>
        </w:tc>
        <w:tc>
          <w:tcPr>
            <w:tcW w:w="1014" w:type="pct"/>
          </w:tcPr>
          <w:p w14:paraId="550ED11D" w14:textId="157FA475" w:rsidR="00EE3063" w:rsidRDefault="00EB5174"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EB5174">
              <w:rPr>
                <w:rFonts w:ascii="Calibri" w:eastAsia="Calibri" w:hAnsi="Calibri" w:cs="Calibri"/>
              </w:rPr>
              <w:t>Diagnostics</w:t>
            </w:r>
          </w:p>
        </w:tc>
        <w:tc>
          <w:tcPr>
            <w:tcW w:w="1207" w:type="pct"/>
          </w:tcPr>
          <w:p w14:paraId="34793986" w14:textId="63152C06" w:rsidR="00EE3063" w:rsidRDefault="001251FA" w:rsidP="00B91DA8">
            <w:pPr>
              <w:cnfStyle w:val="000000100000" w:firstRow="0" w:lastRow="0" w:firstColumn="0" w:lastColumn="0" w:oddVBand="0" w:evenVBand="0" w:oddHBand="1" w:evenHBand="0" w:firstRowFirstColumn="0" w:firstRowLastColumn="0" w:lastRowFirstColumn="0" w:lastRowLastColumn="0"/>
            </w:pPr>
            <w:r w:rsidRPr="001251FA">
              <w:t>Added a within-county variation diagnostic (overall, between, and within standard deviation, plus the within/overall ratio) for all 13 Week 6 predictors</w:t>
            </w:r>
          </w:p>
        </w:tc>
        <w:tc>
          <w:tcPr>
            <w:tcW w:w="2384" w:type="pct"/>
          </w:tcPr>
          <w:p w14:paraId="29A0AA6A" w14:textId="112C8E6E" w:rsidR="00EE3063" w:rsidRPr="0027510A" w:rsidRDefault="001251FA"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1251FA">
              <w:rPr>
                <w:rFonts w:ascii="Calibri" w:eastAsia="Calibri" w:hAnsi="Calibri" w:cs="Calibri"/>
              </w:rPr>
              <w:t>Needed to tell apart predictors with a genuine null effect from predictors where the fixed-effects model simply doesn't have enough within-county movement to detect an effect</w:t>
            </w:r>
          </w:p>
        </w:tc>
      </w:tr>
      <w:tr w:rsidR="00EE3063" w14:paraId="2B2997F4"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6CED1E71" w14:textId="5D1C4197" w:rsidR="00EE3063" w:rsidRDefault="00EB5174" w:rsidP="00B91DA8">
            <w:pPr>
              <w:rPr>
                <w:rFonts w:ascii="Calibri" w:eastAsia="Calibri" w:hAnsi="Calibri" w:cs="Calibri"/>
              </w:rPr>
            </w:pPr>
            <w:r>
              <w:rPr>
                <w:rFonts w:ascii="Calibri" w:eastAsia="Calibri" w:hAnsi="Calibri" w:cs="Calibri"/>
              </w:rPr>
              <w:t>7</w:t>
            </w:r>
          </w:p>
        </w:tc>
        <w:tc>
          <w:tcPr>
            <w:tcW w:w="1014" w:type="pct"/>
          </w:tcPr>
          <w:p w14:paraId="5FB5C73D" w14:textId="6E7F78E4" w:rsidR="00EE3063" w:rsidRDefault="00EB5174"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B5174">
              <w:rPr>
                <w:rFonts w:ascii="Calibri" w:eastAsia="Calibri" w:hAnsi="Calibri" w:cs="Calibri"/>
              </w:rPr>
              <w:t>Diagnostics</w:t>
            </w:r>
          </w:p>
        </w:tc>
        <w:tc>
          <w:tcPr>
            <w:tcW w:w="1207" w:type="pct"/>
          </w:tcPr>
          <w:p w14:paraId="5BA96878" w14:textId="3CA5E9F0" w:rsidR="00EE3063" w:rsidRDefault="00D84F83" w:rsidP="00B91DA8">
            <w:pPr>
              <w:cnfStyle w:val="000000000000" w:firstRow="0" w:lastRow="0" w:firstColumn="0" w:lastColumn="0" w:oddVBand="0" w:evenVBand="0" w:oddHBand="0" w:evenHBand="0" w:firstRowFirstColumn="0" w:firstRowLastColumn="0" w:lastRowFirstColumn="0" w:lastRowLastColumn="0"/>
            </w:pPr>
            <w:r w:rsidRPr="00D84F83">
              <w:t>Ran a Mundlak test: added each predictor's county-level mean to a random-effects model and tested the mean terms jointly with a Wald test</w:t>
            </w:r>
          </w:p>
        </w:tc>
        <w:tc>
          <w:tcPr>
            <w:tcW w:w="2384" w:type="pct"/>
          </w:tcPr>
          <w:p w14:paraId="0D19A05C" w14:textId="1E5CC51F" w:rsidR="00EE3063" w:rsidRPr="0027510A" w:rsidRDefault="001251FA"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251FA">
              <w:rPr>
                <w:rFonts w:ascii="Calibri" w:eastAsia="Calibri" w:hAnsi="Calibri" w:cs="Calibri"/>
              </w:rPr>
              <w:t>Formally test whether the random-effects assumption holds, so the fixed-effects specification is backed by a statistical test rather than only the sign changes observed in Week 6</w:t>
            </w:r>
          </w:p>
        </w:tc>
      </w:tr>
      <w:tr w:rsidR="00EE3063" w14:paraId="60A6387F"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30584827" w14:textId="200D1872" w:rsidR="00EE3063" w:rsidRDefault="00EB5174" w:rsidP="00B91DA8">
            <w:pPr>
              <w:rPr>
                <w:rFonts w:ascii="Calibri" w:eastAsia="Calibri" w:hAnsi="Calibri" w:cs="Calibri"/>
              </w:rPr>
            </w:pPr>
            <w:r>
              <w:rPr>
                <w:rFonts w:ascii="Calibri" w:eastAsia="Calibri" w:hAnsi="Calibri" w:cs="Calibri"/>
              </w:rPr>
              <w:t>7</w:t>
            </w:r>
          </w:p>
        </w:tc>
        <w:tc>
          <w:tcPr>
            <w:tcW w:w="1014" w:type="pct"/>
          </w:tcPr>
          <w:p w14:paraId="45D4C075" w14:textId="4925569C" w:rsidR="00EE3063" w:rsidRDefault="00165381"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165381">
              <w:rPr>
                <w:rFonts w:ascii="Calibri" w:eastAsia="Calibri" w:hAnsi="Calibri" w:cs="Calibri"/>
              </w:rPr>
              <w:t>Model specification</w:t>
            </w:r>
          </w:p>
        </w:tc>
        <w:tc>
          <w:tcPr>
            <w:tcW w:w="1207" w:type="pct"/>
          </w:tcPr>
          <w:p w14:paraId="0DE81C80" w14:textId="64332CF7" w:rsidR="00EE3063" w:rsidRDefault="00D84F83" w:rsidP="00D84F83">
            <w:pPr>
              <w:cnfStyle w:val="000000100000" w:firstRow="0" w:lastRow="0" w:firstColumn="0" w:lastColumn="0" w:oddVBand="0" w:evenVBand="0" w:oddHBand="1" w:evenHBand="0" w:firstRowFirstColumn="0" w:firstRowLastColumn="0" w:lastRowFirstColumn="0" w:lastRowLastColumn="0"/>
            </w:pPr>
            <w:r w:rsidRPr="00D84F83">
              <w:t>Retained the two-way fixed-effects model from Week 6 as the primary Part 2 specification, no changes</w:t>
            </w:r>
          </w:p>
        </w:tc>
        <w:tc>
          <w:tcPr>
            <w:tcW w:w="2384" w:type="pct"/>
          </w:tcPr>
          <w:p w14:paraId="1C9A25BB" w14:textId="2FF97396" w:rsidR="00EE3063" w:rsidRPr="0027510A" w:rsidRDefault="00D84F83"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D84F83">
              <w:rPr>
                <w:rFonts w:ascii="Calibri" w:eastAsia="Calibri" w:hAnsi="Calibri" w:cs="Calibri"/>
              </w:rPr>
              <w:t>Mundlak test rejected the random-effects assumption (chi-squared = 44.44, 13 df, p &lt; 0.0001), confirming fixed effects is the appropriate choice</w:t>
            </w:r>
          </w:p>
        </w:tc>
      </w:tr>
      <w:tr w:rsidR="00EE3063" w14:paraId="601C8B52"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05CD76A0" w14:textId="316F980B" w:rsidR="00EE3063" w:rsidRDefault="00EB5174" w:rsidP="00B91DA8">
            <w:pPr>
              <w:rPr>
                <w:rFonts w:ascii="Calibri" w:eastAsia="Calibri" w:hAnsi="Calibri" w:cs="Calibri"/>
              </w:rPr>
            </w:pPr>
            <w:r>
              <w:rPr>
                <w:rFonts w:ascii="Calibri" w:eastAsia="Calibri" w:hAnsi="Calibri" w:cs="Calibri"/>
              </w:rPr>
              <w:t>7</w:t>
            </w:r>
          </w:p>
        </w:tc>
        <w:tc>
          <w:tcPr>
            <w:tcW w:w="1014" w:type="pct"/>
          </w:tcPr>
          <w:p w14:paraId="364C998A" w14:textId="601AD111" w:rsidR="00EE3063" w:rsidRDefault="00165381"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65381">
              <w:rPr>
                <w:rFonts w:ascii="Calibri" w:eastAsia="Calibri" w:hAnsi="Calibri" w:cs="Calibri"/>
              </w:rPr>
              <w:t>Interpretation correction</w:t>
            </w:r>
          </w:p>
        </w:tc>
        <w:tc>
          <w:tcPr>
            <w:tcW w:w="1207" w:type="pct"/>
          </w:tcPr>
          <w:p w14:paraId="33AB0C90" w14:textId="31CD72A1" w:rsidR="00EE3063" w:rsidRDefault="00165381" w:rsidP="00B91DA8">
            <w:pPr>
              <w:cnfStyle w:val="000000000000" w:firstRow="0" w:lastRow="0" w:firstColumn="0" w:lastColumn="0" w:oddVBand="0" w:evenVBand="0" w:oddHBand="0" w:evenHBand="0" w:firstRowFirstColumn="0" w:firstRowLastColumn="0" w:lastRowFirstColumn="0" w:lastRowLastColumn="0"/>
            </w:pPr>
            <w:r w:rsidRPr="00165381">
              <w:t>Revised the Week 6 explanation for median_income's non-</w:t>
            </w:r>
            <w:r w:rsidRPr="00165381">
              <w:lastRenderedPageBreak/>
              <w:t>significant fixed-effects coefficient, from "income is slow-moving within a county" to "income has adequate within-county variation but no detectable within-county relationship with the uninsured rate"</w:t>
            </w:r>
          </w:p>
        </w:tc>
        <w:tc>
          <w:tcPr>
            <w:tcW w:w="2384" w:type="pct"/>
          </w:tcPr>
          <w:p w14:paraId="440DCA74" w14:textId="0D83287A" w:rsidR="00EE3063" w:rsidRPr="0027510A" w:rsidRDefault="00D84F83"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D84F83">
              <w:rPr>
                <w:rFonts w:ascii="Calibri" w:eastAsia="Calibri" w:hAnsi="Calibri" w:cs="Calibri"/>
              </w:rPr>
              <w:lastRenderedPageBreak/>
              <w:t xml:space="preserve">The variation diagnostic showed median_income's within/overall SD ratio (0.452) is above the </w:t>
            </w:r>
            <w:r w:rsidRPr="00D84F83">
              <w:rPr>
                <w:rFonts w:ascii="Calibri" w:eastAsia="Calibri" w:hAnsi="Calibri" w:cs="Calibri"/>
              </w:rPr>
              <w:lastRenderedPageBreak/>
              <w:t>acceptable threshold (0.4), so insufficient variation does not explain the non-significant result</w:t>
            </w:r>
          </w:p>
        </w:tc>
      </w:tr>
      <w:tr w:rsidR="00F63598" w14:paraId="201CC2B6"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5159F53A" w14:textId="45893A46" w:rsidR="00F63598" w:rsidRDefault="00152AD3" w:rsidP="00B91DA8">
            <w:pPr>
              <w:rPr>
                <w:rFonts w:ascii="Calibri" w:eastAsia="Calibri" w:hAnsi="Calibri" w:cs="Calibri"/>
              </w:rPr>
            </w:pPr>
            <w:r>
              <w:rPr>
                <w:rFonts w:ascii="Calibri" w:eastAsia="Calibri" w:hAnsi="Calibri" w:cs="Calibri"/>
              </w:rPr>
              <w:lastRenderedPageBreak/>
              <w:t>8</w:t>
            </w:r>
          </w:p>
        </w:tc>
        <w:tc>
          <w:tcPr>
            <w:tcW w:w="1014" w:type="pct"/>
          </w:tcPr>
          <w:p w14:paraId="03218AA4" w14:textId="0583104B" w:rsidR="00F63598" w:rsidRPr="00165381" w:rsidRDefault="00152AD3"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152AD3">
              <w:rPr>
                <w:rFonts w:ascii="Calibri" w:eastAsia="Calibri" w:hAnsi="Calibri" w:cs="Calibri"/>
              </w:rPr>
              <w:t>Standard errors</w:t>
            </w:r>
          </w:p>
        </w:tc>
        <w:tc>
          <w:tcPr>
            <w:tcW w:w="1207" w:type="pct"/>
          </w:tcPr>
          <w:p w14:paraId="38D05D84" w14:textId="56D1DE80" w:rsidR="00F63598" w:rsidRPr="00165381" w:rsidRDefault="001736E1" w:rsidP="00B91DA8">
            <w:pPr>
              <w:cnfStyle w:val="000000100000" w:firstRow="0" w:lastRow="0" w:firstColumn="0" w:lastColumn="0" w:oddVBand="0" w:evenVBand="0" w:oddHBand="1" w:evenHBand="0" w:firstRowFirstColumn="0" w:firstRowLastColumn="0" w:lastRowFirstColumn="0" w:lastRowLastColumn="0"/>
            </w:pPr>
            <w:r w:rsidRPr="001736E1">
              <w:t>Refit the two-way fixed-effects model with Driscoll-Kraay standard errors alongside the existing state-clustered standard errors</w:t>
            </w:r>
          </w:p>
        </w:tc>
        <w:tc>
          <w:tcPr>
            <w:tcW w:w="2384" w:type="pct"/>
          </w:tcPr>
          <w:p w14:paraId="2CA063AE" w14:textId="65B572D4" w:rsidR="00F63598" w:rsidRPr="00D84F83" w:rsidRDefault="009B33B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9B33B8">
              <w:rPr>
                <w:rFonts w:ascii="Calibri" w:eastAsia="Calibri" w:hAnsi="Calibri" w:cs="Calibri"/>
              </w:rPr>
              <w:t>Test whether Week 6 significance results depend on the choice of standard error; Driscoll-Kraay accounts for cross-sectional and serial correlation rather than assuming independence across states</w:t>
            </w:r>
          </w:p>
        </w:tc>
      </w:tr>
      <w:tr w:rsidR="00F63598" w14:paraId="69DDF777"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43A853AC" w14:textId="165A5846" w:rsidR="00F63598" w:rsidRDefault="00152AD3" w:rsidP="00B91DA8">
            <w:pPr>
              <w:rPr>
                <w:rFonts w:ascii="Calibri" w:eastAsia="Calibri" w:hAnsi="Calibri" w:cs="Calibri"/>
              </w:rPr>
            </w:pPr>
            <w:r>
              <w:rPr>
                <w:rFonts w:ascii="Calibri" w:eastAsia="Calibri" w:hAnsi="Calibri" w:cs="Calibri"/>
              </w:rPr>
              <w:t>8</w:t>
            </w:r>
          </w:p>
        </w:tc>
        <w:tc>
          <w:tcPr>
            <w:tcW w:w="1014" w:type="pct"/>
          </w:tcPr>
          <w:p w14:paraId="2B9ED8C9" w14:textId="15800D08" w:rsidR="00F63598" w:rsidRPr="00165381" w:rsidRDefault="00152AD3"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52AD3">
              <w:rPr>
                <w:rFonts w:ascii="Calibri" w:eastAsia="Calibri" w:hAnsi="Calibri" w:cs="Calibri"/>
              </w:rPr>
              <w:t>Standard errors</w:t>
            </w:r>
          </w:p>
        </w:tc>
        <w:tc>
          <w:tcPr>
            <w:tcW w:w="1207" w:type="pct"/>
          </w:tcPr>
          <w:p w14:paraId="07EF4EB2" w14:textId="0670D5EB" w:rsidR="00F63598" w:rsidRPr="00165381" w:rsidRDefault="001736E1" w:rsidP="00B91DA8">
            <w:pPr>
              <w:cnfStyle w:val="000000000000" w:firstRow="0" w:lastRow="0" w:firstColumn="0" w:lastColumn="0" w:oddVBand="0" w:evenVBand="0" w:oddHBand="0" w:evenHBand="0" w:firstRowFirstColumn="0" w:firstRowLastColumn="0" w:lastRowFirstColumn="0" w:lastRowLastColumn="0"/>
            </w:pPr>
            <w:r w:rsidRPr="001736E1">
              <w:t>Kept state-clustered standard errors as the primary reported specification, with Driscoll-Kraay reported alongside for comparison rather than replacing it</w:t>
            </w:r>
          </w:p>
        </w:tc>
        <w:tc>
          <w:tcPr>
            <w:tcW w:w="2384" w:type="pct"/>
          </w:tcPr>
          <w:p w14:paraId="02AAB492" w14:textId="303E2D70" w:rsidR="00F63598" w:rsidRPr="00D84F83" w:rsidRDefault="009B33B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9B33B8">
              <w:rPr>
                <w:rFonts w:ascii="Calibri" w:eastAsia="Calibri" w:hAnsi="Calibri" w:cs="Calibri"/>
              </w:rPr>
              <w:t>Neither standard error is objectively correct, they answer different questions about the error structure; the Week 6 headline findings are significant under both, so there was no need to switch</w:t>
            </w:r>
          </w:p>
        </w:tc>
      </w:tr>
      <w:tr w:rsidR="00F63598" w14:paraId="30CE8E12"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4F007CC4" w14:textId="3C8D5DF5" w:rsidR="00F63598" w:rsidRDefault="00152AD3" w:rsidP="00B91DA8">
            <w:pPr>
              <w:rPr>
                <w:rFonts w:ascii="Calibri" w:eastAsia="Calibri" w:hAnsi="Calibri" w:cs="Calibri"/>
              </w:rPr>
            </w:pPr>
            <w:r>
              <w:rPr>
                <w:rFonts w:ascii="Calibri" w:eastAsia="Calibri" w:hAnsi="Calibri" w:cs="Calibri"/>
              </w:rPr>
              <w:t>8</w:t>
            </w:r>
          </w:p>
        </w:tc>
        <w:tc>
          <w:tcPr>
            <w:tcW w:w="1014" w:type="pct"/>
          </w:tcPr>
          <w:p w14:paraId="60BF5154" w14:textId="78FBE931" w:rsidR="00F63598" w:rsidRPr="00165381" w:rsidRDefault="00152AD3" w:rsidP="00152AD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152AD3">
              <w:rPr>
                <w:rFonts w:ascii="Calibri" w:eastAsia="Calibri" w:hAnsi="Calibri" w:cs="Calibri"/>
              </w:rPr>
              <w:t>Diagnostics</w:t>
            </w:r>
          </w:p>
        </w:tc>
        <w:tc>
          <w:tcPr>
            <w:tcW w:w="1207" w:type="pct"/>
          </w:tcPr>
          <w:p w14:paraId="269FF376" w14:textId="4FBF888D" w:rsidR="00F63598" w:rsidRPr="00165381" w:rsidRDefault="001736E1" w:rsidP="00B91DA8">
            <w:pPr>
              <w:cnfStyle w:val="000000100000" w:firstRow="0" w:lastRow="0" w:firstColumn="0" w:lastColumn="0" w:oddVBand="0" w:evenVBand="0" w:oddHBand="1" w:evenHBand="0" w:firstRowFirstColumn="0" w:firstRowLastColumn="0" w:lastRowFirstColumn="0" w:lastRowLastColumn="0"/>
            </w:pPr>
            <w:r w:rsidRPr="001736E1">
              <w:t>Built an event-time figure from the model's year fixed effects, re-centered on 2015, explicitly labeled as descriptive rather than causal</w:t>
            </w:r>
          </w:p>
        </w:tc>
        <w:tc>
          <w:tcPr>
            <w:tcW w:w="2384" w:type="pct"/>
          </w:tcPr>
          <w:p w14:paraId="614BB794" w14:textId="5BF95277" w:rsidR="00F63598" w:rsidRPr="00D84F83" w:rsidRDefault="009B33B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9B33B8">
              <w:rPr>
                <w:rFonts w:ascii="Calibri" w:eastAsia="Calibri" w:hAnsi="Calibri" w:cs="Calibri"/>
              </w:rPr>
              <w:t>Shows the year-to-year pattern the two-way fixed-effects model leaves unexplained without overclaiming a causal difference-in-differences interpretation, since there is no treatment/control comparison</w:t>
            </w:r>
          </w:p>
        </w:tc>
      </w:tr>
      <w:tr w:rsidR="00F63598" w14:paraId="55DA4890"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767C62D6" w14:textId="22F927DC" w:rsidR="00F63598" w:rsidRDefault="00152AD3" w:rsidP="00B91DA8">
            <w:pPr>
              <w:rPr>
                <w:rFonts w:ascii="Calibri" w:eastAsia="Calibri" w:hAnsi="Calibri" w:cs="Calibri"/>
              </w:rPr>
            </w:pPr>
            <w:r>
              <w:rPr>
                <w:rFonts w:ascii="Calibri" w:eastAsia="Calibri" w:hAnsi="Calibri" w:cs="Calibri"/>
              </w:rPr>
              <w:t>8</w:t>
            </w:r>
          </w:p>
        </w:tc>
        <w:tc>
          <w:tcPr>
            <w:tcW w:w="1014" w:type="pct"/>
          </w:tcPr>
          <w:p w14:paraId="1CE8B251" w14:textId="0698B252" w:rsidR="00F63598" w:rsidRPr="00165381" w:rsidRDefault="00152AD3"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52AD3">
              <w:rPr>
                <w:rFonts w:ascii="Calibri" w:eastAsia="Calibri" w:hAnsi="Calibri" w:cs="Calibri"/>
              </w:rPr>
              <w:t>Robustness</w:t>
            </w:r>
          </w:p>
        </w:tc>
        <w:tc>
          <w:tcPr>
            <w:tcW w:w="1207" w:type="pct"/>
          </w:tcPr>
          <w:p w14:paraId="260D8998" w14:textId="1C0BBB13" w:rsidR="00F63598" w:rsidRPr="00165381" w:rsidRDefault="001736E1" w:rsidP="00B91DA8">
            <w:pPr>
              <w:cnfStyle w:val="000000000000" w:firstRow="0" w:lastRow="0" w:firstColumn="0" w:lastColumn="0" w:oddVBand="0" w:evenVBand="0" w:oddHBand="0" w:evenHBand="0" w:firstRowFirstColumn="0" w:firstRowLastColumn="0" w:lastRowFirstColumn="0" w:lastRowLastColumn="0"/>
            </w:pPr>
            <w:r w:rsidRPr="001736E1">
              <w:t>Refit the two-way fixed-effects model on a wider 2012-2025 window (effectively 2013-2025, since pct_nh_white is missing for 2012)</w:t>
            </w:r>
          </w:p>
        </w:tc>
        <w:tc>
          <w:tcPr>
            <w:tcW w:w="2384" w:type="pct"/>
          </w:tcPr>
          <w:p w14:paraId="70646096" w14:textId="3539D719" w:rsidR="00F63598" w:rsidRPr="00D84F83" w:rsidRDefault="009B33B8"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9B33B8">
              <w:rPr>
                <w:rFonts w:ascii="Calibri" w:eastAsia="Calibri" w:hAnsi="Calibri" w:cs="Calibri"/>
              </w:rPr>
              <w:t>Check whether the Week 6 findings depend on the 2015-2025 modeling window; all 13 predictor signs held, and only unemployment_rate showed a minor, non-reversing weakening in significance</w:t>
            </w:r>
          </w:p>
        </w:tc>
      </w:tr>
      <w:tr w:rsidR="00F63598" w14:paraId="73D61696"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00E3BCF" w14:textId="4B7ADFC3" w:rsidR="00F63598" w:rsidRDefault="00152AD3" w:rsidP="00B91DA8">
            <w:pPr>
              <w:rPr>
                <w:rFonts w:ascii="Calibri" w:eastAsia="Calibri" w:hAnsi="Calibri" w:cs="Calibri"/>
              </w:rPr>
            </w:pPr>
            <w:r>
              <w:rPr>
                <w:rFonts w:ascii="Calibri" w:eastAsia="Calibri" w:hAnsi="Calibri" w:cs="Calibri"/>
              </w:rPr>
              <w:t>8</w:t>
            </w:r>
          </w:p>
        </w:tc>
        <w:tc>
          <w:tcPr>
            <w:tcW w:w="1014" w:type="pct"/>
          </w:tcPr>
          <w:p w14:paraId="5D193828" w14:textId="4A5E2138" w:rsidR="00F63598" w:rsidRPr="00165381" w:rsidRDefault="00152AD3"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152AD3">
              <w:rPr>
                <w:rFonts w:ascii="Calibri" w:eastAsia="Calibri" w:hAnsi="Calibri" w:cs="Calibri"/>
              </w:rPr>
              <w:t>Model specification</w:t>
            </w:r>
          </w:p>
        </w:tc>
        <w:tc>
          <w:tcPr>
            <w:tcW w:w="1207" w:type="pct"/>
          </w:tcPr>
          <w:p w14:paraId="2B8C4D12" w14:textId="7CBB6F90" w:rsidR="00F63598" w:rsidRPr="00165381" w:rsidRDefault="001736E1" w:rsidP="00B91DA8">
            <w:pPr>
              <w:cnfStyle w:val="000000100000" w:firstRow="0" w:lastRow="0" w:firstColumn="0" w:lastColumn="0" w:oddVBand="0" w:evenVBand="0" w:oddHBand="1" w:evenHBand="0" w:firstRowFirstColumn="0" w:firstRowLastColumn="0" w:lastRowFirstColumn="0" w:lastRowLastColumn="0"/>
            </w:pPr>
            <w:r w:rsidRPr="001736E1">
              <w:t>Retained the Week 6 two-way fixed-effects model, predictor list, and headline findings unchanged; closed out Part 2</w:t>
            </w:r>
          </w:p>
        </w:tc>
        <w:tc>
          <w:tcPr>
            <w:tcW w:w="2384" w:type="pct"/>
          </w:tcPr>
          <w:p w14:paraId="40756CA7" w14:textId="0C8FCCDF" w:rsidR="00F63598" w:rsidRPr="00D84F83" w:rsidRDefault="009B33B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9B33B8">
              <w:rPr>
                <w:rFonts w:ascii="Calibri" w:eastAsia="Calibri" w:hAnsi="Calibri" w:cs="Calibri"/>
              </w:rPr>
              <w:t>All three Week 8 checks (Driscoll-Kraay standard errors, event-time figure, 2012-2025 robustness) confirmed rather than contradicted the Week 6 specification, so no revision was needed</w:t>
            </w:r>
          </w:p>
        </w:tc>
      </w:tr>
      <w:tr w:rsidR="006F26E1" w14:paraId="1CD8BE26"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21EC768A" w14:textId="5DD013F9" w:rsidR="006F26E1" w:rsidRDefault="006F26E1" w:rsidP="00B91DA8">
            <w:pPr>
              <w:rPr>
                <w:rFonts w:ascii="Calibri" w:eastAsia="Calibri" w:hAnsi="Calibri" w:cs="Calibri"/>
              </w:rPr>
            </w:pPr>
            <w:r>
              <w:rPr>
                <w:rFonts w:ascii="Calibri" w:eastAsia="Calibri" w:hAnsi="Calibri" w:cs="Calibri"/>
              </w:rPr>
              <w:t>10</w:t>
            </w:r>
          </w:p>
        </w:tc>
        <w:tc>
          <w:tcPr>
            <w:tcW w:w="1014" w:type="pct"/>
          </w:tcPr>
          <w:p w14:paraId="078C4D19" w14:textId="5C6157F4" w:rsidR="006F26E1" w:rsidRPr="00152AD3" w:rsidRDefault="00583AD2"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583AD2">
              <w:rPr>
                <w:rFonts w:ascii="Calibri" w:eastAsia="Calibri" w:hAnsi="Calibri" w:cs="Calibri"/>
              </w:rPr>
              <w:t>Modeling frame</w:t>
            </w:r>
          </w:p>
        </w:tc>
        <w:tc>
          <w:tcPr>
            <w:tcW w:w="1207" w:type="pct"/>
          </w:tcPr>
          <w:p w14:paraId="2C767E11" w14:textId="4BD75156" w:rsidR="006F26E1" w:rsidRPr="001736E1" w:rsidRDefault="00EE48B5" w:rsidP="00EE48B5">
            <w:pPr>
              <w:cnfStyle w:val="000000000000" w:firstRow="0" w:lastRow="0" w:firstColumn="0" w:lastColumn="0" w:oddVBand="0" w:evenVBand="0" w:oddHBand="0" w:evenHBand="0" w:firstRowFirstColumn="0" w:firstRowLastColumn="0" w:lastRowFirstColumn="0" w:lastRowLastColumn="0"/>
            </w:pPr>
            <w:r w:rsidRPr="00EE48B5">
              <w:t>Built the trajectory matrix from the Part 2 modeling sample (3,141 counties) rather than the full Part 1 panel</w:t>
            </w:r>
          </w:p>
        </w:tc>
        <w:tc>
          <w:tcPr>
            <w:tcW w:w="2384" w:type="pct"/>
          </w:tcPr>
          <w:p w14:paraId="58CF1EAD" w14:textId="38E085F5" w:rsidR="006F26E1" w:rsidRPr="009B33B8" w:rsidRDefault="00583AD2"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583AD2">
              <w:rPr>
                <w:rFonts w:ascii="Calibri" w:eastAsia="Calibri" w:hAnsi="Calibri" w:cs="Calibri"/>
              </w:rPr>
              <w:t>Part 2 sample keeps cluster labels directly mergeable with the Part 2 fixed-effects results</w:t>
            </w:r>
          </w:p>
        </w:tc>
      </w:tr>
      <w:tr w:rsidR="006F26E1" w14:paraId="2D104163"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577F925" w14:textId="62244015" w:rsidR="006F26E1" w:rsidRDefault="006F26E1" w:rsidP="00B91DA8">
            <w:pPr>
              <w:rPr>
                <w:rFonts w:ascii="Calibri" w:eastAsia="Calibri" w:hAnsi="Calibri" w:cs="Calibri"/>
              </w:rPr>
            </w:pPr>
            <w:r>
              <w:rPr>
                <w:rFonts w:ascii="Calibri" w:eastAsia="Calibri" w:hAnsi="Calibri" w:cs="Calibri"/>
              </w:rPr>
              <w:t>10</w:t>
            </w:r>
          </w:p>
        </w:tc>
        <w:tc>
          <w:tcPr>
            <w:tcW w:w="1014" w:type="pct"/>
          </w:tcPr>
          <w:p w14:paraId="069DC96D" w14:textId="16760978" w:rsidR="006F26E1" w:rsidRPr="00152AD3" w:rsidRDefault="00583AD2"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583AD2">
              <w:rPr>
                <w:rFonts w:ascii="Calibri" w:eastAsia="Calibri" w:hAnsi="Calibri" w:cs="Calibri"/>
              </w:rPr>
              <w:t>Clustering</w:t>
            </w:r>
          </w:p>
        </w:tc>
        <w:tc>
          <w:tcPr>
            <w:tcW w:w="1207" w:type="pct"/>
          </w:tcPr>
          <w:p w14:paraId="6E450AED" w14:textId="48E26EE2" w:rsidR="006F26E1" w:rsidRPr="001736E1" w:rsidRDefault="002638D2" w:rsidP="00B91DA8">
            <w:pPr>
              <w:cnfStyle w:val="000000100000" w:firstRow="0" w:lastRow="0" w:firstColumn="0" w:lastColumn="0" w:oddVBand="0" w:evenVBand="0" w:oddHBand="1" w:evenHBand="0" w:firstRowFirstColumn="0" w:firstRowLastColumn="0" w:lastRowFirstColumn="0" w:lastRowLastColumn="0"/>
            </w:pPr>
            <w:r w:rsidRPr="002638D2">
              <w:t xml:space="preserve">Selected K=3 by silhouette score across k=2 through </w:t>
            </w:r>
            <w:r w:rsidRPr="002638D2">
              <w:lastRenderedPageBreak/>
              <w:t>k=8, confirmed stable via Adjusted Rand Index across 10 random seeds</w:t>
            </w:r>
          </w:p>
        </w:tc>
        <w:tc>
          <w:tcPr>
            <w:tcW w:w="2384" w:type="pct"/>
          </w:tcPr>
          <w:p w14:paraId="69C10601" w14:textId="2F4793A4" w:rsidR="006F26E1" w:rsidRPr="009B33B8" w:rsidRDefault="002638D2"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lastRenderedPageBreak/>
              <w:t>Per guidelines</w:t>
            </w:r>
          </w:p>
        </w:tc>
      </w:tr>
      <w:tr w:rsidR="006F26E1" w14:paraId="4BC2A7A9" w14:textId="77777777" w:rsidTr="00EE3063">
        <w:tc>
          <w:tcPr>
            <w:cnfStyle w:val="001000000000" w:firstRow="0" w:lastRow="0" w:firstColumn="1" w:lastColumn="0" w:oddVBand="0" w:evenVBand="0" w:oddHBand="0" w:evenHBand="0" w:firstRowFirstColumn="0" w:firstRowLastColumn="0" w:lastRowFirstColumn="0" w:lastRowLastColumn="0"/>
            <w:tcW w:w="395" w:type="pct"/>
          </w:tcPr>
          <w:p w14:paraId="78DFD331" w14:textId="626D4588" w:rsidR="006F26E1" w:rsidRDefault="006F26E1" w:rsidP="00B91DA8">
            <w:pPr>
              <w:rPr>
                <w:rFonts w:ascii="Calibri" w:eastAsia="Calibri" w:hAnsi="Calibri" w:cs="Calibri"/>
              </w:rPr>
            </w:pPr>
            <w:r>
              <w:rPr>
                <w:rFonts w:ascii="Calibri" w:eastAsia="Calibri" w:hAnsi="Calibri" w:cs="Calibri"/>
              </w:rPr>
              <w:t>10</w:t>
            </w:r>
          </w:p>
        </w:tc>
        <w:tc>
          <w:tcPr>
            <w:tcW w:w="1014" w:type="pct"/>
          </w:tcPr>
          <w:p w14:paraId="3DB5F2DD" w14:textId="5D905D8D" w:rsidR="006F26E1" w:rsidRPr="00152AD3" w:rsidRDefault="002638D2"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2638D2">
              <w:rPr>
                <w:rFonts w:ascii="Calibri" w:eastAsia="Calibri" w:hAnsi="Calibri" w:cs="Calibri"/>
              </w:rPr>
              <w:t>Clustering</w:t>
            </w:r>
          </w:p>
        </w:tc>
        <w:tc>
          <w:tcPr>
            <w:tcW w:w="1207" w:type="pct"/>
          </w:tcPr>
          <w:p w14:paraId="0832F011" w14:textId="541AD325" w:rsidR="006F26E1" w:rsidRPr="001736E1" w:rsidRDefault="002638D2" w:rsidP="00B91DA8">
            <w:pPr>
              <w:cnfStyle w:val="000000000000" w:firstRow="0" w:lastRow="0" w:firstColumn="0" w:lastColumn="0" w:oddVBand="0" w:evenVBand="0" w:oddHBand="0" w:evenHBand="0" w:firstRowFirstColumn="0" w:firstRowLastColumn="0" w:lastRowFirstColumn="0" w:lastRowLastColumn="0"/>
            </w:pPr>
            <w:r w:rsidRPr="002638D2">
              <w:t>Row-standardized trajectories (cluster on shape, not level), validated against a raw-trajectory clustering</w:t>
            </w:r>
          </w:p>
        </w:tc>
        <w:tc>
          <w:tcPr>
            <w:tcW w:w="2384" w:type="pct"/>
          </w:tcPr>
          <w:p w14:paraId="25305F3F" w14:textId="62FB5E26" w:rsidR="006F26E1" w:rsidRPr="009B33B8" w:rsidRDefault="00603776" w:rsidP="00B91DA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03776">
              <w:rPr>
                <w:rFonts w:ascii="Calibri" w:eastAsia="Calibri" w:hAnsi="Calibri" w:cs="Calibri"/>
              </w:rPr>
              <w:t>required confirming the clusters reflect shape rather than starting-level differences; raw clustering produced only three level bands, while standardized clustering revealed a decline-then-reversal pattern raw clustering missed entirely</w:t>
            </w:r>
          </w:p>
        </w:tc>
      </w:tr>
      <w:tr w:rsidR="006F26E1" w14:paraId="28FDE0E1" w14:textId="77777777" w:rsidTr="00EE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73483DBA" w14:textId="541139C6" w:rsidR="006F26E1" w:rsidRDefault="006F26E1" w:rsidP="00B91DA8">
            <w:pPr>
              <w:rPr>
                <w:rFonts w:ascii="Calibri" w:eastAsia="Calibri" w:hAnsi="Calibri" w:cs="Calibri"/>
              </w:rPr>
            </w:pPr>
            <w:r>
              <w:rPr>
                <w:rFonts w:ascii="Calibri" w:eastAsia="Calibri" w:hAnsi="Calibri" w:cs="Calibri"/>
              </w:rPr>
              <w:t>10</w:t>
            </w:r>
          </w:p>
        </w:tc>
        <w:tc>
          <w:tcPr>
            <w:tcW w:w="1014" w:type="pct"/>
          </w:tcPr>
          <w:p w14:paraId="3574F0F2" w14:textId="0D49DF0A" w:rsidR="006F26E1" w:rsidRPr="00152AD3" w:rsidRDefault="00603776"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603776">
              <w:rPr>
                <w:rFonts w:ascii="Calibri" w:eastAsia="Calibri" w:hAnsi="Calibri" w:cs="Calibri"/>
              </w:rPr>
              <w:t>Subgroup analysis</w:t>
            </w:r>
          </w:p>
        </w:tc>
        <w:tc>
          <w:tcPr>
            <w:tcW w:w="1207" w:type="pct"/>
          </w:tcPr>
          <w:p w14:paraId="624C4ECD" w14:textId="38B331C2" w:rsidR="006F26E1" w:rsidRPr="001736E1" w:rsidRDefault="00603776" w:rsidP="00B91DA8">
            <w:pPr>
              <w:cnfStyle w:val="000000100000" w:firstRow="0" w:lastRow="0" w:firstColumn="0" w:lastColumn="0" w:oddVBand="0" w:evenVBand="0" w:oddHBand="1" w:evenHBand="0" w:firstRowFirstColumn="0" w:firstRowLastColumn="0" w:lastRowFirstColumn="0" w:lastRowLastColumn="0"/>
            </w:pPr>
            <w:r w:rsidRPr="00603776">
              <w:t>refitting the Part 2 two-way fixed-effects model</w:t>
            </w:r>
          </w:p>
        </w:tc>
        <w:tc>
          <w:tcPr>
            <w:tcW w:w="2384" w:type="pct"/>
          </w:tcPr>
          <w:p w14:paraId="2477F4FA" w14:textId="5BA82688" w:rsidR="006F26E1" w:rsidRPr="009B33B8" w:rsidRDefault="00594798" w:rsidP="00B91DA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594798">
              <w:rPr>
                <w:rFonts w:ascii="Calibri" w:eastAsia="Calibri" w:hAnsi="Calibri" w:cs="Calibri"/>
              </w:rPr>
              <w:t>directly extends Part 2</w:t>
            </w:r>
            <w:r>
              <w:rPr>
                <w:rFonts w:ascii="Calibri" w:eastAsia="Calibri" w:hAnsi="Calibri" w:cs="Calibri"/>
              </w:rPr>
              <w:t xml:space="preserve"> and is more methodological</w:t>
            </w:r>
          </w:p>
        </w:tc>
      </w:tr>
    </w:tbl>
    <w:p w14:paraId="7CFCB634" w14:textId="77777777" w:rsidR="008D514E" w:rsidRDefault="008D514E"/>
    <w:sectPr w:rsidR="008D5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2B"/>
    <w:rsid w:val="00002DBA"/>
    <w:rsid w:val="000265E9"/>
    <w:rsid w:val="000C21BA"/>
    <w:rsid w:val="001251FA"/>
    <w:rsid w:val="00152AD3"/>
    <w:rsid w:val="00165381"/>
    <w:rsid w:val="001736E1"/>
    <w:rsid w:val="001816C2"/>
    <w:rsid w:val="001B31B8"/>
    <w:rsid w:val="001C6BA2"/>
    <w:rsid w:val="001C767D"/>
    <w:rsid w:val="00256292"/>
    <w:rsid w:val="002638D2"/>
    <w:rsid w:val="0027510A"/>
    <w:rsid w:val="004B4832"/>
    <w:rsid w:val="004E6F04"/>
    <w:rsid w:val="00583AD2"/>
    <w:rsid w:val="00594798"/>
    <w:rsid w:val="005B2EA8"/>
    <w:rsid w:val="00603776"/>
    <w:rsid w:val="006F26E1"/>
    <w:rsid w:val="008715EE"/>
    <w:rsid w:val="008D0C4E"/>
    <w:rsid w:val="008D514E"/>
    <w:rsid w:val="00980360"/>
    <w:rsid w:val="009B33B8"/>
    <w:rsid w:val="009C292B"/>
    <w:rsid w:val="00B91DA8"/>
    <w:rsid w:val="00BF3849"/>
    <w:rsid w:val="00CE001D"/>
    <w:rsid w:val="00D575F8"/>
    <w:rsid w:val="00D84F83"/>
    <w:rsid w:val="00DB2AF2"/>
    <w:rsid w:val="00E864E2"/>
    <w:rsid w:val="00EB5174"/>
    <w:rsid w:val="00EE3063"/>
    <w:rsid w:val="00EE48B5"/>
    <w:rsid w:val="00F63598"/>
    <w:rsid w:val="00FA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CA232"/>
  <w15:chartTrackingRefBased/>
  <w15:docId w15:val="{06283CA1-7AF6-4B79-A3E6-7CA6C6D5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92B"/>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9C29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29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292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292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C292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C292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C292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C292B"/>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C292B"/>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92B"/>
    <w:rPr>
      <w:rFonts w:eastAsiaTheme="majorEastAsia" w:cstheme="majorBidi"/>
      <w:color w:val="272727" w:themeColor="text1" w:themeTint="D8"/>
    </w:rPr>
  </w:style>
  <w:style w:type="paragraph" w:styleId="Title">
    <w:name w:val="Title"/>
    <w:basedOn w:val="Normal"/>
    <w:next w:val="Normal"/>
    <w:link w:val="TitleChar"/>
    <w:uiPriority w:val="10"/>
    <w:qFormat/>
    <w:rsid w:val="009C292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2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92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2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92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C292B"/>
    <w:rPr>
      <w:i/>
      <w:iCs/>
      <w:color w:val="404040" w:themeColor="text1" w:themeTint="BF"/>
    </w:rPr>
  </w:style>
  <w:style w:type="paragraph" w:styleId="ListParagraph">
    <w:name w:val="List Paragraph"/>
    <w:basedOn w:val="Normal"/>
    <w:uiPriority w:val="34"/>
    <w:qFormat/>
    <w:rsid w:val="009C292B"/>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C292B"/>
    <w:rPr>
      <w:i/>
      <w:iCs/>
      <w:color w:val="0F4761" w:themeColor="accent1" w:themeShade="BF"/>
    </w:rPr>
  </w:style>
  <w:style w:type="paragraph" w:styleId="IntenseQuote">
    <w:name w:val="Intense Quote"/>
    <w:basedOn w:val="Normal"/>
    <w:next w:val="Normal"/>
    <w:link w:val="IntenseQuoteChar"/>
    <w:uiPriority w:val="30"/>
    <w:qFormat/>
    <w:rsid w:val="009C29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C292B"/>
    <w:rPr>
      <w:i/>
      <w:iCs/>
      <w:color w:val="0F4761" w:themeColor="accent1" w:themeShade="BF"/>
    </w:rPr>
  </w:style>
  <w:style w:type="character" w:styleId="IntenseReference">
    <w:name w:val="Intense Reference"/>
    <w:basedOn w:val="DefaultParagraphFont"/>
    <w:uiPriority w:val="32"/>
    <w:qFormat/>
    <w:rsid w:val="009C292B"/>
    <w:rPr>
      <w:b/>
      <w:bCs/>
      <w:smallCaps/>
      <w:color w:val="0F4761" w:themeColor="accent1" w:themeShade="BF"/>
      <w:spacing w:val="5"/>
    </w:rPr>
  </w:style>
  <w:style w:type="table" w:styleId="GridTable4-Accent2">
    <w:name w:val="Grid Table 4 Accent 2"/>
    <w:basedOn w:val="TableNormal"/>
    <w:uiPriority w:val="49"/>
    <w:rsid w:val="009C292B"/>
    <w:pPr>
      <w:spacing w:after="0" w:line="240" w:lineRule="auto"/>
    </w:pPr>
    <w:rPr>
      <w:rFonts w:ascii="Arial" w:eastAsia="Arial" w:hAnsi="Arial" w:cs="Arial"/>
      <w:kern w:val="0"/>
      <w:sz w:val="20"/>
      <w:szCs w:val="20"/>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TMLCode">
    <w:name w:val="HTML Code"/>
    <w:basedOn w:val="DefaultParagraphFont"/>
    <w:uiPriority w:val="99"/>
    <w:semiHidden/>
    <w:unhideWhenUsed/>
    <w:rsid w:val="002562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9746C7FF84C449B12CEB48A8E17926" ma:contentTypeVersion="16" ma:contentTypeDescription="Create a new document." ma:contentTypeScope="" ma:versionID="4bb6fe4e1c75b5540c1f4ab272283b02">
  <xsd:schema xmlns:xsd="http://www.w3.org/2001/XMLSchema" xmlns:xs="http://www.w3.org/2001/XMLSchema" xmlns:p="http://schemas.microsoft.com/office/2006/metadata/properties" xmlns:ns3="706b8aa2-8af0-4ab8-9873-df9911b98d43" xmlns:ns4="51b1e863-652f-4e12-a6c4-d71aedd5f070" targetNamespace="http://schemas.microsoft.com/office/2006/metadata/properties" ma:root="true" ma:fieldsID="12b9d2ff6dca74e3d66d5dd31ea60895" ns3:_="" ns4:_="">
    <xsd:import namespace="706b8aa2-8af0-4ab8-9873-df9911b98d43"/>
    <xsd:import namespace="51b1e863-652f-4e12-a6c4-d71aedd5f0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6b8aa2-8af0-4ab8-9873-df9911b98d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b1e863-652f-4e12-a6c4-d71aedd5f0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06b8aa2-8af0-4ab8-9873-df9911b98d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4BBCEE-F67C-403A-BDA6-D1A8F7216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6b8aa2-8af0-4ab8-9873-df9911b98d43"/>
    <ds:schemaRef ds:uri="51b1e863-652f-4e12-a6c4-d71aedd5f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1979-D164-4E8C-BB05-AAFC2A814FE6}">
  <ds:schemaRefs>
    <ds:schemaRef ds:uri="http://schemas.microsoft.com/office/2006/metadata/properties"/>
    <ds:schemaRef ds:uri="http://schemas.microsoft.com/office/infopath/2007/PartnerControls"/>
    <ds:schemaRef ds:uri="706b8aa2-8af0-4ab8-9873-df9911b98d43"/>
  </ds:schemaRefs>
</ds:datastoreItem>
</file>

<file path=customXml/itemProps3.xml><?xml version="1.0" encoding="utf-8"?>
<ds:datastoreItem xmlns:ds="http://schemas.openxmlformats.org/officeDocument/2006/customXml" ds:itemID="{D7A5B4EB-9640-4FFD-98EB-39AF60ECE5C4}">
  <ds:schemaRefs>
    <ds:schemaRef ds:uri="http://schemas.microsoft.com/sharepoint/v3/contenttype/forms"/>
  </ds:schemaRefs>
</ds:datastoreItem>
</file>

<file path=docMetadata/LabelInfo.xml><?xml version="1.0" encoding="utf-8"?>
<clbl:labelList xmlns:clbl="http://schemas.microsoft.com/office/2020/mipLabelMetadata">
  <clbl:label id="{762ebf40-80b2-40ba-86fe-6dd409acb499}" enabled="0" method="" siteId="{762ebf40-80b2-40ba-86fe-6dd409acb499}" removed="1"/>
</clbl:labelList>
</file>

<file path=docProps/app.xml><?xml version="1.0" encoding="utf-8"?>
<Properties xmlns="http://schemas.openxmlformats.org/officeDocument/2006/extended-properties" xmlns:vt="http://schemas.openxmlformats.org/officeDocument/2006/docPropsVTypes">
  <Template>Normal</Template>
  <TotalTime>986</TotalTime>
  <Pages>6</Pages>
  <Words>1984</Words>
  <Characters>12367</Characters>
  <Application>Microsoft Office Word</Application>
  <DocSecurity>0</DocSecurity>
  <Lines>562</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Phillips</dc:creator>
  <cp:keywords/>
  <dc:description/>
  <cp:lastModifiedBy>Seth Phillips</cp:lastModifiedBy>
  <cp:revision>29</cp:revision>
  <dcterms:created xsi:type="dcterms:W3CDTF">2026-06-03T19:28:00Z</dcterms:created>
  <dcterms:modified xsi:type="dcterms:W3CDTF">2026-07-23T13:44:00Z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0x0101001D9746C7FF84C449B12CEB48A8E17926</vt:lpwstr>
  </property>
</Properties>
</file>