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2"/>
        <w:tblW w:w="5000" w:type="pct"/>
        <w:tblLook w:val="04A0" w:firstRow="1" w:lastRow="0" w:firstColumn="1" w:lastColumn="0" w:noHBand="0" w:noVBand="1"/>
      </w:tblPr>
      <w:tblGrid>
        <w:gridCol w:w="739"/>
        <w:gridCol w:w="1395"/>
        <w:gridCol w:w="2084"/>
        <w:gridCol w:w="5132"/>
      </w:tblGrid>
      <w:tr w:rsidR="009C292B" w14:paraId="62A1B6E8" w14:textId="77777777" w:rsidTr="009803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B292D68" w14:textId="77777777" w:rsidR="009C292B" w:rsidRDefault="009C292B" w:rsidP="00173C90">
            <w:r>
              <w:rPr>
                <w:color w:val="FFFFFF"/>
              </w:rPr>
              <w:t>Week</w:t>
            </w:r>
          </w:p>
        </w:tc>
        <w:tc>
          <w:tcPr>
            <w:tcW w:w="722" w:type="pct"/>
          </w:tcPr>
          <w:p w14:paraId="65BFA82D"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Category</w:t>
            </w:r>
          </w:p>
        </w:tc>
        <w:tc>
          <w:tcPr>
            <w:tcW w:w="1114" w:type="pct"/>
          </w:tcPr>
          <w:p w14:paraId="04A3A570"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Decision</w:t>
            </w:r>
          </w:p>
        </w:tc>
        <w:tc>
          <w:tcPr>
            <w:tcW w:w="2768" w:type="pct"/>
          </w:tcPr>
          <w:p w14:paraId="150E5A0F"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Justification</w:t>
            </w:r>
          </w:p>
        </w:tc>
      </w:tr>
      <w:tr w:rsidR="009C292B" w14:paraId="765AD3D9"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70F2CABB" w14:textId="77777777" w:rsidR="009C292B" w:rsidRDefault="009C292B" w:rsidP="00173C90">
            <w:r>
              <w:t>2</w:t>
            </w:r>
          </w:p>
        </w:tc>
        <w:tc>
          <w:tcPr>
            <w:tcW w:w="722" w:type="pct"/>
          </w:tcPr>
          <w:p w14:paraId="2D5849B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Study period</w:t>
            </w:r>
          </w:p>
        </w:tc>
        <w:tc>
          <w:tcPr>
            <w:tcW w:w="1114" w:type="pct"/>
          </w:tcPr>
          <w:p w14:paraId="2F10CC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Primary panel: 2012-2025 (release years)</w:t>
            </w:r>
          </w:p>
        </w:tc>
        <w:tc>
          <w:tcPr>
            <w:tcW w:w="2768" w:type="pct"/>
          </w:tcPr>
          <w:p w14:paraId="3294179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CHR began the all-ages uninsured measure (v085) in 2012. Using 2010-2011 in the primary series would mix two different measure populations (adults-only v003 vs all-ages v085), creating a structural break. A clean 14-year all-ages series is more defensible for longitudinal modeling.</w:t>
            </w:r>
          </w:p>
        </w:tc>
      </w:tr>
      <w:tr w:rsidR="009C292B" w14:paraId="2A00A5DA" w14:textId="77777777" w:rsidTr="00980360">
        <w:tc>
          <w:tcPr>
            <w:cnfStyle w:val="001000000000" w:firstRow="0" w:lastRow="0" w:firstColumn="1" w:lastColumn="0" w:oddVBand="0" w:evenVBand="0" w:oddHBand="0" w:evenHBand="0" w:firstRowFirstColumn="0" w:firstRowLastColumn="0" w:lastRowFirstColumn="0" w:lastRowLastColumn="0"/>
            <w:tcW w:w="395" w:type="pct"/>
          </w:tcPr>
          <w:p w14:paraId="157E28AA" w14:textId="77777777" w:rsidR="009C292B" w:rsidRDefault="009C292B" w:rsidP="00173C90">
            <w:r>
              <w:t>2</w:t>
            </w:r>
          </w:p>
        </w:tc>
        <w:tc>
          <w:tcPr>
            <w:tcW w:w="722" w:type="pct"/>
          </w:tcPr>
          <w:p w14:paraId="23EACCEA"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Study period</w:t>
            </w:r>
          </w:p>
        </w:tc>
        <w:tc>
          <w:tcPr>
            <w:tcW w:w="1114" w:type="pct"/>
          </w:tcPr>
          <w:p w14:paraId="01C3E79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2010-2011 reserved as independent extension using adults-only measure (v003)</w:t>
            </w:r>
          </w:p>
        </w:tc>
        <w:tc>
          <w:tcPr>
            <w:tcW w:w="2768" w:type="pct"/>
          </w:tcPr>
          <w:p w14:paraId="5398DA6F"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The adult uninsured rate (ages 18-64) is available from 2010 onward and enables a full 16-year series. Preserving 2010-2011 in a separate panel allows the extension analysis (RQ1) to quantify the magnitude of the measure-population break between the two series.</w:t>
            </w:r>
          </w:p>
        </w:tc>
      </w:tr>
      <w:tr w:rsidR="009C292B" w14:paraId="4741B772"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75E75849" w14:textId="77777777" w:rsidR="009C292B" w:rsidRDefault="009C292B" w:rsidP="00173C90">
            <w:r>
              <w:t>2</w:t>
            </w:r>
          </w:p>
        </w:tc>
        <w:tc>
          <w:tcPr>
            <w:tcW w:w="722" w:type="pct"/>
          </w:tcPr>
          <w:p w14:paraId="4732DC49"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Geography</w:t>
            </w:r>
          </w:p>
        </w:tc>
        <w:tc>
          <w:tcPr>
            <w:tcW w:w="1114" w:type="pct"/>
          </w:tcPr>
          <w:p w14:paraId="0539A86D"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excluded from the panel entirely</w:t>
            </w:r>
          </w:p>
        </w:tc>
        <w:tc>
          <w:tcPr>
            <w:tcW w:w="2768" w:type="pct"/>
          </w:tcPr>
          <w:p w14:paraId="0FFF112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replaced its 8 counties with 9 planning regions in the 2022 CHR release. A clean crosswalk is not feasible for most variables. Excluding CT at the assembly stage keeps the sample geographically consistent across all descriptive and modeling sections.</w:t>
            </w:r>
          </w:p>
        </w:tc>
      </w:tr>
      <w:tr w:rsidR="009C292B" w14:paraId="778EE341" w14:textId="77777777" w:rsidTr="00980360">
        <w:tc>
          <w:tcPr>
            <w:cnfStyle w:val="001000000000" w:firstRow="0" w:lastRow="0" w:firstColumn="1" w:lastColumn="0" w:oddVBand="0" w:evenVBand="0" w:oddHBand="0" w:evenHBand="0" w:firstRowFirstColumn="0" w:firstRowLastColumn="0" w:lastRowFirstColumn="0" w:lastRowLastColumn="0"/>
            <w:tcW w:w="395" w:type="pct"/>
          </w:tcPr>
          <w:p w14:paraId="3F2765AF" w14:textId="77777777" w:rsidR="009C292B" w:rsidRDefault="009C292B" w:rsidP="00173C90">
            <w:r>
              <w:t>2</w:t>
            </w:r>
          </w:p>
        </w:tc>
        <w:tc>
          <w:tcPr>
            <w:tcW w:w="722" w:type="pct"/>
          </w:tcPr>
          <w:p w14:paraId="6574B92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handling</w:t>
            </w:r>
          </w:p>
        </w:tc>
        <w:tc>
          <w:tcPr>
            <w:tcW w:w="1114" w:type="pct"/>
          </w:tcPr>
          <w:p w14:paraId="49F0BB9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codes treated as strings throughout; zero-padded to 5 digits</w:t>
            </w:r>
          </w:p>
        </w:tc>
        <w:tc>
          <w:tcPr>
            <w:tcW w:w="2768" w:type="pct"/>
          </w:tcPr>
          <w:p w14:paraId="3358FA8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Reading FIPS as integers strips leading zeros (e.g., Alabama counties become 1001 instead of 01001), which breaks all merge and filter operations. String treatment is applied consistently at the file-read stage.</w:t>
            </w:r>
          </w:p>
        </w:tc>
      </w:tr>
      <w:tr w:rsidR="009C292B" w14:paraId="1DEB659F"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FB11DE3" w14:textId="77777777" w:rsidR="009C292B" w:rsidRDefault="009C292B" w:rsidP="00173C90">
            <w:r>
              <w:t>2</w:t>
            </w:r>
          </w:p>
        </w:tc>
        <w:tc>
          <w:tcPr>
            <w:tcW w:w="722" w:type="pct"/>
          </w:tcPr>
          <w:p w14:paraId="08D46F4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Row filtering</w:t>
            </w:r>
          </w:p>
        </w:tc>
        <w:tc>
          <w:tcPr>
            <w:tcW w:w="1114" w:type="pct"/>
          </w:tcPr>
          <w:p w14:paraId="58BC9F4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State summary rows (county FIPS portion = 000) filtered before stacking</w:t>
            </w:r>
          </w:p>
        </w:tc>
        <w:tc>
          <w:tcPr>
            <w:tcW w:w="2768" w:type="pct"/>
          </w:tcPr>
          <w:p w14:paraId="5738178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Each CHR file contains one state-level summary row per state. These rows represent state aggregates, not counties, and must be removed before constructing a county-level panel.</w:t>
            </w:r>
          </w:p>
        </w:tc>
      </w:tr>
      <w:tr w:rsidR="009C292B" w14:paraId="255EB30D" w14:textId="77777777" w:rsidTr="00980360">
        <w:tc>
          <w:tcPr>
            <w:cnfStyle w:val="001000000000" w:firstRow="0" w:lastRow="0" w:firstColumn="1" w:lastColumn="0" w:oddVBand="0" w:evenVBand="0" w:oddHBand="0" w:evenHBand="0" w:firstRowFirstColumn="0" w:firstRowLastColumn="0" w:lastRowFirstColumn="0" w:lastRowLastColumn="0"/>
            <w:tcW w:w="395" w:type="pct"/>
          </w:tcPr>
          <w:p w14:paraId="6AA6347D" w14:textId="77777777" w:rsidR="009C292B" w:rsidRDefault="009C292B" w:rsidP="00173C90">
            <w:r>
              <w:t>2</w:t>
            </w:r>
          </w:p>
        </w:tc>
        <w:tc>
          <w:tcPr>
            <w:tcW w:w="722" w:type="pct"/>
          </w:tcPr>
          <w:p w14:paraId="0538944D"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Time axis</w:t>
            </w:r>
          </w:p>
        </w:tc>
        <w:tc>
          <w:tcPr>
            <w:tcW w:w="1114" w:type="pct"/>
          </w:tcPr>
          <w:p w14:paraId="669E0F3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measure_year</w:t>
            </w:r>
            <w:proofErr w:type="spellEnd"/>
            <w:r>
              <w:t xml:space="preserve"> used as time axis; </w:t>
            </w:r>
            <w:proofErr w:type="spellStart"/>
            <w:r>
              <w:t>release_year</w:t>
            </w:r>
            <w:proofErr w:type="spellEnd"/>
            <w:r>
              <w:t xml:space="preserve"> retained for provenance only</w:t>
            </w:r>
          </w:p>
        </w:tc>
        <w:tc>
          <w:tcPr>
            <w:tcW w:w="2768" w:type="pct"/>
          </w:tcPr>
          <w:p w14:paraId="58BB52A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release year is not the same as the underlying survey year. The uninsured measure draws from SAHIE single-year estimates with a consistent 2-3 year lag. Using release year on the time axis would misrepresent when the data were collected and misalign trend plots with policy events. All 16 measure years were verified against CHR technical documents.</w:t>
            </w:r>
          </w:p>
        </w:tc>
      </w:tr>
      <w:tr w:rsidR="009C292B" w14:paraId="1F22D26F"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D07C028" w14:textId="77777777" w:rsidR="009C292B" w:rsidRDefault="009C292B" w:rsidP="00173C90">
            <w:r>
              <w:t>3</w:t>
            </w:r>
          </w:p>
        </w:tc>
        <w:tc>
          <w:tcPr>
            <w:tcW w:w="722" w:type="pct"/>
          </w:tcPr>
          <w:p w14:paraId="6D638E7A"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Outcome variable</w:t>
            </w:r>
          </w:p>
        </w:tc>
        <w:tc>
          <w:tcPr>
            <w:tcW w:w="1114" w:type="pct"/>
          </w:tcPr>
          <w:p w14:paraId="1F5DD742"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 xml:space="preserve">Primary outcome: </w:t>
            </w:r>
            <w:proofErr w:type="spellStart"/>
            <w:r>
              <w:t>uninsured_raw</w:t>
            </w:r>
            <w:proofErr w:type="spellEnd"/>
            <w:r>
              <w:t xml:space="preserve"> (all-ages, v085/v059)</w:t>
            </w:r>
          </w:p>
        </w:tc>
        <w:tc>
          <w:tcPr>
            <w:tcW w:w="2768" w:type="pct"/>
          </w:tcPr>
          <w:p w14:paraId="6E17B90B"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The all-ages uninsured rate covers the broadest, most policy-relevant population and is available in 14 consecutive release years (2012-2025) from a consistent SAHIE source. It is 0% missing across all 14 primary years in the final panel.</w:t>
            </w:r>
          </w:p>
        </w:tc>
      </w:tr>
      <w:tr w:rsidR="009C292B" w14:paraId="2FC971E8" w14:textId="77777777" w:rsidTr="00980360">
        <w:tc>
          <w:tcPr>
            <w:cnfStyle w:val="001000000000" w:firstRow="0" w:lastRow="0" w:firstColumn="1" w:lastColumn="0" w:oddVBand="0" w:evenVBand="0" w:oddHBand="0" w:evenHBand="0" w:firstRowFirstColumn="0" w:firstRowLastColumn="0" w:lastRowFirstColumn="0" w:lastRowLastColumn="0"/>
            <w:tcW w:w="395" w:type="pct"/>
          </w:tcPr>
          <w:p w14:paraId="15EFB47C" w14:textId="77777777" w:rsidR="009C292B" w:rsidRDefault="009C292B" w:rsidP="00173C90">
            <w:r>
              <w:t>3</w:t>
            </w:r>
          </w:p>
        </w:tc>
        <w:tc>
          <w:tcPr>
            <w:tcW w:w="722" w:type="pct"/>
          </w:tcPr>
          <w:p w14:paraId="27EBA97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Feature selection</w:t>
            </w:r>
          </w:p>
        </w:tc>
        <w:tc>
          <w:tcPr>
            <w:tcW w:w="1114" w:type="pct"/>
          </w:tcPr>
          <w:p w14:paraId="16D087A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18 socioeconomic and demographic predictors selected; health-behavior measures excluded</w:t>
            </w:r>
          </w:p>
        </w:tc>
        <w:tc>
          <w:tcPr>
            <w:tcW w:w="2768" w:type="pct"/>
          </w:tcPr>
          <w:p w14:paraId="58F0FA9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Variables selected cover income and poverty (</w:t>
            </w:r>
            <w:proofErr w:type="spellStart"/>
            <w:r>
              <w:t>median_income</w:t>
            </w:r>
            <w:proofErr w:type="spellEnd"/>
            <w:r>
              <w:t xml:space="preserve">, </w:t>
            </w:r>
            <w:proofErr w:type="spellStart"/>
            <w:r>
              <w:t>child_poverty_rate</w:t>
            </w:r>
            <w:proofErr w:type="spellEnd"/>
            <w:r>
              <w:t xml:space="preserve">, </w:t>
            </w:r>
            <w:proofErr w:type="spellStart"/>
            <w:r>
              <w:t>poverty_rate</w:t>
            </w:r>
            <w:proofErr w:type="spellEnd"/>
            <w:r>
              <w:t>), education (</w:t>
            </w:r>
            <w:proofErr w:type="spellStart"/>
            <w:r>
              <w:t>hs_graduation_rate</w:t>
            </w:r>
            <w:proofErr w:type="spellEnd"/>
            <w:r>
              <w:t xml:space="preserve">, </w:t>
            </w:r>
            <w:proofErr w:type="spellStart"/>
            <w:r>
              <w:t>some_college_rate</w:t>
            </w:r>
            <w:proofErr w:type="spellEnd"/>
            <w:r>
              <w:t>), labor market (</w:t>
            </w:r>
            <w:proofErr w:type="spellStart"/>
            <w:r>
              <w:t>unemployment_rate</w:t>
            </w:r>
            <w:proofErr w:type="spellEnd"/>
            <w:r>
              <w:t>), household structure (</w:t>
            </w:r>
            <w:proofErr w:type="spellStart"/>
            <w:r>
              <w:t>single_parent_rate</w:t>
            </w:r>
            <w:proofErr w:type="spellEnd"/>
            <w:r>
              <w:t>), housing (</w:t>
            </w:r>
            <w:proofErr w:type="spellStart"/>
            <w:r>
              <w:t>severe_housing_rate</w:t>
            </w:r>
            <w:proofErr w:type="spellEnd"/>
            <w:r>
              <w:t>), rurality (</w:t>
            </w:r>
            <w:proofErr w:type="spellStart"/>
            <w:r>
              <w:t>pct_rural</w:t>
            </w:r>
            <w:proofErr w:type="spellEnd"/>
            <w:r>
              <w:t>), age composition (pct_under18, pct_65plus), race/ethnicity (</w:t>
            </w:r>
            <w:proofErr w:type="spellStart"/>
            <w:r>
              <w:t>pct_black</w:t>
            </w:r>
            <w:proofErr w:type="spellEnd"/>
            <w:r>
              <w:t xml:space="preserve">, </w:t>
            </w:r>
            <w:proofErr w:type="spellStart"/>
            <w:r>
              <w:t>pct_aian</w:t>
            </w:r>
            <w:proofErr w:type="spellEnd"/>
            <w:r>
              <w:t xml:space="preserve">, </w:t>
            </w:r>
            <w:proofErr w:type="spellStart"/>
            <w:r>
              <w:t>pct_asian</w:t>
            </w:r>
            <w:proofErr w:type="spellEnd"/>
            <w:r>
              <w:t xml:space="preserve">, </w:t>
            </w:r>
            <w:proofErr w:type="spellStart"/>
            <w:r>
              <w:t>pct_hispanic</w:t>
            </w:r>
            <w:proofErr w:type="spellEnd"/>
            <w:r>
              <w:t xml:space="preserve">, </w:t>
            </w:r>
            <w:proofErr w:type="spellStart"/>
            <w:r>
              <w:t>pct_white</w:t>
            </w:r>
            <w:proofErr w:type="spellEnd"/>
            <w:r>
              <w:t>), and population. Health-behavior measures (smoking, obesity, physical inactivity) are excluded because they are plausibly downstream of insurance access and would complicate Part 1 interpretation.</w:t>
            </w:r>
          </w:p>
        </w:tc>
      </w:tr>
      <w:tr w:rsidR="009C292B" w14:paraId="308886FD"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5E2393F7" w14:textId="77777777" w:rsidR="009C292B" w:rsidRDefault="009C292B" w:rsidP="00173C90">
            <w:r>
              <w:t>3</w:t>
            </w:r>
          </w:p>
        </w:tc>
        <w:tc>
          <w:tcPr>
            <w:tcW w:w="722" w:type="pct"/>
          </w:tcPr>
          <w:p w14:paraId="15F05DE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414EFB0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Variables classified as Core, Partial, or Sparse based on year coverage and missingness</w:t>
            </w:r>
          </w:p>
        </w:tc>
        <w:tc>
          <w:tcPr>
            <w:tcW w:w="2768" w:type="pct"/>
          </w:tcPr>
          <w:p w14:paraId="0DFFFC8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 xml:space="preserve">Core: present in all 14 primary years with 90%+ county coverage (12 variables). Partial: present in most years with gaps or elevated missingness (4 variables). Sparse: missing in many years or below 70% overall coverage (4 variables). Core variables are used in all </w:t>
            </w:r>
            <w:r>
              <w:lastRenderedPageBreak/>
              <w:t>models. Partial variables are used with noted caveats. Sparse variables are supplementary only.</w:t>
            </w:r>
          </w:p>
        </w:tc>
      </w:tr>
      <w:tr w:rsidR="009C292B" w14:paraId="25224821" w14:textId="77777777" w:rsidTr="00980360">
        <w:tc>
          <w:tcPr>
            <w:cnfStyle w:val="001000000000" w:firstRow="0" w:lastRow="0" w:firstColumn="1" w:lastColumn="0" w:oddVBand="0" w:evenVBand="0" w:oddHBand="0" w:evenHBand="0" w:firstRowFirstColumn="0" w:firstRowLastColumn="0" w:lastRowFirstColumn="0" w:lastRowLastColumn="0"/>
            <w:tcW w:w="395" w:type="pct"/>
          </w:tcPr>
          <w:p w14:paraId="00AF629E" w14:textId="77777777" w:rsidR="009C292B" w:rsidRDefault="009C292B" w:rsidP="00173C90">
            <w:r>
              <w:lastRenderedPageBreak/>
              <w:t>3</w:t>
            </w:r>
          </w:p>
        </w:tc>
        <w:tc>
          <w:tcPr>
            <w:tcW w:w="722" w:type="pct"/>
          </w:tcPr>
          <w:p w14:paraId="6366FE8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 classification</w:t>
            </w:r>
          </w:p>
        </w:tc>
        <w:tc>
          <w:tcPr>
            <w:tcW w:w="1114" w:type="pct"/>
          </w:tcPr>
          <w:p w14:paraId="01400EB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pct_black</w:t>
            </w:r>
            <w:proofErr w:type="spellEnd"/>
            <w:r>
              <w:t xml:space="preserve"> and </w:t>
            </w:r>
            <w:proofErr w:type="spellStart"/>
            <w:r>
              <w:t>pct_aian</w:t>
            </w:r>
            <w:proofErr w:type="spellEnd"/>
            <w:r>
              <w:t xml:space="preserve"> classified Sparse; available 2012-2019 only</w:t>
            </w:r>
          </w:p>
        </w:tc>
        <w:tc>
          <w:tcPr>
            <w:tcW w:w="2768" w:type="pct"/>
          </w:tcPr>
          <w:p w14:paraId="118136D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reorganized its race/ethnicity column names after 2019. The columns % Non-Hispanic African American and % American Indian and Alaskan Native are absent from the 2020-2025 files under those names, resulting in 43% overall missingness. Both are retained in the panel for year-specific cross-sectional use but excluded from longitudinal models.</w:t>
            </w:r>
          </w:p>
        </w:tc>
      </w:tr>
      <w:tr w:rsidR="009C292B" w14:paraId="5FFCF219"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F35CD6E" w14:textId="77777777" w:rsidR="009C292B" w:rsidRDefault="009C292B" w:rsidP="00173C90">
            <w:r>
              <w:t>3</w:t>
            </w:r>
          </w:p>
        </w:tc>
        <w:tc>
          <w:tcPr>
            <w:tcW w:w="722" w:type="pct"/>
          </w:tcPr>
          <w:p w14:paraId="3E16AF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0769855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classified Sparse despite spanning all 14 release years</w:t>
            </w:r>
          </w:p>
        </w:tc>
        <w:tc>
          <w:tcPr>
            <w:tcW w:w="2768" w:type="pct"/>
          </w:tcPr>
          <w:p w14:paraId="762E0ED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is 98% missing in 2013-2020 and present only in 2012 and 2021-2025 due to inconsistent CHR column population across releases. It cannot be used in longitudinal models. </w:t>
            </w:r>
            <w:proofErr w:type="spellStart"/>
            <w:r>
              <w:t>child_poverty_rate</w:t>
            </w:r>
            <w:proofErr w:type="spellEnd"/>
            <w:r>
              <w:t xml:space="preserve"> covers the complementary period (2013-2020) but is also Sparse. Together they cover most of the panel in non-overlapping windows.</w:t>
            </w:r>
          </w:p>
        </w:tc>
      </w:tr>
      <w:tr w:rsidR="009C292B" w14:paraId="0BFCA0FE" w14:textId="77777777" w:rsidTr="00980360">
        <w:tc>
          <w:tcPr>
            <w:cnfStyle w:val="001000000000" w:firstRow="0" w:lastRow="0" w:firstColumn="1" w:lastColumn="0" w:oddVBand="0" w:evenVBand="0" w:oddHBand="0" w:evenHBand="0" w:firstRowFirstColumn="0" w:firstRowLastColumn="0" w:lastRowFirstColumn="0" w:lastRowLastColumn="0"/>
            <w:tcW w:w="395" w:type="pct"/>
          </w:tcPr>
          <w:p w14:paraId="05E0A3BE" w14:textId="77777777" w:rsidR="009C292B" w:rsidRDefault="009C292B" w:rsidP="00173C90">
            <w:r>
              <w:t>3</w:t>
            </w:r>
          </w:p>
        </w:tc>
        <w:tc>
          <w:tcPr>
            <w:tcW w:w="722" w:type="pct"/>
          </w:tcPr>
          <w:p w14:paraId="15F670C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Panel output</w:t>
            </w:r>
          </w:p>
        </w:tc>
        <w:tc>
          <w:tcPr>
            <w:tcW w:w="1114" w:type="pct"/>
          </w:tcPr>
          <w:p w14:paraId="2A50C04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chr_panel.csv is the single data source for Parts 1, 2, and 3</w:t>
            </w:r>
          </w:p>
        </w:tc>
        <w:tc>
          <w:tcPr>
            <w:tcW w:w="2768" w:type="pct"/>
          </w:tcPr>
          <w:p w14:paraId="76ED6305" w14:textId="4C52A112" w:rsidR="009C292B" w:rsidRDefault="009C292B" w:rsidP="00173C90">
            <w:pPr>
              <w:cnfStyle w:val="000000000000" w:firstRow="0" w:lastRow="0" w:firstColumn="0" w:lastColumn="0" w:oddVBand="0" w:evenVBand="0" w:oddHBand="0" w:evenHBand="0" w:firstRowFirstColumn="0" w:firstRowLastColumn="0" w:lastRowFirstColumn="0" w:lastRowLastColumn="0"/>
            </w:pPr>
            <w:r>
              <w:t>Centralizing all filtering, FIPS harmonization, column standardization, and measurement-year joining into one panel file ensures reproducibility across all subsequent notebooks.</w:t>
            </w:r>
          </w:p>
        </w:tc>
      </w:tr>
      <w:tr w:rsidR="00FA1E78" w14:paraId="29BFC1DB"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hideMark/>
          </w:tcPr>
          <w:p w14:paraId="02821436" w14:textId="77777777" w:rsidR="00FA1E78" w:rsidRPr="00FA1E78" w:rsidRDefault="00FA1E78">
            <w:r w:rsidRPr="00FA1E78">
              <w:t>4</w:t>
            </w:r>
          </w:p>
        </w:tc>
        <w:tc>
          <w:tcPr>
            <w:tcW w:w="722" w:type="pct"/>
            <w:hideMark/>
          </w:tcPr>
          <w:p w14:paraId="534E0A1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Variable classification</w:t>
            </w:r>
          </w:p>
        </w:tc>
        <w:tc>
          <w:tcPr>
            <w:tcW w:w="1114" w:type="pct"/>
            <w:hideMark/>
          </w:tcPr>
          <w:p w14:paraId="73E5460E"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Column-name aliases added for </w:t>
            </w:r>
            <w:proofErr w:type="spellStart"/>
            <w:r w:rsidRPr="00FA1E78">
              <w:t>poverty_rate</w:t>
            </w:r>
            <w:proofErr w:type="spellEnd"/>
            <w:r w:rsidRPr="00FA1E78">
              <w:t xml:space="preserve">, </w:t>
            </w:r>
            <w:proofErr w:type="spellStart"/>
            <w:r w:rsidRPr="00FA1E78">
              <w:t>child_poverty_rate</w:t>
            </w:r>
            <w:proofErr w:type="spellEnd"/>
            <w:r w:rsidRPr="00FA1E78">
              <w:t xml:space="preserve">, </w:t>
            </w:r>
            <w:proofErr w:type="spellStart"/>
            <w:r w:rsidRPr="00FA1E78">
              <w:t>pct_black</w:t>
            </w:r>
            <w:proofErr w:type="spellEnd"/>
            <w:r w:rsidRPr="00FA1E78">
              <w:t xml:space="preserve">, and </w:t>
            </w:r>
            <w:proofErr w:type="spellStart"/>
            <w:r w:rsidRPr="00FA1E78">
              <w:t>pct_aian</w:t>
            </w:r>
            <w:proofErr w:type="spellEnd"/>
            <w:r w:rsidRPr="00FA1E78">
              <w:t>; reclassified as Core</w:t>
            </w:r>
          </w:p>
        </w:tc>
        <w:tc>
          <w:tcPr>
            <w:tcW w:w="2768" w:type="pct"/>
            <w:hideMark/>
          </w:tcPr>
          <w:p w14:paraId="3DBD7F0C"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These four variables are available in every CHR release year but appeared under different column names across releases. Adding alias entries to FEATURE_MAP (e.g., "% Non-Hispanic Black raw value" for </w:t>
            </w:r>
            <w:proofErr w:type="spellStart"/>
            <w:r w:rsidRPr="00FA1E78">
              <w:t>pct_black</w:t>
            </w:r>
            <w:proofErr w:type="spellEnd"/>
            <w:r w:rsidRPr="00FA1E78">
              <w:t xml:space="preserve">, "Population below poverty line raw value" for </w:t>
            </w:r>
            <w:proofErr w:type="spellStart"/>
            <w:r w:rsidRPr="00FA1E78">
              <w:t>poverty_rate</w:t>
            </w:r>
            <w:proofErr w:type="spellEnd"/>
            <w:r w:rsidRPr="00FA1E78">
              <w:t>) brings their missingness to Core levels. The panel was rebuilt and chr_panel.csv updated.</w:t>
            </w:r>
          </w:p>
        </w:tc>
      </w:tr>
      <w:tr w:rsidR="00FA1E78" w14:paraId="582F1076" w14:textId="77777777" w:rsidTr="00980360">
        <w:tc>
          <w:tcPr>
            <w:cnfStyle w:val="001000000000" w:firstRow="0" w:lastRow="0" w:firstColumn="1" w:lastColumn="0" w:oddVBand="0" w:evenVBand="0" w:oddHBand="0" w:evenHBand="0" w:firstRowFirstColumn="0" w:firstRowLastColumn="0" w:lastRowFirstColumn="0" w:lastRowLastColumn="0"/>
            <w:tcW w:w="395" w:type="pct"/>
            <w:hideMark/>
          </w:tcPr>
          <w:p w14:paraId="3C7CC7E0" w14:textId="77777777" w:rsidR="00FA1E78" w:rsidRPr="00FA1E78" w:rsidRDefault="00FA1E78">
            <w:r w:rsidRPr="00FA1E78">
              <w:t>4</w:t>
            </w:r>
          </w:p>
        </w:tc>
        <w:tc>
          <w:tcPr>
            <w:tcW w:w="722" w:type="pct"/>
            <w:hideMark/>
          </w:tcPr>
          <w:p w14:paraId="1A0CA3A2"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Variable classification</w:t>
            </w:r>
          </w:p>
        </w:tc>
        <w:tc>
          <w:tcPr>
            <w:tcW w:w="1114" w:type="pct"/>
            <w:hideMark/>
          </w:tcPr>
          <w:p w14:paraId="71EE4DB9"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proofErr w:type="spellStart"/>
            <w:r w:rsidRPr="00FA1E78">
              <w:t>income_inequality</w:t>
            </w:r>
            <w:proofErr w:type="spellEnd"/>
            <w:r w:rsidRPr="00FA1E78">
              <w:t xml:space="preserve">, </w:t>
            </w:r>
            <w:proofErr w:type="spellStart"/>
            <w:r w:rsidRPr="00FA1E78">
              <w:t>pct_white</w:t>
            </w:r>
            <w:proofErr w:type="spellEnd"/>
            <w:r w:rsidRPr="00FA1E78">
              <w:t xml:space="preserve">, and </w:t>
            </w:r>
            <w:proofErr w:type="spellStart"/>
            <w:r w:rsidRPr="00FA1E78">
              <w:t>severe_housing_rate</w:t>
            </w:r>
            <w:proofErr w:type="spellEnd"/>
            <w:r w:rsidRPr="00FA1E78">
              <w:t xml:space="preserve"> confirmed as genuinely Sparse for 2011-2014 window</w:t>
            </w:r>
          </w:p>
        </w:tc>
        <w:tc>
          <w:tcPr>
            <w:tcW w:w="2768" w:type="pct"/>
            <w:hideMark/>
          </w:tcPr>
          <w:p w14:paraId="5E28A42C"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 xml:space="preserve">CHR did not back-fill these measures for earlier releases. </w:t>
            </w:r>
            <w:proofErr w:type="spellStart"/>
            <w:r w:rsidRPr="00FA1E78">
              <w:t>income_inequality</w:t>
            </w:r>
            <w:proofErr w:type="spellEnd"/>
            <w:r w:rsidRPr="00FA1E78">
              <w:t xml:space="preserve"> is absent in release years 2011-2014; </w:t>
            </w:r>
            <w:proofErr w:type="spellStart"/>
            <w:r w:rsidRPr="00FA1E78">
              <w:t>pct_white</w:t>
            </w:r>
            <w:proofErr w:type="spellEnd"/>
            <w:r w:rsidRPr="00FA1E78">
              <w:t xml:space="preserve"> is absent in 2011-2012; </w:t>
            </w:r>
            <w:proofErr w:type="spellStart"/>
            <w:r w:rsidRPr="00FA1E78">
              <w:t>severe_housing_rate</w:t>
            </w:r>
            <w:proofErr w:type="spellEnd"/>
            <w:r w:rsidRPr="00FA1E78">
              <w:t xml:space="preserve"> is absent in 2011-2013. These gaps are irreversible without an external data source and are documented as real structural missingness.</w:t>
            </w:r>
          </w:p>
        </w:tc>
      </w:tr>
      <w:tr w:rsidR="00FA1E78" w14:paraId="3A5429CD"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hideMark/>
          </w:tcPr>
          <w:p w14:paraId="20976EF6" w14:textId="77777777" w:rsidR="00FA1E78" w:rsidRPr="00FA1E78" w:rsidRDefault="00FA1E78">
            <w:r w:rsidRPr="00FA1E78">
              <w:t>4</w:t>
            </w:r>
          </w:p>
        </w:tc>
        <w:tc>
          <w:tcPr>
            <w:tcW w:w="722" w:type="pct"/>
            <w:hideMark/>
          </w:tcPr>
          <w:p w14:paraId="6C88A30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Modeling window</w:t>
            </w:r>
          </w:p>
        </w:tc>
        <w:tc>
          <w:tcPr>
            <w:tcW w:w="1114" w:type="pct"/>
            <w:hideMark/>
          </w:tcPr>
          <w:p w14:paraId="50E2AD8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Part 2 modeling window set to 2015-2025 (release years)</w:t>
            </w:r>
          </w:p>
        </w:tc>
        <w:tc>
          <w:tcPr>
            <w:tcW w:w="2768" w:type="pct"/>
            <w:hideMark/>
          </w:tcPr>
          <w:p w14:paraId="23276B8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All Core predictors are fully populated from release year 2015 onward. Using 2015-2025 eliminates the need to handle structural missingness in </w:t>
            </w:r>
            <w:proofErr w:type="spellStart"/>
            <w:r w:rsidRPr="00FA1E78">
              <w:t>income_inequality</w:t>
            </w:r>
            <w:proofErr w:type="spellEnd"/>
            <w:r w:rsidRPr="00FA1E78">
              <w:t xml:space="preserve">, </w:t>
            </w:r>
            <w:proofErr w:type="spellStart"/>
            <w:r w:rsidRPr="00FA1E78">
              <w:t>pct_white</w:t>
            </w:r>
            <w:proofErr w:type="spellEnd"/>
            <w:r w:rsidRPr="00FA1E78">
              <w:t xml:space="preserve">, and </w:t>
            </w:r>
            <w:proofErr w:type="spellStart"/>
            <w:r w:rsidRPr="00FA1E78">
              <w:t>severe_housing_rate</w:t>
            </w:r>
            <w:proofErr w:type="spellEnd"/>
            <w:r w:rsidRPr="00FA1E78">
              <w:t xml:space="preserve"> for the panel regression. The descriptive analysis uses the full 2012-2025 panel.</w:t>
            </w:r>
          </w:p>
        </w:tc>
      </w:tr>
      <w:tr w:rsidR="00FA1E78" w14:paraId="2963B66F" w14:textId="77777777" w:rsidTr="00980360">
        <w:tc>
          <w:tcPr>
            <w:cnfStyle w:val="001000000000" w:firstRow="0" w:lastRow="0" w:firstColumn="1" w:lastColumn="0" w:oddVBand="0" w:evenVBand="0" w:oddHBand="0" w:evenHBand="0" w:firstRowFirstColumn="0" w:firstRowLastColumn="0" w:lastRowFirstColumn="0" w:lastRowLastColumn="0"/>
            <w:tcW w:w="395" w:type="pct"/>
            <w:hideMark/>
          </w:tcPr>
          <w:p w14:paraId="49D47391" w14:textId="77777777" w:rsidR="00FA1E78" w:rsidRPr="00FA1E78" w:rsidRDefault="00FA1E78">
            <w:r w:rsidRPr="00FA1E78">
              <w:t>4</w:t>
            </w:r>
          </w:p>
        </w:tc>
        <w:tc>
          <w:tcPr>
            <w:tcW w:w="722" w:type="pct"/>
            <w:hideMark/>
          </w:tcPr>
          <w:p w14:paraId="76625033"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Extension design</w:t>
            </w:r>
          </w:p>
        </w:tc>
        <w:tc>
          <w:tcPr>
            <w:tcW w:w="1114" w:type="pct"/>
            <w:hideMark/>
          </w:tcPr>
          <w:p w14:paraId="34AB9C27"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Medicaid expansion comparison uses population-weighted group means with binary expansion status from Kaiser Family Foundation tracker</w:t>
            </w:r>
          </w:p>
        </w:tc>
        <w:tc>
          <w:tcPr>
            <w:tcW w:w="2768" w:type="pct"/>
            <w:hideMark/>
          </w:tcPr>
          <w:p w14:paraId="3692661A"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Weighting by county population ensures that large counties contribute proportionally to the group trend. Binary expansion status (0/1) is derived from the KFF Medicaid expansion tracker. The comparison is explicitly descriptive and not interpreted causally, given systematic differences between expansion and non-expansion states. A formal event-time analysis using two-way fixed effects is deferred to Part 2.</w:t>
            </w:r>
          </w:p>
        </w:tc>
      </w:tr>
      <w:tr w:rsidR="00980360" w14:paraId="03551497" w14:textId="77777777" w:rsidTr="009803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18EF62AE" w14:textId="72039E06" w:rsidR="00980360" w:rsidRPr="00FA1E78" w:rsidRDefault="00980360">
            <w:r>
              <w:t>4</w:t>
            </w:r>
          </w:p>
        </w:tc>
        <w:tc>
          <w:tcPr>
            <w:tcW w:w="722" w:type="pct"/>
          </w:tcPr>
          <w:p w14:paraId="32A97A63" w14:textId="1D659CB6" w:rsidR="00980360" w:rsidRPr="00FA1E78" w:rsidRDefault="00980360">
            <w:pPr>
              <w:cnfStyle w:val="000000100000" w:firstRow="0" w:lastRow="0" w:firstColumn="0" w:lastColumn="0" w:oddVBand="0" w:evenVBand="0" w:oddHBand="1" w:evenHBand="0" w:firstRowFirstColumn="0" w:firstRowLastColumn="0" w:lastRowFirstColumn="0" w:lastRowLastColumn="0"/>
            </w:pPr>
            <w:r>
              <w:t>Variable Classification</w:t>
            </w:r>
          </w:p>
        </w:tc>
        <w:tc>
          <w:tcPr>
            <w:tcW w:w="1114" w:type="pct"/>
          </w:tcPr>
          <w:p w14:paraId="2AC90541" w14:textId="5E744E4A" w:rsidR="00980360" w:rsidRPr="00FA1E78" w:rsidRDefault="0098036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removed from feature map</w:t>
            </w:r>
          </w:p>
        </w:tc>
        <w:tc>
          <w:tcPr>
            <w:tcW w:w="2768" w:type="pct"/>
          </w:tcPr>
          <w:p w14:paraId="7CDB478E" w14:textId="2B8A46F5" w:rsidR="00980360" w:rsidRPr="00FA1E78" w:rsidRDefault="001B31B8">
            <w:pPr>
              <w:cnfStyle w:val="000000100000" w:firstRow="0" w:lastRow="0" w:firstColumn="0" w:lastColumn="0" w:oddVBand="0" w:evenVBand="0" w:oddHBand="1" w:evenHBand="0" w:firstRowFirstColumn="0" w:firstRowLastColumn="0" w:lastRowFirstColumn="0" w:lastRowLastColumn="0"/>
            </w:pPr>
            <w:proofErr w:type="spellStart"/>
            <w:r w:rsidRPr="001B31B8">
              <w:t>poverty_rate</w:t>
            </w:r>
            <w:proofErr w:type="spellEnd"/>
            <w:r w:rsidRPr="001B31B8">
              <w:t xml:space="preserve"> (v118_rawvalue)</w:t>
            </w:r>
            <w:r w:rsidRPr="001B31B8">
              <w:t xml:space="preserve"> </w:t>
            </w:r>
            <w:r w:rsidR="00BF3849" w:rsidRPr="00BF3849">
              <w:t>was removed from the feature set after diagnostics confirmed it is populated exclusively for Wisconsin counties in the CHR files and is not a national county-level measure. Child poverty rate (v024_rawvalue) is retained as the poverty proxy and is Core-level across all 14 primary years.</w:t>
            </w:r>
          </w:p>
        </w:tc>
      </w:tr>
    </w:tbl>
    <w:p w14:paraId="7CFCB634" w14:textId="77777777" w:rsidR="008D514E" w:rsidRDefault="008D514E"/>
    <w:sectPr w:rsidR="008D5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92B"/>
    <w:rsid w:val="000265E9"/>
    <w:rsid w:val="000C21BA"/>
    <w:rsid w:val="001B31B8"/>
    <w:rsid w:val="001C767D"/>
    <w:rsid w:val="004B4832"/>
    <w:rsid w:val="008715EE"/>
    <w:rsid w:val="008D514E"/>
    <w:rsid w:val="00980360"/>
    <w:rsid w:val="009C292B"/>
    <w:rsid w:val="00BF3849"/>
    <w:rsid w:val="00CE001D"/>
    <w:rsid w:val="00D575F8"/>
    <w:rsid w:val="00FA1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CA232"/>
  <w15:chartTrackingRefBased/>
  <w15:docId w15:val="{06283CA1-7AF6-4B79-A3E6-7CA6C6D55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92B"/>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9C292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C292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C292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C292B"/>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C292B"/>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C292B"/>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C292B"/>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C292B"/>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C292B"/>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9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92B"/>
    <w:rPr>
      <w:rFonts w:eastAsiaTheme="majorEastAsia" w:cstheme="majorBidi"/>
      <w:color w:val="272727" w:themeColor="text1" w:themeTint="D8"/>
    </w:rPr>
  </w:style>
  <w:style w:type="paragraph" w:styleId="Title">
    <w:name w:val="Title"/>
    <w:basedOn w:val="Normal"/>
    <w:next w:val="Normal"/>
    <w:link w:val="TitleChar"/>
    <w:uiPriority w:val="10"/>
    <w:qFormat/>
    <w:rsid w:val="009C292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C2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92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C2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92B"/>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C292B"/>
    <w:rPr>
      <w:i/>
      <w:iCs/>
      <w:color w:val="404040" w:themeColor="text1" w:themeTint="BF"/>
    </w:rPr>
  </w:style>
  <w:style w:type="paragraph" w:styleId="ListParagraph">
    <w:name w:val="List Paragraph"/>
    <w:basedOn w:val="Normal"/>
    <w:uiPriority w:val="34"/>
    <w:qFormat/>
    <w:rsid w:val="009C292B"/>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9C292B"/>
    <w:rPr>
      <w:i/>
      <w:iCs/>
      <w:color w:val="0F4761" w:themeColor="accent1" w:themeShade="BF"/>
    </w:rPr>
  </w:style>
  <w:style w:type="paragraph" w:styleId="IntenseQuote">
    <w:name w:val="Intense Quote"/>
    <w:basedOn w:val="Normal"/>
    <w:next w:val="Normal"/>
    <w:link w:val="IntenseQuoteChar"/>
    <w:uiPriority w:val="30"/>
    <w:qFormat/>
    <w:rsid w:val="009C292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C292B"/>
    <w:rPr>
      <w:i/>
      <w:iCs/>
      <w:color w:val="0F4761" w:themeColor="accent1" w:themeShade="BF"/>
    </w:rPr>
  </w:style>
  <w:style w:type="character" w:styleId="IntenseReference">
    <w:name w:val="Intense Reference"/>
    <w:basedOn w:val="DefaultParagraphFont"/>
    <w:uiPriority w:val="32"/>
    <w:qFormat/>
    <w:rsid w:val="009C292B"/>
    <w:rPr>
      <w:b/>
      <w:bCs/>
      <w:smallCaps/>
      <w:color w:val="0F4761" w:themeColor="accent1" w:themeShade="BF"/>
      <w:spacing w:val="5"/>
    </w:rPr>
  </w:style>
  <w:style w:type="table" w:styleId="GridTable4-Accent2">
    <w:name w:val="Grid Table 4 Accent 2"/>
    <w:basedOn w:val="TableNormal"/>
    <w:uiPriority w:val="49"/>
    <w:rsid w:val="009C292B"/>
    <w:pPr>
      <w:spacing w:after="0" w:line="240" w:lineRule="auto"/>
    </w:pPr>
    <w:rPr>
      <w:rFonts w:ascii="Arial" w:eastAsia="Arial" w:hAnsi="Arial" w:cs="Arial"/>
      <w:kern w:val="0"/>
      <w:sz w:val="20"/>
      <w:szCs w:val="20"/>
      <w14:ligatures w14:val="none"/>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D9746C7FF84C449B12CEB48A8E17926" ma:contentTypeVersion="16" ma:contentTypeDescription="Create a new document." ma:contentTypeScope="" ma:versionID="4bb6fe4e1c75b5540c1f4ab272283b02">
  <xsd:schema xmlns:xsd="http://www.w3.org/2001/XMLSchema" xmlns:xs="http://www.w3.org/2001/XMLSchema" xmlns:p="http://schemas.microsoft.com/office/2006/metadata/properties" xmlns:ns3="706b8aa2-8af0-4ab8-9873-df9911b98d43" xmlns:ns4="51b1e863-652f-4e12-a6c4-d71aedd5f070" targetNamespace="http://schemas.microsoft.com/office/2006/metadata/properties" ma:root="true" ma:fieldsID="12b9d2ff6dca74e3d66d5dd31ea60895" ns3:_="" ns4:_="">
    <xsd:import namespace="706b8aa2-8af0-4ab8-9873-df9911b98d43"/>
    <xsd:import namespace="51b1e863-652f-4e12-a6c4-d71aedd5f07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AutoTags"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6b8aa2-8af0-4ab8-9873-df9911b98d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AutoTags" ma:index="18" nillable="true" ma:displayName="Tags" ma:internalName="MediaServiceAutoTag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b1e863-652f-4e12-a6c4-d71aedd5f07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06b8aa2-8af0-4ab8-9873-df9911b98d43" xsi:nil="true"/>
  </documentManagement>
</p:properties>
</file>

<file path=customXml/itemProps1.xml><?xml version="1.0" encoding="utf-8"?>
<ds:datastoreItem xmlns:ds="http://schemas.openxmlformats.org/officeDocument/2006/customXml" ds:itemID="{7C4BBCEE-F67C-403A-BDA6-D1A8F72166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6b8aa2-8af0-4ab8-9873-df9911b98d43"/>
    <ds:schemaRef ds:uri="51b1e863-652f-4e12-a6c4-d71aedd5f0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A5B4EB-9640-4FFD-98EB-39AF60ECE5C4}">
  <ds:schemaRefs>
    <ds:schemaRef ds:uri="http://schemas.microsoft.com/sharepoint/v3/contenttype/forms"/>
  </ds:schemaRefs>
</ds:datastoreItem>
</file>

<file path=customXml/itemProps3.xml><?xml version="1.0" encoding="utf-8"?>
<ds:datastoreItem xmlns:ds="http://schemas.openxmlformats.org/officeDocument/2006/customXml" ds:itemID="{9F6F1979-D164-4E8C-BB05-AAFC2A814FE6}">
  <ds:schemaRefs>
    <ds:schemaRef ds:uri="http://schemas.microsoft.com/office/2006/metadata/properties"/>
    <ds:schemaRef ds:uri="http://schemas.microsoft.com/office/infopath/2007/PartnerControls"/>
    <ds:schemaRef ds:uri="706b8aa2-8af0-4ab8-9873-df9911b98d43"/>
  </ds:schemaRefs>
</ds:datastoreItem>
</file>

<file path=docMetadata/LabelInfo.xml><?xml version="1.0" encoding="utf-8"?>
<clbl:labelList xmlns:clbl="http://schemas.microsoft.com/office/2020/mipLabelMetadata">
  <clbl:label id="{762ebf40-80b2-40ba-86fe-6dd409acb499}" enabled="0" method="" siteId="{762ebf40-80b2-40ba-86fe-6dd409acb499}" removed="1"/>
</clbl:labelList>
</file>

<file path=docProps/app.xml><?xml version="1.0" encoding="utf-8"?>
<Properties xmlns="http://schemas.openxmlformats.org/officeDocument/2006/extended-properties" xmlns:vt="http://schemas.openxmlformats.org/officeDocument/2006/docPropsVTypes">
  <Template>Normal</Template>
  <TotalTime>169</TotalTime>
  <Pages>2</Pages>
  <Words>962</Words>
  <Characters>5938</Characters>
  <Application>Microsoft Office Word</Application>
  <DocSecurity>0</DocSecurity>
  <Lines>269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Phillips</dc:creator>
  <cp:keywords/>
  <dc:description/>
  <cp:lastModifiedBy>Seth Phillips</cp:lastModifiedBy>
  <cp:revision>7</cp:revision>
  <dcterms:created xsi:type="dcterms:W3CDTF">2026-06-03T19:28:00Z</dcterms:created>
  <dcterms:modified xsi:type="dcterms:W3CDTF">2026-06-11T05:20:00Z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0x0101001D9746C7FF84C449B12CEB48A8E17926</vt:lpwstr>
  </property>
</Properties>
</file>