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4-Accent2"/>
        <w:tblW w:w="5000" w:type="pct"/>
        <w:tblLook w:val="04A0" w:firstRow="1" w:lastRow="0" w:firstColumn="1" w:lastColumn="0" w:noHBand="0" w:noVBand="1"/>
      </w:tblPr>
      <w:tblGrid>
        <w:gridCol w:w="739"/>
        <w:gridCol w:w="1350"/>
        <w:gridCol w:w="1539"/>
        <w:gridCol w:w="5722"/>
      </w:tblGrid>
      <w:tr w:rsidR="009C292B" w14:paraId="62A1B6E8" w14:textId="77777777" w:rsidTr="009C29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 w:type="pct"/>
          </w:tcPr>
          <w:p w14:paraId="2B292D68" w14:textId="77777777" w:rsidR="009C292B" w:rsidRDefault="009C292B" w:rsidP="00173C90">
            <w:r>
              <w:rPr>
                <w:color w:val="FFFFFF"/>
              </w:rPr>
              <w:t>Week</w:t>
            </w:r>
          </w:p>
        </w:tc>
        <w:tc>
          <w:tcPr>
            <w:tcW w:w="491" w:type="pct"/>
          </w:tcPr>
          <w:p w14:paraId="65BFA82D" w14:textId="77777777" w:rsidR="009C292B" w:rsidRDefault="009C292B" w:rsidP="00173C90">
            <w:pPr>
              <w:cnfStyle w:val="100000000000" w:firstRow="1" w:lastRow="0" w:firstColumn="0" w:lastColumn="0" w:oddVBand="0" w:evenVBand="0" w:oddHBand="0" w:evenHBand="0" w:firstRowFirstColumn="0" w:firstRowLastColumn="0" w:lastRowFirstColumn="0" w:lastRowLastColumn="0"/>
            </w:pPr>
            <w:r>
              <w:rPr>
                <w:color w:val="FFFFFF"/>
              </w:rPr>
              <w:t>Category</w:t>
            </w:r>
          </w:p>
        </w:tc>
        <w:tc>
          <w:tcPr>
            <w:tcW w:w="875" w:type="pct"/>
          </w:tcPr>
          <w:p w14:paraId="04A3A570" w14:textId="77777777" w:rsidR="009C292B" w:rsidRDefault="009C292B" w:rsidP="00173C90">
            <w:pPr>
              <w:cnfStyle w:val="100000000000" w:firstRow="1" w:lastRow="0" w:firstColumn="0" w:lastColumn="0" w:oddVBand="0" w:evenVBand="0" w:oddHBand="0" w:evenHBand="0" w:firstRowFirstColumn="0" w:firstRowLastColumn="0" w:lastRowFirstColumn="0" w:lastRowLastColumn="0"/>
            </w:pPr>
            <w:r>
              <w:rPr>
                <w:color w:val="FFFFFF"/>
              </w:rPr>
              <w:t>Decision</w:t>
            </w:r>
          </w:p>
        </w:tc>
        <w:tc>
          <w:tcPr>
            <w:tcW w:w="3375" w:type="pct"/>
          </w:tcPr>
          <w:p w14:paraId="150E5A0F" w14:textId="77777777" w:rsidR="009C292B" w:rsidRDefault="009C292B" w:rsidP="00173C90">
            <w:pPr>
              <w:cnfStyle w:val="100000000000" w:firstRow="1" w:lastRow="0" w:firstColumn="0" w:lastColumn="0" w:oddVBand="0" w:evenVBand="0" w:oddHBand="0" w:evenHBand="0" w:firstRowFirstColumn="0" w:firstRowLastColumn="0" w:lastRowFirstColumn="0" w:lastRowLastColumn="0"/>
            </w:pPr>
            <w:r>
              <w:rPr>
                <w:color w:val="FFFFFF"/>
              </w:rPr>
              <w:t>Justification</w:t>
            </w:r>
          </w:p>
        </w:tc>
      </w:tr>
      <w:tr w:rsidR="009C292B" w14:paraId="765AD3D9" w14:textId="77777777" w:rsidTr="009C29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 w:type="pct"/>
          </w:tcPr>
          <w:p w14:paraId="70F2CABB" w14:textId="77777777" w:rsidR="009C292B" w:rsidRDefault="009C292B" w:rsidP="00173C90">
            <w:r>
              <w:t>2</w:t>
            </w:r>
          </w:p>
        </w:tc>
        <w:tc>
          <w:tcPr>
            <w:tcW w:w="491" w:type="pct"/>
          </w:tcPr>
          <w:p w14:paraId="2D5849B7"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Study period</w:t>
            </w:r>
          </w:p>
        </w:tc>
        <w:tc>
          <w:tcPr>
            <w:tcW w:w="875" w:type="pct"/>
          </w:tcPr>
          <w:p w14:paraId="2F10CCF8"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Primary panel: 2012-2025 (release years)</w:t>
            </w:r>
          </w:p>
        </w:tc>
        <w:tc>
          <w:tcPr>
            <w:tcW w:w="3375" w:type="pct"/>
          </w:tcPr>
          <w:p w14:paraId="3294179E"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CHR began the all-ages uninsured measure (v085) in 2012. Using 2010-2011 in the primary series would mix two different measure populations (adults-only v003 vs all-ages v085), creating a structural break. A clean 14-year all-ages series is more defensible for longitudinal modeling.</w:t>
            </w:r>
          </w:p>
        </w:tc>
      </w:tr>
      <w:tr w:rsidR="009C292B" w14:paraId="2A00A5DA" w14:textId="77777777" w:rsidTr="009C292B">
        <w:tc>
          <w:tcPr>
            <w:cnfStyle w:val="001000000000" w:firstRow="0" w:lastRow="0" w:firstColumn="1" w:lastColumn="0" w:oddVBand="0" w:evenVBand="0" w:oddHBand="0" w:evenHBand="0" w:firstRowFirstColumn="0" w:firstRowLastColumn="0" w:lastRowFirstColumn="0" w:lastRowLastColumn="0"/>
            <w:tcW w:w="259" w:type="pct"/>
          </w:tcPr>
          <w:p w14:paraId="157E28AA" w14:textId="77777777" w:rsidR="009C292B" w:rsidRDefault="009C292B" w:rsidP="00173C90">
            <w:r>
              <w:t>2</w:t>
            </w:r>
          </w:p>
        </w:tc>
        <w:tc>
          <w:tcPr>
            <w:tcW w:w="491" w:type="pct"/>
          </w:tcPr>
          <w:p w14:paraId="23EACCEA"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Study period</w:t>
            </w:r>
          </w:p>
        </w:tc>
        <w:tc>
          <w:tcPr>
            <w:tcW w:w="875" w:type="pct"/>
          </w:tcPr>
          <w:p w14:paraId="01C3E79B"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2010-2011 reserved as independent extension using adults-only measure (v003)</w:t>
            </w:r>
          </w:p>
        </w:tc>
        <w:tc>
          <w:tcPr>
            <w:tcW w:w="3375" w:type="pct"/>
          </w:tcPr>
          <w:p w14:paraId="5398DA6F"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The adult uninsured rate (ages 18-64) is available from 2010 onward and enables a full 16-year series. Preserving 2010-2011 in a separate panel allows the extension analysis (RQ1) to quantify the magnitude of the measure-population break between the two series.</w:t>
            </w:r>
          </w:p>
        </w:tc>
      </w:tr>
      <w:tr w:rsidR="009C292B" w14:paraId="4741B772" w14:textId="77777777" w:rsidTr="009C29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 w:type="pct"/>
          </w:tcPr>
          <w:p w14:paraId="75E75849" w14:textId="77777777" w:rsidR="009C292B" w:rsidRDefault="009C292B" w:rsidP="00173C90">
            <w:r>
              <w:t>2</w:t>
            </w:r>
          </w:p>
        </w:tc>
        <w:tc>
          <w:tcPr>
            <w:tcW w:w="491" w:type="pct"/>
          </w:tcPr>
          <w:p w14:paraId="4732DC49"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Geography</w:t>
            </w:r>
          </w:p>
        </w:tc>
        <w:tc>
          <w:tcPr>
            <w:tcW w:w="875" w:type="pct"/>
          </w:tcPr>
          <w:p w14:paraId="0539A86D"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Connecticut excluded from the panel entirely</w:t>
            </w:r>
          </w:p>
        </w:tc>
        <w:tc>
          <w:tcPr>
            <w:tcW w:w="3375" w:type="pct"/>
          </w:tcPr>
          <w:p w14:paraId="0FFF1127"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Connecticut replaced its 8 counties with 9 planning regions in the 2022 CHR release. A clean crosswalk is not feasible for most variables. Excluding CT at the assembly stage keeps the sample geographically consistent across all descriptive and modeling sections.</w:t>
            </w:r>
          </w:p>
        </w:tc>
      </w:tr>
      <w:tr w:rsidR="009C292B" w14:paraId="778EE341" w14:textId="77777777" w:rsidTr="009C292B">
        <w:tc>
          <w:tcPr>
            <w:cnfStyle w:val="001000000000" w:firstRow="0" w:lastRow="0" w:firstColumn="1" w:lastColumn="0" w:oddVBand="0" w:evenVBand="0" w:oddHBand="0" w:evenHBand="0" w:firstRowFirstColumn="0" w:firstRowLastColumn="0" w:lastRowFirstColumn="0" w:lastRowLastColumn="0"/>
            <w:tcW w:w="259" w:type="pct"/>
          </w:tcPr>
          <w:p w14:paraId="3F2765AF" w14:textId="77777777" w:rsidR="009C292B" w:rsidRDefault="009C292B" w:rsidP="00173C90">
            <w:r>
              <w:t>2</w:t>
            </w:r>
          </w:p>
        </w:tc>
        <w:tc>
          <w:tcPr>
            <w:tcW w:w="491" w:type="pct"/>
          </w:tcPr>
          <w:p w14:paraId="6574B92C"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FIPS handling</w:t>
            </w:r>
          </w:p>
        </w:tc>
        <w:tc>
          <w:tcPr>
            <w:tcW w:w="875" w:type="pct"/>
          </w:tcPr>
          <w:p w14:paraId="49F0BB94"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FIPS codes treated as strings throughout; zero-padded to 5 digits</w:t>
            </w:r>
          </w:p>
        </w:tc>
        <w:tc>
          <w:tcPr>
            <w:tcW w:w="3375" w:type="pct"/>
          </w:tcPr>
          <w:p w14:paraId="3358FA81"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Reading FIPS as integers strips leading zeros (e.g., Alabama counties become 1001 instead of 01001), which breaks all merge and filter operations. String treatment is applied consistently at the file-read stage.</w:t>
            </w:r>
          </w:p>
        </w:tc>
      </w:tr>
      <w:tr w:rsidR="009C292B" w14:paraId="1DEB659F" w14:textId="77777777" w:rsidTr="009C29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 w:type="pct"/>
          </w:tcPr>
          <w:p w14:paraId="3FB11DE3" w14:textId="77777777" w:rsidR="009C292B" w:rsidRDefault="009C292B" w:rsidP="00173C90">
            <w:r>
              <w:t>2</w:t>
            </w:r>
          </w:p>
        </w:tc>
        <w:tc>
          <w:tcPr>
            <w:tcW w:w="491" w:type="pct"/>
          </w:tcPr>
          <w:p w14:paraId="08D46F40"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Row filtering</w:t>
            </w:r>
          </w:p>
        </w:tc>
        <w:tc>
          <w:tcPr>
            <w:tcW w:w="875" w:type="pct"/>
          </w:tcPr>
          <w:p w14:paraId="58BC9F4C"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State summary rows (county FIPS portion = 000) filtered before stacking</w:t>
            </w:r>
          </w:p>
        </w:tc>
        <w:tc>
          <w:tcPr>
            <w:tcW w:w="3375" w:type="pct"/>
          </w:tcPr>
          <w:p w14:paraId="57381786"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Each CHR file contains one state-level summary row per state. These rows represent state aggregates, not counties, and must be removed before constructing a county-level panel.</w:t>
            </w:r>
          </w:p>
        </w:tc>
      </w:tr>
      <w:tr w:rsidR="009C292B" w14:paraId="255EB30D" w14:textId="77777777" w:rsidTr="009C292B">
        <w:tc>
          <w:tcPr>
            <w:cnfStyle w:val="001000000000" w:firstRow="0" w:lastRow="0" w:firstColumn="1" w:lastColumn="0" w:oddVBand="0" w:evenVBand="0" w:oddHBand="0" w:evenHBand="0" w:firstRowFirstColumn="0" w:firstRowLastColumn="0" w:lastRowFirstColumn="0" w:lastRowLastColumn="0"/>
            <w:tcW w:w="259" w:type="pct"/>
          </w:tcPr>
          <w:p w14:paraId="6AA6347D" w14:textId="77777777" w:rsidR="009C292B" w:rsidRDefault="009C292B" w:rsidP="00173C90">
            <w:r>
              <w:t>2</w:t>
            </w:r>
          </w:p>
        </w:tc>
        <w:tc>
          <w:tcPr>
            <w:tcW w:w="491" w:type="pct"/>
          </w:tcPr>
          <w:p w14:paraId="0538944D"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Time axis</w:t>
            </w:r>
          </w:p>
        </w:tc>
        <w:tc>
          <w:tcPr>
            <w:tcW w:w="875" w:type="pct"/>
          </w:tcPr>
          <w:p w14:paraId="669E0F3C"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proofErr w:type="spellStart"/>
            <w:r>
              <w:t>measure_year</w:t>
            </w:r>
            <w:proofErr w:type="spellEnd"/>
            <w:r>
              <w:t xml:space="preserve"> used as time axis; </w:t>
            </w:r>
            <w:proofErr w:type="spellStart"/>
            <w:r>
              <w:t>release_year</w:t>
            </w:r>
            <w:proofErr w:type="spellEnd"/>
            <w:r>
              <w:t xml:space="preserve"> retained for provenance only</w:t>
            </w:r>
          </w:p>
        </w:tc>
        <w:tc>
          <w:tcPr>
            <w:tcW w:w="3375" w:type="pct"/>
          </w:tcPr>
          <w:p w14:paraId="58BB52A7"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 xml:space="preserve">CHR release year is not the same as the underlying survey year. The uninsured measure draws from SAHIE single-year estimates with a consistent </w:t>
            </w:r>
            <w:proofErr w:type="gramStart"/>
            <w:r>
              <w:t>2-3 year</w:t>
            </w:r>
            <w:proofErr w:type="gramEnd"/>
            <w:r>
              <w:t xml:space="preserve"> lag. Using release year on the time axis would misrepresent when the data were collected and misalign trend plots with policy events. All 16 measure years were verified against CHR technical documents.</w:t>
            </w:r>
          </w:p>
        </w:tc>
      </w:tr>
      <w:tr w:rsidR="009C292B" w14:paraId="1F22D26F" w14:textId="77777777" w:rsidTr="009C29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 w:type="pct"/>
          </w:tcPr>
          <w:p w14:paraId="3D07C028" w14:textId="77777777" w:rsidR="009C292B" w:rsidRDefault="009C292B" w:rsidP="00173C90">
            <w:r>
              <w:t>3</w:t>
            </w:r>
          </w:p>
        </w:tc>
        <w:tc>
          <w:tcPr>
            <w:tcW w:w="491" w:type="pct"/>
          </w:tcPr>
          <w:p w14:paraId="6D638E7A"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Outcome variable</w:t>
            </w:r>
          </w:p>
        </w:tc>
        <w:tc>
          <w:tcPr>
            <w:tcW w:w="875" w:type="pct"/>
          </w:tcPr>
          <w:p w14:paraId="1F5DD742"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 xml:space="preserve">Primary outcome: </w:t>
            </w:r>
            <w:proofErr w:type="spellStart"/>
            <w:r>
              <w:t>uninsured_raw</w:t>
            </w:r>
            <w:proofErr w:type="spellEnd"/>
            <w:r>
              <w:t xml:space="preserve"> (all-ages, v085/v059)</w:t>
            </w:r>
          </w:p>
        </w:tc>
        <w:tc>
          <w:tcPr>
            <w:tcW w:w="3375" w:type="pct"/>
          </w:tcPr>
          <w:p w14:paraId="6E17B90B"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The all-ages uninsured rate covers the broadest, most policy-relevant population and is available in 14 consecutive release years (2012-2025) from a consistent SAHIE source. It is 0% missing across all 14 primary years in the final panel.</w:t>
            </w:r>
          </w:p>
        </w:tc>
      </w:tr>
      <w:tr w:rsidR="009C292B" w14:paraId="2FC971E8" w14:textId="77777777" w:rsidTr="009C292B">
        <w:tc>
          <w:tcPr>
            <w:cnfStyle w:val="001000000000" w:firstRow="0" w:lastRow="0" w:firstColumn="1" w:lastColumn="0" w:oddVBand="0" w:evenVBand="0" w:oddHBand="0" w:evenHBand="0" w:firstRowFirstColumn="0" w:firstRowLastColumn="0" w:lastRowFirstColumn="0" w:lastRowLastColumn="0"/>
            <w:tcW w:w="259" w:type="pct"/>
          </w:tcPr>
          <w:p w14:paraId="15EFB47C" w14:textId="77777777" w:rsidR="009C292B" w:rsidRDefault="009C292B" w:rsidP="00173C90">
            <w:r>
              <w:t>3</w:t>
            </w:r>
          </w:p>
        </w:tc>
        <w:tc>
          <w:tcPr>
            <w:tcW w:w="491" w:type="pct"/>
          </w:tcPr>
          <w:p w14:paraId="27EBA974"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Feature selection</w:t>
            </w:r>
          </w:p>
        </w:tc>
        <w:tc>
          <w:tcPr>
            <w:tcW w:w="875" w:type="pct"/>
          </w:tcPr>
          <w:p w14:paraId="16D087A8"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18 socioeconomic and demographic predictors selected; health-behavior measures excluded</w:t>
            </w:r>
          </w:p>
        </w:tc>
        <w:tc>
          <w:tcPr>
            <w:tcW w:w="3375" w:type="pct"/>
          </w:tcPr>
          <w:p w14:paraId="58F0FA91"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Variables selected cover income and poverty (</w:t>
            </w:r>
            <w:proofErr w:type="spellStart"/>
            <w:r>
              <w:t>median_income</w:t>
            </w:r>
            <w:proofErr w:type="spellEnd"/>
            <w:r>
              <w:t xml:space="preserve">, </w:t>
            </w:r>
            <w:proofErr w:type="spellStart"/>
            <w:r>
              <w:t>child_poverty_rate</w:t>
            </w:r>
            <w:proofErr w:type="spellEnd"/>
            <w:r>
              <w:t xml:space="preserve">, </w:t>
            </w:r>
            <w:proofErr w:type="spellStart"/>
            <w:r>
              <w:t>poverty_rate</w:t>
            </w:r>
            <w:proofErr w:type="spellEnd"/>
            <w:r>
              <w:t>), education (</w:t>
            </w:r>
            <w:proofErr w:type="spellStart"/>
            <w:r>
              <w:t>hs_graduation_rate</w:t>
            </w:r>
            <w:proofErr w:type="spellEnd"/>
            <w:r>
              <w:t xml:space="preserve">, </w:t>
            </w:r>
            <w:proofErr w:type="spellStart"/>
            <w:r>
              <w:t>some_college_rate</w:t>
            </w:r>
            <w:proofErr w:type="spellEnd"/>
            <w:r>
              <w:t>), labor market (</w:t>
            </w:r>
            <w:proofErr w:type="spellStart"/>
            <w:r>
              <w:t>unemployment_rate</w:t>
            </w:r>
            <w:proofErr w:type="spellEnd"/>
            <w:r>
              <w:t>), household structure (</w:t>
            </w:r>
            <w:proofErr w:type="spellStart"/>
            <w:r>
              <w:t>single_parent_rate</w:t>
            </w:r>
            <w:proofErr w:type="spellEnd"/>
            <w:r>
              <w:t>), housing (</w:t>
            </w:r>
            <w:proofErr w:type="spellStart"/>
            <w:r>
              <w:t>severe_housing_rate</w:t>
            </w:r>
            <w:proofErr w:type="spellEnd"/>
            <w:r>
              <w:t>), rurality (</w:t>
            </w:r>
            <w:proofErr w:type="spellStart"/>
            <w:r>
              <w:t>pct_rural</w:t>
            </w:r>
            <w:proofErr w:type="spellEnd"/>
            <w:r>
              <w:t>), age composition (pct_under18, pct_65plus), race/ethnicity (</w:t>
            </w:r>
            <w:proofErr w:type="spellStart"/>
            <w:r>
              <w:t>pct_black</w:t>
            </w:r>
            <w:proofErr w:type="spellEnd"/>
            <w:r>
              <w:t xml:space="preserve">, </w:t>
            </w:r>
            <w:proofErr w:type="spellStart"/>
            <w:r>
              <w:t>pct_aian</w:t>
            </w:r>
            <w:proofErr w:type="spellEnd"/>
            <w:r>
              <w:t xml:space="preserve">, </w:t>
            </w:r>
            <w:proofErr w:type="spellStart"/>
            <w:r>
              <w:t>pct_asian</w:t>
            </w:r>
            <w:proofErr w:type="spellEnd"/>
            <w:r>
              <w:t xml:space="preserve">, </w:t>
            </w:r>
            <w:proofErr w:type="spellStart"/>
            <w:r>
              <w:t>pct_hispanic</w:t>
            </w:r>
            <w:proofErr w:type="spellEnd"/>
            <w:r>
              <w:t xml:space="preserve">, </w:t>
            </w:r>
            <w:proofErr w:type="spellStart"/>
            <w:r>
              <w:t>pct_white</w:t>
            </w:r>
            <w:proofErr w:type="spellEnd"/>
            <w:r>
              <w:t>), and population. Health-behavior measures (smoking, obesity, physical inactivity) are excluded because they are plausibly downstream of insurance access and would complicate Part 1 interpretation.</w:t>
            </w:r>
          </w:p>
        </w:tc>
      </w:tr>
      <w:tr w:rsidR="009C292B" w14:paraId="308886FD" w14:textId="77777777" w:rsidTr="009C29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 w:type="pct"/>
          </w:tcPr>
          <w:p w14:paraId="5E2393F7" w14:textId="77777777" w:rsidR="009C292B" w:rsidRDefault="009C292B" w:rsidP="00173C90">
            <w:r>
              <w:t>3</w:t>
            </w:r>
          </w:p>
        </w:tc>
        <w:tc>
          <w:tcPr>
            <w:tcW w:w="491" w:type="pct"/>
          </w:tcPr>
          <w:p w14:paraId="15F05DE6"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Variable classification</w:t>
            </w:r>
          </w:p>
        </w:tc>
        <w:tc>
          <w:tcPr>
            <w:tcW w:w="875" w:type="pct"/>
          </w:tcPr>
          <w:p w14:paraId="414EFB00"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 xml:space="preserve">Variables classified as </w:t>
            </w:r>
            <w:r>
              <w:lastRenderedPageBreak/>
              <w:t>Core, Partial, or Sparse based on year coverage and missingness</w:t>
            </w:r>
          </w:p>
        </w:tc>
        <w:tc>
          <w:tcPr>
            <w:tcW w:w="3375" w:type="pct"/>
          </w:tcPr>
          <w:p w14:paraId="0DFFFC8E"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lastRenderedPageBreak/>
              <w:t xml:space="preserve">Core: present in all 14 primary years with 90%+ county coverage (12 variables). Partial: present in most years with </w:t>
            </w:r>
            <w:r>
              <w:lastRenderedPageBreak/>
              <w:t>gaps or elevated missingness (4 variables). Sparse: missing in many years or below 70% overall coverage (4 variables). Core variables are used in all models. Partial variables are used with noted caveats. Sparse variables are supplementary only.</w:t>
            </w:r>
          </w:p>
        </w:tc>
      </w:tr>
      <w:tr w:rsidR="009C292B" w14:paraId="25224821" w14:textId="77777777" w:rsidTr="009C292B">
        <w:tc>
          <w:tcPr>
            <w:cnfStyle w:val="001000000000" w:firstRow="0" w:lastRow="0" w:firstColumn="1" w:lastColumn="0" w:oddVBand="0" w:evenVBand="0" w:oddHBand="0" w:evenHBand="0" w:firstRowFirstColumn="0" w:firstRowLastColumn="0" w:lastRowFirstColumn="0" w:lastRowLastColumn="0"/>
            <w:tcW w:w="259" w:type="pct"/>
          </w:tcPr>
          <w:p w14:paraId="00AF629E" w14:textId="77777777" w:rsidR="009C292B" w:rsidRDefault="009C292B" w:rsidP="00173C90">
            <w:r>
              <w:lastRenderedPageBreak/>
              <w:t>3</w:t>
            </w:r>
          </w:p>
        </w:tc>
        <w:tc>
          <w:tcPr>
            <w:tcW w:w="491" w:type="pct"/>
          </w:tcPr>
          <w:p w14:paraId="6366FE8B"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Variable classification</w:t>
            </w:r>
          </w:p>
        </w:tc>
        <w:tc>
          <w:tcPr>
            <w:tcW w:w="875" w:type="pct"/>
          </w:tcPr>
          <w:p w14:paraId="01400EB7"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proofErr w:type="spellStart"/>
            <w:r>
              <w:t>pct_black</w:t>
            </w:r>
            <w:proofErr w:type="spellEnd"/>
            <w:r>
              <w:t xml:space="preserve"> and </w:t>
            </w:r>
            <w:proofErr w:type="spellStart"/>
            <w:r>
              <w:t>pct_aian</w:t>
            </w:r>
            <w:proofErr w:type="spellEnd"/>
            <w:r>
              <w:t xml:space="preserve"> classified Sparse; available 2012-2019 only</w:t>
            </w:r>
          </w:p>
        </w:tc>
        <w:tc>
          <w:tcPr>
            <w:tcW w:w="3375" w:type="pct"/>
          </w:tcPr>
          <w:p w14:paraId="118136DC"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CHR reorganized its race/ethnicity column names after 2019. The columns % Non-Hispanic African American and % American Indian and Alaskan Native are absent from the 2020-2025 files under those names, resulting in 43% overall missingness. Both are retained in the panel for year-specific cross-sectional use but excluded from longitudinal models.</w:t>
            </w:r>
          </w:p>
        </w:tc>
      </w:tr>
      <w:tr w:rsidR="009C292B" w14:paraId="5FFCF219" w14:textId="77777777" w:rsidTr="009C29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 w:type="pct"/>
          </w:tcPr>
          <w:p w14:paraId="2F35CD6E" w14:textId="77777777" w:rsidR="009C292B" w:rsidRDefault="009C292B" w:rsidP="00173C90">
            <w:r>
              <w:t>3</w:t>
            </w:r>
          </w:p>
        </w:tc>
        <w:tc>
          <w:tcPr>
            <w:tcW w:w="491" w:type="pct"/>
          </w:tcPr>
          <w:p w14:paraId="3E16AFF8"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Variable classification</w:t>
            </w:r>
          </w:p>
        </w:tc>
        <w:tc>
          <w:tcPr>
            <w:tcW w:w="875" w:type="pct"/>
          </w:tcPr>
          <w:p w14:paraId="0769855E"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proofErr w:type="spellStart"/>
            <w:r>
              <w:t>poverty_rate</w:t>
            </w:r>
            <w:proofErr w:type="spellEnd"/>
            <w:r>
              <w:t xml:space="preserve"> classified Sparse despite spanning all 14 release years</w:t>
            </w:r>
          </w:p>
        </w:tc>
        <w:tc>
          <w:tcPr>
            <w:tcW w:w="3375" w:type="pct"/>
          </w:tcPr>
          <w:p w14:paraId="762E0EDC"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proofErr w:type="spellStart"/>
            <w:r>
              <w:t>poverty_rate</w:t>
            </w:r>
            <w:proofErr w:type="spellEnd"/>
            <w:r>
              <w:t xml:space="preserve"> is 98% missing in 2013-2020 and present only in 2012 and 2021-2025 due to inconsistent CHR column population across releases. It cannot be used in longitudinal models. </w:t>
            </w:r>
            <w:proofErr w:type="spellStart"/>
            <w:r>
              <w:t>child_poverty_rate</w:t>
            </w:r>
            <w:proofErr w:type="spellEnd"/>
            <w:r>
              <w:t xml:space="preserve"> covers the complementary period (2013-2020) but is also Sparse. Together they cover most of the </w:t>
            </w:r>
            <w:proofErr w:type="gramStart"/>
            <w:r>
              <w:t>panel</w:t>
            </w:r>
            <w:proofErr w:type="gramEnd"/>
            <w:r>
              <w:t xml:space="preserve"> in non-overlapping windows.</w:t>
            </w:r>
          </w:p>
        </w:tc>
      </w:tr>
      <w:tr w:rsidR="009C292B" w14:paraId="0BFCA0FE" w14:textId="77777777" w:rsidTr="009C292B">
        <w:tc>
          <w:tcPr>
            <w:cnfStyle w:val="001000000000" w:firstRow="0" w:lastRow="0" w:firstColumn="1" w:lastColumn="0" w:oddVBand="0" w:evenVBand="0" w:oddHBand="0" w:evenHBand="0" w:firstRowFirstColumn="0" w:firstRowLastColumn="0" w:lastRowFirstColumn="0" w:lastRowLastColumn="0"/>
            <w:tcW w:w="259" w:type="pct"/>
          </w:tcPr>
          <w:p w14:paraId="05E0A3BE" w14:textId="77777777" w:rsidR="009C292B" w:rsidRDefault="009C292B" w:rsidP="00173C90">
            <w:r>
              <w:t>3</w:t>
            </w:r>
          </w:p>
        </w:tc>
        <w:tc>
          <w:tcPr>
            <w:tcW w:w="491" w:type="pct"/>
          </w:tcPr>
          <w:p w14:paraId="15F670C4"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Panel output</w:t>
            </w:r>
          </w:p>
        </w:tc>
        <w:tc>
          <w:tcPr>
            <w:tcW w:w="875" w:type="pct"/>
          </w:tcPr>
          <w:p w14:paraId="2A50C048"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chr_panel.csv is the single data source for Parts 1, 2, and 3</w:t>
            </w:r>
          </w:p>
        </w:tc>
        <w:tc>
          <w:tcPr>
            <w:tcW w:w="3375" w:type="pct"/>
          </w:tcPr>
          <w:p w14:paraId="76ED6305" w14:textId="4C52A112" w:rsidR="009C292B" w:rsidRDefault="009C292B" w:rsidP="00173C90">
            <w:pPr>
              <w:cnfStyle w:val="000000000000" w:firstRow="0" w:lastRow="0" w:firstColumn="0" w:lastColumn="0" w:oddVBand="0" w:evenVBand="0" w:oddHBand="0" w:evenHBand="0" w:firstRowFirstColumn="0" w:firstRowLastColumn="0" w:lastRowFirstColumn="0" w:lastRowLastColumn="0"/>
            </w:pPr>
            <w:r>
              <w:t>Centralizing all filtering, FIPS harmonization, column standardization, and measurement-year joining into one panel file ensures reproducibility across all subsequent notebooks.</w:t>
            </w:r>
          </w:p>
        </w:tc>
      </w:tr>
    </w:tbl>
    <w:p w14:paraId="7CFCB634" w14:textId="77777777" w:rsidR="008D514E" w:rsidRDefault="008D514E"/>
    <w:sectPr w:rsidR="008D51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92B"/>
    <w:rsid w:val="000265E9"/>
    <w:rsid w:val="000C21BA"/>
    <w:rsid w:val="004B4832"/>
    <w:rsid w:val="008715EE"/>
    <w:rsid w:val="008D514E"/>
    <w:rsid w:val="009C292B"/>
    <w:rsid w:val="00CE00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CA232"/>
  <w15:chartTrackingRefBased/>
  <w15:docId w15:val="{06283CA1-7AF6-4B79-A3E6-7CA6C6D55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92B"/>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9C292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C292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C292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C292B"/>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C292B"/>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C292B"/>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C292B"/>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C292B"/>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C292B"/>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29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29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29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29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29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29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29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29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292B"/>
    <w:rPr>
      <w:rFonts w:eastAsiaTheme="majorEastAsia" w:cstheme="majorBidi"/>
      <w:color w:val="272727" w:themeColor="text1" w:themeTint="D8"/>
    </w:rPr>
  </w:style>
  <w:style w:type="paragraph" w:styleId="Title">
    <w:name w:val="Title"/>
    <w:basedOn w:val="Normal"/>
    <w:next w:val="Normal"/>
    <w:link w:val="TitleChar"/>
    <w:uiPriority w:val="10"/>
    <w:qFormat/>
    <w:rsid w:val="009C292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C29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292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C29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292B"/>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C292B"/>
    <w:rPr>
      <w:i/>
      <w:iCs/>
      <w:color w:val="404040" w:themeColor="text1" w:themeTint="BF"/>
    </w:rPr>
  </w:style>
  <w:style w:type="paragraph" w:styleId="ListParagraph">
    <w:name w:val="List Paragraph"/>
    <w:basedOn w:val="Normal"/>
    <w:uiPriority w:val="34"/>
    <w:qFormat/>
    <w:rsid w:val="009C292B"/>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9C292B"/>
    <w:rPr>
      <w:i/>
      <w:iCs/>
      <w:color w:val="0F4761" w:themeColor="accent1" w:themeShade="BF"/>
    </w:rPr>
  </w:style>
  <w:style w:type="paragraph" w:styleId="IntenseQuote">
    <w:name w:val="Intense Quote"/>
    <w:basedOn w:val="Normal"/>
    <w:next w:val="Normal"/>
    <w:link w:val="IntenseQuoteChar"/>
    <w:uiPriority w:val="30"/>
    <w:qFormat/>
    <w:rsid w:val="009C292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C292B"/>
    <w:rPr>
      <w:i/>
      <w:iCs/>
      <w:color w:val="0F4761" w:themeColor="accent1" w:themeShade="BF"/>
    </w:rPr>
  </w:style>
  <w:style w:type="character" w:styleId="IntenseReference">
    <w:name w:val="Intense Reference"/>
    <w:basedOn w:val="DefaultParagraphFont"/>
    <w:uiPriority w:val="32"/>
    <w:qFormat/>
    <w:rsid w:val="009C292B"/>
    <w:rPr>
      <w:b/>
      <w:bCs/>
      <w:smallCaps/>
      <w:color w:val="0F4761" w:themeColor="accent1" w:themeShade="BF"/>
      <w:spacing w:val="5"/>
    </w:rPr>
  </w:style>
  <w:style w:type="table" w:styleId="GridTable4-Accent2">
    <w:name w:val="Grid Table 4 Accent 2"/>
    <w:basedOn w:val="TableNormal"/>
    <w:uiPriority w:val="49"/>
    <w:rsid w:val="009C292B"/>
    <w:pPr>
      <w:spacing w:after="0" w:line="240" w:lineRule="auto"/>
    </w:pPr>
    <w:rPr>
      <w:rFonts w:ascii="Arial" w:eastAsia="Arial" w:hAnsi="Arial" w:cs="Arial"/>
      <w:kern w:val="0"/>
      <w:sz w:val="20"/>
      <w:szCs w:val="20"/>
      <w14:ligatures w14:val="none"/>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06b8aa2-8af0-4ab8-9873-df9911b98d4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D9746C7FF84C449B12CEB48A8E17926" ma:contentTypeVersion="16" ma:contentTypeDescription="Create a new document." ma:contentTypeScope="" ma:versionID="4bb6fe4e1c75b5540c1f4ab272283b02">
  <xsd:schema xmlns:xsd="http://www.w3.org/2001/XMLSchema" xmlns:xs="http://www.w3.org/2001/XMLSchema" xmlns:p="http://schemas.microsoft.com/office/2006/metadata/properties" xmlns:ns3="706b8aa2-8af0-4ab8-9873-df9911b98d43" xmlns:ns4="51b1e863-652f-4e12-a6c4-d71aedd5f070" targetNamespace="http://schemas.microsoft.com/office/2006/metadata/properties" ma:root="true" ma:fieldsID="12b9d2ff6dca74e3d66d5dd31ea60895" ns3:_="" ns4:_="">
    <xsd:import namespace="706b8aa2-8af0-4ab8-9873-df9911b98d43"/>
    <xsd:import namespace="51b1e863-652f-4e12-a6c4-d71aedd5f07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AutoTags"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6b8aa2-8af0-4ab8-9873-df9911b98d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element name="MediaServiceAutoTags" ma:index="18" nillable="true" ma:displayName="Tags" ma:internalName="MediaServiceAutoTag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GenerationTime" ma:index="22" nillable="true" ma:displayName="MediaServiceGenerationTime" ma:hidden="true" ma:internalName="MediaServiceGenerationTime" ma:readOnly="true">
      <xsd:simpleType>
        <xsd:restriction base="dms:Text"/>
      </xsd:simpleType>
    </xsd:element>
    <xsd:element name="MediaServiceEventHashCode" ma:index="2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1b1e863-652f-4e12-a6c4-d71aedd5f070"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F6F1979-D164-4E8C-BB05-AAFC2A814FE6}">
  <ds:schemaRefs>
    <ds:schemaRef ds:uri="http://schemas.microsoft.com/office/2006/metadata/properties"/>
    <ds:schemaRef ds:uri="http://schemas.microsoft.com/office/infopath/2007/PartnerControls"/>
    <ds:schemaRef ds:uri="706b8aa2-8af0-4ab8-9873-df9911b98d43"/>
  </ds:schemaRefs>
</ds:datastoreItem>
</file>

<file path=customXml/itemProps2.xml><?xml version="1.0" encoding="utf-8"?>
<ds:datastoreItem xmlns:ds="http://schemas.openxmlformats.org/officeDocument/2006/customXml" ds:itemID="{D7A5B4EB-9640-4FFD-98EB-39AF60ECE5C4}">
  <ds:schemaRefs>
    <ds:schemaRef ds:uri="http://schemas.microsoft.com/sharepoint/v3/contenttype/forms"/>
  </ds:schemaRefs>
</ds:datastoreItem>
</file>

<file path=customXml/itemProps3.xml><?xml version="1.0" encoding="utf-8"?>
<ds:datastoreItem xmlns:ds="http://schemas.openxmlformats.org/officeDocument/2006/customXml" ds:itemID="{7C4BBCEE-F67C-403A-BDA6-D1A8F72166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6b8aa2-8af0-4ab8-9873-df9911b98d43"/>
    <ds:schemaRef ds:uri="51b1e863-652f-4e12-a6c4-d71aedd5f0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62ebf40-80b2-40ba-86fe-6dd409acb499}" enabled="0" method="" siteId="{762ebf40-80b2-40ba-86fe-6dd409acb499}" removed="1"/>
</clbl:labelList>
</file>

<file path=docProps/app.xml><?xml version="1.0" encoding="utf-8"?>
<Properties xmlns="http://schemas.openxmlformats.org/officeDocument/2006/extended-properties" xmlns:vt="http://schemas.openxmlformats.org/officeDocument/2006/docPropsVTypes">
  <Template>Normal</Template>
  <TotalTime>1</TotalTime>
  <Pages>2</Pages>
  <Words>696</Words>
  <Characters>3969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Phillips</dc:creator>
  <cp:keywords/>
  <dc:description/>
  <cp:lastModifiedBy>Seth Phillips</cp:lastModifiedBy>
  <cp:revision>2</cp:revision>
  <dcterms:created xsi:type="dcterms:W3CDTF">2026-06-03T19:28:00Z</dcterms:created>
  <dcterms:modified xsi:type="dcterms:W3CDTF">2026-06-03T19:28:00Z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0x0101001D9746C7FF84C449B12CEB48A8E17926</vt:lpwstr>
  </property>
</Properties>
</file>