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ADB" w:rsidRDefault="00B95ADB">
      <w:pPr>
        <w:pStyle w:val="CoverTitle"/>
        <w:spacing w:after="0"/>
        <w:rPr>
          <w:b/>
          <w:szCs w:val="16"/>
        </w:rPr>
      </w:pPr>
      <w:bookmarkStart w:id="0" w:name="_Toc111540165"/>
      <w:bookmarkStart w:id="1" w:name="_DV_M0"/>
      <w:bookmarkStart w:id="2" w:name="_GoBack"/>
      <w:bookmarkEnd w:id="1"/>
      <w:bookmarkEnd w:id="2"/>
      <w:r>
        <w:rPr>
          <w:b/>
          <w:szCs w:val="16"/>
        </w:rPr>
        <w:t>[AMENDED AND RESTATED]</w:t>
      </w:r>
    </w:p>
    <w:p w:rsidR="00B95ADB" w:rsidRDefault="00B95ADB">
      <w:pPr>
        <w:pStyle w:val="CoverTitle"/>
        <w:rPr>
          <w:b/>
          <w:szCs w:val="16"/>
        </w:rPr>
      </w:pPr>
      <w:bookmarkStart w:id="3" w:name="_DV_M1"/>
      <w:bookmarkEnd w:id="3"/>
      <w:r>
        <w:rPr>
          <w:b/>
          <w:szCs w:val="16"/>
        </w:rPr>
        <w:t>INVESTORS’ RIGHTS AGREEMENT</w:t>
      </w:r>
    </w:p>
    <w:p w:rsidR="00B95ADB" w:rsidRDefault="00B95ADB">
      <w:pPr>
        <w:pStyle w:val="Title"/>
        <w:spacing w:after="0"/>
        <w:jc w:val="both"/>
        <w:rPr>
          <w:b/>
          <w:kern w:val="0"/>
          <w:szCs w:val="16"/>
          <w:u w:val="none"/>
        </w:rPr>
        <w:sectPr w:rsidR="00B95ADB">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titlePg/>
        </w:sectPr>
      </w:pPr>
    </w:p>
    <w:p w:rsidR="00B95ADB" w:rsidRDefault="00B95ADB">
      <w:pPr>
        <w:jc w:val="center"/>
        <w:rPr>
          <w:b/>
          <w:i/>
          <w:szCs w:val="16"/>
        </w:rPr>
      </w:pPr>
      <w:bookmarkStart w:id="4" w:name="_DV_M2"/>
      <w:bookmarkStart w:id="5" w:name="_Toc136067346"/>
      <w:bookmarkEnd w:id="4"/>
      <w:r>
        <w:rPr>
          <w:b/>
          <w:i/>
          <w:szCs w:val="16"/>
        </w:rPr>
        <w:lastRenderedPageBreak/>
        <w:t>Preliminary Note</w:t>
      </w:r>
      <w:bookmarkEnd w:id="5"/>
    </w:p>
    <w:p w:rsidR="00B95ADB" w:rsidRDefault="00B95ADB">
      <w:pPr>
        <w:rPr>
          <w:i/>
          <w:szCs w:val="16"/>
        </w:rPr>
      </w:pPr>
      <w:bookmarkStart w:id="6" w:name="_DV_M3"/>
      <w:bookmarkStart w:id="7" w:name="_Toc136067347"/>
      <w:bookmarkEnd w:id="6"/>
      <w:r>
        <w:rPr>
          <w:i/>
          <w:szCs w:val="16"/>
        </w:rPr>
        <w:t xml:space="preserve">An Investors’ Rights Agreement can cover many different subjects.  The most </w:t>
      </w:r>
      <w:r w:rsidR="00787C05">
        <w:rPr>
          <w:i/>
          <w:szCs w:val="16"/>
        </w:rPr>
        <w:t>common</w:t>
      </w:r>
      <w:r>
        <w:rPr>
          <w:i/>
          <w:szCs w:val="16"/>
        </w:rPr>
        <w:t xml:space="preserve"> are information rights, registration rights, contractual “rights of first offer” or “preemptive” rights (i.e., the right to purchase securities in subsequent equity financings conducted by the Company), and various post-closing covenants of the Company.</w:t>
      </w:r>
      <w:bookmarkEnd w:id="7"/>
    </w:p>
    <w:p w:rsidR="00B95ADB" w:rsidRDefault="00B95ADB">
      <w:pPr>
        <w:spacing w:after="0"/>
        <w:rPr>
          <w:i/>
          <w:kern w:val="28"/>
          <w:szCs w:val="16"/>
        </w:rPr>
        <w:sectPr w:rsidR="00B95ADB">
          <w:headerReference w:type="first" r:id="rId13"/>
          <w:pgSz w:w="12240" w:h="15840" w:code="1"/>
          <w:pgMar w:top="1440" w:right="1440" w:bottom="1440" w:left="1440" w:header="720" w:footer="720" w:gutter="0"/>
          <w:cols w:space="720"/>
          <w:docGrid w:linePitch="326"/>
        </w:sectPr>
      </w:pPr>
    </w:p>
    <w:p w:rsidR="00B95ADB" w:rsidRDefault="00B95ADB">
      <w:pPr>
        <w:pStyle w:val="BodyText"/>
        <w:spacing w:after="240"/>
        <w:jc w:val="center"/>
        <w:rPr>
          <w:sz w:val="24"/>
          <w:szCs w:val="16"/>
        </w:rPr>
      </w:pPr>
      <w:bookmarkStart w:id="8" w:name="_DV_M4"/>
      <w:bookmarkStart w:id="9" w:name="_Toc136067348"/>
      <w:bookmarkEnd w:id="8"/>
      <w:r>
        <w:rPr>
          <w:sz w:val="24"/>
          <w:szCs w:val="16"/>
          <w:u w:val="single"/>
        </w:rPr>
        <w:lastRenderedPageBreak/>
        <w:t>TABLE OF CONTENTS</w:t>
      </w:r>
      <w:bookmarkEnd w:id="9"/>
    </w:p>
    <w:p w:rsidR="00B95ADB" w:rsidRDefault="00B95ADB">
      <w:pPr>
        <w:rPr>
          <w:szCs w:val="16"/>
        </w:rPr>
      </w:pPr>
      <w:bookmarkStart w:id="10" w:name="_DV_M5"/>
      <w:bookmarkEnd w:id="10"/>
      <w:r>
        <w:rPr>
          <w:i/>
          <w:szCs w:val="16"/>
        </w:rPr>
        <w:t>Note to Drafter: Section headings have been formatted to automatically populate the Table of Contents.  However, when editing this document for your own use, the page numbers may change.  In order to reflect the correct page numbers in the Table of Contents, you must “update page numbers” to the Table of Contents by (1) right-clicking anywhere in the Table of Contents, and (2) choose “update field,” then “update page numbers only.”  If you add or delete section headings, follow step (1) and (2) above and choose “update entire table.”</w:t>
      </w:r>
    </w:p>
    <w:p w:rsidR="00B95ADB" w:rsidRDefault="00B95ADB">
      <w:pPr>
        <w:jc w:val="right"/>
        <w:rPr>
          <w:szCs w:val="16"/>
        </w:rPr>
      </w:pPr>
      <w:bookmarkStart w:id="11" w:name="_DV_M6"/>
      <w:bookmarkEnd w:id="11"/>
      <w:r>
        <w:rPr>
          <w:szCs w:val="16"/>
          <w:u w:val="single"/>
        </w:rPr>
        <w:t>Page</w:t>
      </w:r>
    </w:p>
    <w:bookmarkStart w:id="12" w:name="_DV_M7"/>
    <w:bookmarkEnd w:id="12"/>
    <w:p w:rsidR="00013199" w:rsidRPr="0066674B" w:rsidRDefault="00B95ADB">
      <w:pPr>
        <w:pStyle w:val="TOC1"/>
        <w:rPr>
          <w:rFonts w:ascii="Calibri" w:hAnsi="Calibri"/>
          <w:sz w:val="22"/>
          <w:szCs w:val="22"/>
        </w:rPr>
      </w:pPr>
      <w:r w:rsidRPr="0066674B">
        <w:rPr>
          <w:szCs w:val="16"/>
        </w:rPr>
        <w:fldChar w:fldCharType="begin"/>
      </w:r>
      <w:r w:rsidRPr="0066674B">
        <w:rPr>
          <w:szCs w:val="16"/>
        </w:rPr>
        <w:instrText xml:space="preserve"> TOC \t "Heading 1,1,Heading 2,2" </w:instrText>
      </w:r>
      <w:r w:rsidRPr="0066674B">
        <w:rPr>
          <w:szCs w:val="16"/>
        </w:rPr>
        <w:fldChar w:fldCharType="separate"/>
      </w:r>
      <w:r w:rsidR="00013199" w:rsidRPr="0066674B">
        <w:rPr>
          <w:specVanish/>
        </w:rPr>
        <w:t>1.</w:t>
      </w:r>
      <w:r w:rsidR="00013199" w:rsidRPr="0066674B">
        <w:rPr>
          <w:rFonts w:ascii="Calibri" w:hAnsi="Calibri"/>
          <w:sz w:val="22"/>
          <w:szCs w:val="22"/>
        </w:rPr>
        <w:tab/>
      </w:r>
      <w:r w:rsidR="00013199" w:rsidRPr="0066674B">
        <w:t>Definitions</w:t>
      </w:r>
      <w:r w:rsidR="00013199" w:rsidRPr="0066674B">
        <w:tab/>
      </w:r>
      <w:r w:rsidR="00013199" w:rsidRPr="0066674B">
        <w:fldChar w:fldCharType="begin"/>
      </w:r>
      <w:r w:rsidR="00013199" w:rsidRPr="0066674B">
        <w:instrText xml:space="preserve"> PAGEREF _Toc505091137 \h </w:instrText>
      </w:r>
      <w:r w:rsidR="00013199" w:rsidRPr="0066674B">
        <w:fldChar w:fldCharType="separate"/>
      </w:r>
      <w:r w:rsidR="00013199" w:rsidRPr="0066674B">
        <w:t>2</w:t>
      </w:r>
      <w:r w:rsidR="00013199" w:rsidRPr="0066674B">
        <w:fldChar w:fldCharType="end"/>
      </w:r>
    </w:p>
    <w:p w:rsidR="00013199" w:rsidRPr="0066674B" w:rsidRDefault="00013199">
      <w:pPr>
        <w:pStyle w:val="TOC1"/>
        <w:rPr>
          <w:rFonts w:ascii="Calibri" w:hAnsi="Calibri"/>
          <w:sz w:val="22"/>
          <w:szCs w:val="22"/>
        </w:rPr>
      </w:pPr>
      <w:r w:rsidRPr="0066674B">
        <w:rPr>
          <w:specVanish/>
        </w:rPr>
        <w:t>2.</w:t>
      </w:r>
      <w:r w:rsidRPr="0066674B">
        <w:rPr>
          <w:rFonts w:ascii="Calibri" w:hAnsi="Calibri"/>
          <w:sz w:val="22"/>
          <w:szCs w:val="22"/>
        </w:rPr>
        <w:tab/>
      </w:r>
      <w:r w:rsidRPr="0066674B">
        <w:t>Registration Rights</w:t>
      </w:r>
      <w:r w:rsidRPr="0066674B">
        <w:tab/>
      </w:r>
      <w:r w:rsidRPr="0066674B">
        <w:fldChar w:fldCharType="begin"/>
      </w:r>
      <w:r w:rsidRPr="0066674B">
        <w:instrText xml:space="preserve"> PAGEREF _Toc505091138 \h </w:instrText>
      </w:r>
      <w:r w:rsidRPr="0066674B">
        <w:fldChar w:fldCharType="separate"/>
      </w:r>
      <w:r w:rsidRPr="0066674B">
        <w:t>6</w:t>
      </w:r>
      <w:r w:rsidRPr="0066674B">
        <w:fldChar w:fldCharType="end"/>
      </w:r>
    </w:p>
    <w:p w:rsidR="00013199" w:rsidRPr="0066674B" w:rsidRDefault="00013199">
      <w:pPr>
        <w:pStyle w:val="TOC2"/>
        <w:rPr>
          <w:rFonts w:ascii="Calibri" w:hAnsi="Calibri"/>
          <w:sz w:val="22"/>
          <w:szCs w:val="22"/>
        </w:rPr>
      </w:pPr>
      <w:r w:rsidRPr="0066674B">
        <w:rPr>
          <w:specVanish/>
        </w:rPr>
        <w:t>2.1</w:t>
      </w:r>
      <w:r w:rsidRPr="0066674B">
        <w:rPr>
          <w:rFonts w:ascii="Calibri" w:hAnsi="Calibri"/>
          <w:sz w:val="22"/>
          <w:szCs w:val="22"/>
        </w:rPr>
        <w:tab/>
      </w:r>
      <w:r w:rsidRPr="0066674B">
        <w:t>Demand Registration</w:t>
      </w:r>
      <w:r w:rsidRPr="0066674B">
        <w:tab/>
      </w:r>
      <w:r w:rsidRPr="0066674B">
        <w:fldChar w:fldCharType="begin"/>
      </w:r>
      <w:r w:rsidRPr="0066674B">
        <w:instrText xml:space="preserve"> PAGEREF _Toc505091139 \h </w:instrText>
      </w:r>
      <w:r w:rsidRPr="0066674B">
        <w:fldChar w:fldCharType="separate"/>
      </w:r>
      <w:r w:rsidRPr="0066674B">
        <w:t>6</w:t>
      </w:r>
      <w:r w:rsidRPr="0066674B">
        <w:fldChar w:fldCharType="end"/>
      </w:r>
    </w:p>
    <w:p w:rsidR="00013199" w:rsidRPr="0066674B" w:rsidRDefault="00013199">
      <w:pPr>
        <w:pStyle w:val="TOC2"/>
        <w:rPr>
          <w:rFonts w:ascii="Calibri" w:hAnsi="Calibri"/>
          <w:sz w:val="22"/>
          <w:szCs w:val="22"/>
        </w:rPr>
      </w:pPr>
      <w:r w:rsidRPr="0066674B">
        <w:rPr>
          <w:specVanish/>
        </w:rPr>
        <w:t>2.2</w:t>
      </w:r>
      <w:r w:rsidRPr="0066674B">
        <w:rPr>
          <w:rFonts w:ascii="Calibri" w:hAnsi="Calibri"/>
          <w:sz w:val="22"/>
          <w:szCs w:val="22"/>
        </w:rPr>
        <w:tab/>
      </w:r>
      <w:r w:rsidRPr="0066674B">
        <w:t>Company Registration</w:t>
      </w:r>
      <w:r w:rsidRPr="0066674B">
        <w:tab/>
      </w:r>
      <w:r w:rsidRPr="0066674B">
        <w:fldChar w:fldCharType="begin"/>
      </w:r>
      <w:r w:rsidRPr="0066674B">
        <w:instrText xml:space="preserve"> PAGEREF _Toc505091140 \h </w:instrText>
      </w:r>
      <w:r w:rsidRPr="0066674B">
        <w:fldChar w:fldCharType="separate"/>
      </w:r>
      <w:r w:rsidRPr="0066674B">
        <w:t>9</w:t>
      </w:r>
      <w:r w:rsidRPr="0066674B">
        <w:fldChar w:fldCharType="end"/>
      </w:r>
    </w:p>
    <w:p w:rsidR="00013199" w:rsidRPr="0066674B" w:rsidRDefault="00013199">
      <w:pPr>
        <w:pStyle w:val="TOC2"/>
        <w:rPr>
          <w:rFonts w:ascii="Calibri" w:hAnsi="Calibri"/>
          <w:sz w:val="22"/>
          <w:szCs w:val="22"/>
        </w:rPr>
      </w:pPr>
      <w:r w:rsidRPr="0066674B">
        <w:rPr>
          <w:specVanish/>
        </w:rPr>
        <w:t>2.3</w:t>
      </w:r>
      <w:r w:rsidRPr="0066674B">
        <w:rPr>
          <w:rFonts w:ascii="Calibri" w:hAnsi="Calibri"/>
          <w:sz w:val="22"/>
          <w:szCs w:val="22"/>
        </w:rPr>
        <w:tab/>
      </w:r>
      <w:r w:rsidRPr="0066674B">
        <w:t>Underwriting Requirements</w:t>
      </w:r>
      <w:r w:rsidRPr="0066674B">
        <w:tab/>
      </w:r>
      <w:r w:rsidRPr="0066674B">
        <w:fldChar w:fldCharType="begin"/>
      </w:r>
      <w:r w:rsidRPr="0066674B">
        <w:instrText xml:space="preserve"> PAGEREF _Toc505091141 \h </w:instrText>
      </w:r>
      <w:r w:rsidRPr="0066674B">
        <w:fldChar w:fldCharType="separate"/>
      </w:r>
      <w:r w:rsidRPr="0066674B">
        <w:t>9</w:t>
      </w:r>
      <w:r w:rsidRPr="0066674B">
        <w:fldChar w:fldCharType="end"/>
      </w:r>
    </w:p>
    <w:p w:rsidR="00013199" w:rsidRPr="0066674B" w:rsidRDefault="00013199">
      <w:pPr>
        <w:pStyle w:val="TOC2"/>
        <w:rPr>
          <w:rFonts w:ascii="Calibri" w:hAnsi="Calibri"/>
          <w:sz w:val="22"/>
          <w:szCs w:val="22"/>
        </w:rPr>
      </w:pPr>
      <w:r w:rsidRPr="0066674B">
        <w:rPr>
          <w:specVanish/>
        </w:rPr>
        <w:t>2.4</w:t>
      </w:r>
      <w:r w:rsidRPr="0066674B">
        <w:rPr>
          <w:rFonts w:ascii="Calibri" w:hAnsi="Calibri"/>
          <w:sz w:val="22"/>
          <w:szCs w:val="22"/>
        </w:rPr>
        <w:tab/>
      </w:r>
      <w:r w:rsidRPr="0066674B">
        <w:t>Obligations of the Company</w:t>
      </w:r>
      <w:r w:rsidRPr="0066674B">
        <w:tab/>
      </w:r>
      <w:r w:rsidRPr="0066674B">
        <w:fldChar w:fldCharType="begin"/>
      </w:r>
      <w:r w:rsidRPr="0066674B">
        <w:instrText xml:space="preserve"> PAGEREF _Toc505091142 \h </w:instrText>
      </w:r>
      <w:r w:rsidRPr="0066674B">
        <w:fldChar w:fldCharType="separate"/>
      </w:r>
      <w:r w:rsidRPr="0066674B">
        <w:t>11</w:t>
      </w:r>
      <w:r w:rsidRPr="0066674B">
        <w:fldChar w:fldCharType="end"/>
      </w:r>
    </w:p>
    <w:p w:rsidR="00013199" w:rsidRPr="0066674B" w:rsidRDefault="00013199">
      <w:pPr>
        <w:pStyle w:val="TOC2"/>
        <w:rPr>
          <w:rFonts w:ascii="Calibri" w:hAnsi="Calibri"/>
          <w:sz w:val="22"/>
          <w:szCs w:val="22"/>
        </w:rPr>
      </w:pPr>
      <w:r w:rsidRPr="0066674B">
        <w:rPr>
          <w:specVanish/>
        </w:rPr>
        <w:t>2.5</w:t>
      </w:r>
      <w:r w:rsidRPr="0066674B">
        <w:rPr>
          <w:rFonts w:ascii="Calibri" w:hAnsi="Calibri"/>
          <w:sz w:val="22"/>
          <w:szCs w:val="22"/>
        </w:rPr>
        <w:tab/>
      </w:r>
      <w:r w:rsidRPr="0066674B">
        <w:t>Furnish Information</w:t>
      </w:r>
      <w:r w:rsidRPr="0066674B">
        <w:tab/>
      </w:r>
      <w:r w:rsidRPr="0066674B">
        <w:fldChar w:fldCharType="begin"/>
      </w:r>
      <w:r w:rsidRPr="0066674B">
        <w:instrText xml:space="preserve"> PAGEREF _Toc505091143 \h </w:instrText>
      </w:r>
      <w:r w:rsidRPr="0066674B">
        <w:fldChar w:fldCharType="separate"/>
      </w:r>
      <w:r w:rsidRPr="0066674B">
        <w:t>12</w:t>
      </w:r>
      <w:r w:rsidRPr="0066674B">
        <w:fldChar w:fldCharType="end"/>
      </w:r>
    </w:p>
    <w:p w:rsidR="00013199" w:rsidRPr="0066674B" w:rsidRDefault="00013199">
      <w:pPr>
        <w:pStyle w:val="TOC2"/>
        <w:rPr>
          <w:rFonts w:ascii="Calibri" w:hAnsi="Calibri"/>
          <w:sz w:val="22"/>
          <w:szCs w:val="22"/>
        </w:rPr>
      </w:pPr>
      <w:r w:rsidRPr="0066674B">
        <w:rPr>
          <w:specVanish/>
        </w:rPr>
        <w:t>2.6</w:t>
      </w:r>
      <w:r w:rsidRPr="0066674B">
        <w:rPr>
          <w:rFonts w:ascii="Calibri" w:hAnsi="Calibri"/>
          <w:sz w:val="22"/>
          <w:szCs w:val="22"/>
        </w:rPr>
        <w:tab/>
      </w:r>
      <w:r w:rsidRPr="0066674B">
        <w:t>Expenses of Registration</w:t>
      </w:r>
      <w:r w:rsidRPr="0066674B">
        <w:tab/>
      </w:r>
      <w:r w:rsidRPr="0066674B">
        <w:fldChar w:fldCharType="begin"/>
      </w:r>
      <w:r w:rsidRPr="0066674B">
        <w:instrText xml:space="preserve"> PAGEREF _Toc505091144 \h </w:instrText>
      </w:r>
      <w:r w:rsidRPr="0066674B">
        <w:fldChar w:fldCharType="separate"/>
      </w:r>
      <w:r w:rsidRPr="0066674B">
        <w:t>12</w:t>
      </w:r>
      <w:r w:rsidRPr="0066674B">
        <w:fldChar w:fldCharType="end"/>
      </w:r>
    </w:p>
    <w:p w:rsidR="00013199" w:rsidRPr="0066674B" w:rsidRDefault="00013199">
      <w:pPr>
        <w:pStyle w:val="TOC2"/>
        <w:rPr>
          <w:rFonts w:ascii="Calibri" w:hAnsi="Calibri"/>
          <w:sz w:val="22"/>
          <w:szCs w:val="22"/>
        </w:rPr>
      </w:pPr>
      <w:r w:rsidRPr="0066674B">
        <w:rPr>
          <w:specVanish/>
        </w:rPr>
        <w:t>2.7</w:t>
      </w:r>
      <w:r w:rsidRPr="0066674B">
        <w:rPr>
          <w:rFonts w:ascii="Calibri" w:hAnsi="Calibri"/>
          <w:sz w:val="22"/>
          <w:szCs w:val="22"/>
        </w:rPr>
        <w:tab/>
      </w:r>
      <w:r w:rsidRPr="0066674B">
        <w:t>Delay of Registration</w:t>
      </w:r>
      <w:r w:rsidRPr="0066674B">
        <w:tab/>
      </w:r>
      <w:r w:rsidRPr="0066674B">
        <w:fldChar w:fldCharType="begin"/>
      </w:r>
      <w:r w:rsidRPr="0066674B">
        <w:instrText xml:space="preserve"> PAGEREF _Toc505091145 \h </w:instrText>
      </w:r>
      <w:r w:rsidRPr="0066674B">
        <w:fldChar w:fldCharType="separate"/>
      </w:r>
      <w:r w:rsidRPr="0066674B">
        <w:t>13</w:t>
      </w:r>
      <w:r w:rsidRPr="0066674B">
        <w:fldChar w:fldCharType="end"/>
      </w:r>
    </w:p>
    <w:p w:rsidR="00013199" w:rsidRPr="0066674B" w:rsidRDefault="00013199">
      <w:pPr>
        <w:pStyle w:val="TOC2"/>
        <w:rPr>
          <w:rFonts w:ascii="Calibri" w:hAnsi="Calibri"/>
          <w:sz w:val="22"/>
          <w:szCs w:val="22"/>
        </w:rPr>
      </w:pPr>
      <w:r w:rsidRPr="0066674B">
        <w:rPr>
          <w:specVanish/>
        </w:rPr>
        <w:t>2.8</w:t>
      </w:r>
      <w:r w:rsidRPr="0066674B">
        <w:rPr>
          <w:rFonts w:ascii="Calibri" w:hAnsi="Calibri"/>
          <w:sz w:val="22"/>
          <w:szCs w:val="22"/>
        </w:rPr>
        <w:tab/>
      </w:r>
      <w:r w:rsidRPr="0066674B">
        <w:t>Indemnification</w:t>
      </w:r>
      <w:r w:rsidRPr="0066674B">
        <w:tab/>
      </w:r>
      <w:r w:rsidRPr="0066674B">
        <w:fldChar w:fldCharType="begin"/>
      </w:r>
      <w:r w:rsidRPr="0066674B">
        <w:instrText xml:space="preserve"> PAGEREF _Toc505091146 \h </w:instrText>
      </w:r>
      <w:r w:rsidRPr="0066674B">
        <w:fldChar w:fldCharType="separate"/>
      </w:r>
      <w:r w:rsidRPr="0066674B">
        <w:t>13</w:t>
      </w:r>
      <w:r w:rsidRPr="0066674B">
        <w:fldChar w:fldCharType="end"/>
      </w:r>
    </w:p>
    <w:p w:rsidR="00013199" w:rsidRPr="0066674B" w:rsidRDefault="00013199">
      <w:pPr>
        <w:pStyle w:val="TOC2"/>
        <w:rPr>
          <w:rFonts w:ascii="Calibri" w:hAnsi="Calibri"/>
          <w:sz w:val="22"/>
          <w:szCs w:val="22"/>
        </w:rPr>
      </w:pPr>
      <w:r w:rsidRPr="0066674B">
        <w:rPr>
          <w:specVanish/>
        </w:rPr>
        <w:t>2.9</w:t>
      </w:r>
      <w:r w:rsidRPr="0066674B">
        <w:rPr>
          <w:rFonts w:ascii="Calibri" w:hAnsi="Calibri"/>
          <w:sz w:val="22"/>
          <w:szCs w:val="22"/>
        </w:rPr>
        <w:tab/>
      </w:r>
      <w:r w:rsidRPr="0066674B">
        <w:t>Reports Under Exchange Act</w:t>
      </w:r>
      <w:r w:rsidRPr="0066674B">
        <w:tab/>
      </w:r>
      <w:r w:rsidRPr="0066674B">
        <w:fldChar w:fldCharType="begin"/>
      </w:r>
      <w:r w:rsidRPr="0066674B">
        <w:instrText xml:space="preserve"> PAGEREF _Toc505091147 \h </w:instrText>
      </w:r>
      <w:r w:rsidRPr="0066674B">
        <w:fldChar w:fldCharType="separate"/>
      </w:r>
      <w:r w:rsidRPr="0066674B">
        <w:t>15</w:t>
      </w:r>
      <w:r w:rsidRPr="0066674B">
        <w:fldChar w:fldCharType="end"/>
      </w:r>
    </w:p>
    <w:p w:rsidR="00013199" w:rsidRPr="0066674B" w:rsidRDefault="00013199">
      <w:pPr>
        <w:pStyle w:val="TOC2"/>
        <w:rPr>
          <w:rFonts w:ascii="Calibri" w:hAnsi="Calibri"/>
          <w:sz w:val="22"/>
          <w:szCs w:val="22"/>
        </w:rPr>
      </w:pPr>
      <w:r w:rsidRPr="0066674B">
        <w:rPr>
          <w:specVanish/>
        </w:rPr>
        <w:t>2.10</w:t>
      </w:r>
      <w:r w:rsidRPr="0066674B">
        <w:rPr>
          <w:rFonts w:ascii="Calibri" w:hAnsi="Calibri"/>
          <w:sz w:val="22"/>
          <w:szCs w:val="22"/>
        </w:rPr>
        <w:tab/>
      </w:r>
      <w:r w:rsidRPr="0066674B">
        <w:t>Limitations on Subsequent Registration Rights</w:t>
      </w:r>
      <w:r w:rsidRPr="0066674B">
        <w:tab/>
      </w:r>
      <w:r w:rsidRPr="0066674B">
        <w:fldChar w:fldCharType="begin"/>
      </w:r>
      <w:r w:rsidRPr="0066674B">
        <w:instrText xml:space="preserve"> PAGEREF _Toc505091148 \h </w:instrText>
      </w:r>
      <w:r w:rsidRPr="0066674B">
        <w:fldChar w:fldCharType="separate"/>
      </w:r>
      <w:r w:rsidRPr="0066674B">
        <w:t>16</w:t>
      </w:r>
      <w:r w:rsidRPr="0066674B">
        <w:fldChar w:fldCharType="end"/>
      </w:r>
    </w:p>
    <w:p w:rsidR="00013199" w:rsidRPr="0066674B" w:rsidRDefault="00013199">
      <w:pPr>
        <w:pStyle w:val="TOC2"/>
        <w:rPr>
          <w:rFonts w:ascii="Calibri" w:hAnsi="Calibri"/>
          <w:sz w:val="22"/>
          <w:szCs w:val="22"/>
        </w:rPr>
      </w:pPr>
      <w:r w:rsidRPr="0066674B">
        <w:rPr>
          <w:specVanish/>
        </w:rPr>
        <w:t>2.11</w:t>
      </w:r>
      <w:r w:rsidRPr="0066674B">
        <w:rPr>
          <w:rFonts w:ascii="Calibri" w:hAnsi="Calibri"/>
          <w:sz w:val="22"/>
          <w:szCs w:val="22"/>
        </w:rPr>
        <w:tab/>
      </w:r>
      <w:r w:rsidRPr="0066674B">
        <w:t>“Market Stand</w:t>
      </w:r>
      <w:r w:rsidRPr="0066674B">
        <w:noBreakHyphen/>
        <w:t>off” Agreement</w:t>
      </w:r>
      <w:r w:rsidRPr="0066674B">
        <w:tab/>
      </w:r>
      <w:r w:rsidRPr="0066674B">
        <w:fldChar w:fldCharType="begin"/>
      </w:r>
      <w:r w:rsidRPr="0066674B">
        <w:instrText xml:space="preserve"> PAGEREF _Toc505091149 \h </w:instrText>
      </w:r>
      <w:r w:rsidRPr="0066674B">
        <w:fldChar w:fldCharType="separate"/>
      </w:r>
      <w:r w:rsidRPr="0066674B">
        <w:t>16</w:t>
      </w:r>
      <w:r w:rsidRPr="0066674B">
        <w:fldChar w:fldCharType="end"/>
      </w:r>
    </w:p>
    <w:p w:rsidR="00013199" w:rsidRPr="0066674B" w:rsidRDefault="00013199">
      <w:pPr>
        <w:pStyle w:val="TOC2"/>
        <w:rPr>
          <w:rFonts w:ascii="Calibri" w:hAnsi="Calibri"/>
          <w:sz w:val="22"/>
          <w:szCs w:val="22"/>
        </w:rPr>
      </w:pPr>
      <w:r w:rsidRPr="0066674B">
        <w:rPr>
          <w:specVanish/>
        </w:rPr>
        <w:t>2.12</w:t>
      </w:r>
      <w:r w:rsidRPr="0066674B">
        <w:rPr>
          <w:rFonts w:ascii="Calibri" w:hAnsi="Calibri"/>
          <w:sz w:val="22"/>
          <w:szCs w:val="22"/>
        </w:rPr>
        <w:tab/>
      </w:r>
      <w:r w:rsidRPr="0066674B">
        <w:t>Restrictions on Transfer</w:t>
      </w:r>
      <w:r w:rsidRPr="0066674B">
        <w:tab/>
      </w:r>
      <w:r w:rsidRPr="0066674B">
        <w:fldChar w:fldCharType="begin"/>
      </w:r>
      <w:r w:rsidRPr="0066674B">
        <w:instrText xml:space="preserve"> PAGEREF _Toc505091150 \h </w:instrText>
      </w:r>
      <w:r w:rsidRPr="0066674B">
        <w:fldChar w:fldCharType="separate"/>
      </w:r>
      <w:r w:rsidRPr="0066674B">
        <w:t>18</w:t>
      </w:r>
      <w:r w:rsidRPr="0066674B">
        <w:fldChar w:fldCharType="end"/>
      </w:r>
    </w:p>
    <w:p w:rsidR="00013199" w:rsidRPr="0066674B" w:rsidRDefault="00013199">
      <w:pPr>
        <w:pStyle w:val="TOC2"/>
        <w:rPr>
          <w:rFonts w:ascii="Calibri" w:hAnsi="Calibri"/>
          <w:sz w:val="22"/>
          <w:szCs w:val="22"/>
        </w:rPr>
      </w:pPr>
      <w:r w:rsidRPr="0066674B">
        <w:rPr>
          <w:specVanish/>
        </w:rPr>
        <w:t>2.13</w:t>
      </w:r>
      <w:r w:rsidRPr="0066674B">
        <w:rPr>
          <w:rFonts w:ascii="Calibri" w:hAnsi="Calibri"/>
          <w:sz w:val="22"/>
          <w:szCs w:val="22"/>
        </w:rPr>
        <w:tab/>
      </w:r>
      <w:r w:rsidRPr="0066674B">
        <w:t>Termination of Registration Rights</w:t>
      </w:r>
      <w:r w:rsidRPr="0066674B">
        <w:tab/>
      </w:r>
      <w:r w:rsidRPr="0066674B">
        <w:fldChar w:fldCharType="begin"/>
      </w:r>
      <w:r w:rsidRPr="0066674B">
        <w:instrText xml:space="preserve"> PAGEREF _Toc505091151 \h </w:instrText>
      </w:r>
      <w:r w:rsidRPr="0066674B">
        <w:fldChar w:fldCharType="separate"/>
      </w:r>
      <w:r w:rsidRPr="0066674B">
        <w:t>19</w:t>
      </w:r>
      <w:r w:rsidRPr="0066674B">
        <w:fldChar w:fldCharType="end"/>
      </w:r>
    </w:p>
    <w:p w:rsidR="00013199" w:rsidRPr="0066674B" w:rsidRDefault="00013199">
      <w:pPr>
        <w:pStyle w:val="TOC1"/>
        <w:rPr>
          <w:rFonts w:ascii="Calibri" w:hAnsi="Calibri"/>
          <w:sz w:val="22"/>
          <w:szCs w:val="22"/>
        </w:rPr>
      </w:pPr>
      <w:r w:rsidRPr="0066674B">
        <w:rPr>
          <w:specVanish/>
        </w:rPr>
        <w:t>3.</w:t>
      </w:r>
      <w:r w:rsidRPr="0066674B">
        <w:rPr>
          <w:rFonts w:ascii="Calibri" w:hAnsi="Calibri"/>
          <w:sz w:val="22"/>
          <w:szCs w:val="22"/>
        </w:rPr>
        <w:tab/>
      </w:r>
      <w:r w:rsidRPr="0066674B">
        <w:t>Information and Observer Rights</w:t>
      </w:r>
      <w:r w:rsidRPr="0066674B">
        <w:tab/>
      </w:r>
      <w:r w:rsidRPr="0066674B">
        <w:fldChar w:fldCharType="begin"/>
      </w:r>
      <w:r w:rsidRPr="0066674B">
        <w:instrText xml:space="preserve"> PAGEREF _Toc505091152 \h </w:instrText>
      </w:r>
      <w:r w:rsidRPr="0066674B">
        <w:fldChar w:fldCharType="separate"/>
      </w:r>
      <w:r w:rsidRPr="0066674B">
        <w:t>20</w:t>
      </w:r>
      <w:r w:rsidRPr="0066674B">
        <w:fldChar w:fldCharType="end"/>
      </w:r>
    </w:p>
    <w:p w:rsidR="00013199" w:rsidRPr="0066674B" w:rsidRDefault="00013199">
      <w:pPr>
        <w:pStyle w:val="TOC2"/>
        <w:rPr>
          <w:rFonts w:ascii="Calibri" w:hAnsi="Calibri"/>
          <w:sz w:val="22"/>
          <w:szCs w:val="22"/>
        </w:rPr>
      </w:pPr>
      <w:r w:rsidRPr="0066674B">
        <w:rPr>
          <w:specVanish/>
        </w:rPr>
        <w:t>3.1</w:t>
      </w:r>
      <w:r w:rsidRPr="0066674B">
        <w:rPr>
          <w:rFonts w:ascii="Calibri" w:hAnsi="Calibri"/>
          <w:sz w:val="22"/>
          <w:szCs w:val="22"/>
        </w:rPr>
        <w:tab/>
      </w:r>
      <w:r w:rsidRPr="0066674B">
        <w:t>Delivery of Financial Statements</w:t>
      </w:r>
      <w:r w:rsidRPr="0066674B">
        <w:tab/>
      </w:r>
      <w:r w:rsidRPr="0066674B">
        <w:fldChar w:fldCharType="begin"/>
      </w:r>
      <w:r w:rsidRPr="0066674B">
        <w:instrText xml:space="preserve"> PAGEREF _Toc505091153 \h </w:instrText>
      </w:r>
      <w:r w:rsidRPr="0066674B">
        <w:fldChar w:fldCharType="separate"/>
      </w:r>
      <w:r w:rsidRPr="0066674B">
        <w:t>20</w:t>
      </w:r>
      <w:r w:rsidRPr="0066674B">
        <w:fldChar w:fldCharType="end"/>
      </w:r>
    </w:p>
    <w:p w:rsidR="00013199" w:rsidRPr="0066674B" w:rsidRDefault="00013199">
      <w:pPr>
        <w:pStyle w:val="TOC2"/>
        <w:rPr>
          <w:rFonts w:ascii="Calibri" w:hAnsi="Calibri"/>
          <w:sz w:val="22"/>
          <w:szCs w:val="22"/>
        </w:rPr>
      </w:pPr>
      <w:r w:rsidRPr="0066674B">
        <w:rPr>
          <w:specVanish/>
        </w:rPr>
        <w:t>3.2</w:t>
      </w:r>
      <w:r w:rsidRPr="0066674B">
        <w:rPr>
          <w:rFonts w:ascii="Calibri" w:hAnsi="Calibri"/>
          <w:sz w:val="22"/>
          <w:szCs w:val="22"/>
        </w:rPr>
        <w:tab/>
      </w:r>
      <w:r w:rsidRPr="0066674B">
        <w:t>Inspection</w:t>
      </w:r>
      <w:r w:rsidRPr="0066674B">
        <w:tab/>
      </w:r>
      <w:r w:rsidRPr="0066674B">
        <w:fldChar w:fldCharType="begin"/>
      </w:r>
      <w:r w:rsidRPr="0066674B">
        <w:instrText xml:space="preserve"> PAGEREF _Toc505091154 \h </w:instrText>
      </w:r>
      <w:r w:rsidRPr="0066674B">
        <w:fldChar w:fldCharType="separate"/>
      </w:r>
      <w:r w:rsidRPr="0066674B">
        <w:t>22</w:t>
      </w:r>
      <w:r w:rsidRPr="0066674B">
        <w:fldChar w:fldCharType="end"/>
      </w:r>
    </w:p>
    <w:p w:rsidR="00013199" w:rsidRPr="0066674B" w:rsidRDefault="00013199">
      <w:pPr>
        <w:pStyle w:val="TOC2"/>
        <w:rPr>
          <w:rFonts w:ascii="Calibri" w:hAnsi="Calibri"/>
          <w:sz w:val="22"/>
          <w:szCs w:val="22"/>
        </w:rPr>
      </w:pPr>
      <w:r w:rsidRPr="0066674B">
        <w:rPr>
          <w:specVanish/>
        </w:rPr>
        <w:t>3.3</w:t>
      </w:r>
      <w:r w:rsidRPr="0066674B">
        <w:rPr>
          <w:rFonts w:ascii="Calibri" w:hAnsi="Calibri"/>
          <w:sz w:val="22"/>
          <w:szCs w:val="22"/>
        </w:rPr>
        <w:tab/>
      </w:r>
      <w:r w:rsidRPr="0066674B">
        <w:t>[Observer Rights</w:t>
      </w:r>
      <w:r w:rsidRPr="0066674B">
        <w:tab/>
      </w:r>
      <w:r w:rsidRPr="0066674B">
        <w:fldChar w:fldCharType="begin"/>
      </w:r>
      <w:r w:rsidRPr="0066674B">
        <w:instrText xml:space="preserve"> PAGEREF _Toc505091155 \h </w:instrText>
      </w:r>
      <w:r w:rsidRPr="0066674B">
        <w:fldChar w:fldCharType="separate"/>
      </w:r>
      <w:r w:rsidRPr="0066674B">
        <w:t>22</w:t>
      </w:r>
      <w:r w:rsidRPr="0066674B">
        <w:fldChar w:fldCharType="end"/>
      </w:r>
    </w:p>
    <w:p w:rsidR="00013199" w:rsidRPr="0066674B" w:rsidRDefault="00013199">
      <w:pPr>
        <w:pStyle w:val="TOC2"/>
        <w:rPr>
          <w:rFonts w:ascii="Calibri" w:hAnsi="Calibri"/>
          <w:sz w:val="22"/>
          <w:szCs w:val="22"/>
        </w:rPr>
      </w:pPr>
      <w:r w:rsidRPr="0066674B">
        <w:rPr>
          <w:specVanish/>
        </w:rPr>
        <w:t>3.4</w:t>
      </w:r>
      <w:r w:rsidRPr="0066674B">
        <w:rPr>
          <w:rFonts w:ascii="Calibri" w:hAnsi="Calibri"/>
          <w:sz w:val="22"/>
          <w:szCs w:val="22"/>
        </w:rPr>
        <w:tab/>
      </w:r>
      <w:r w:rsidRPr="0066674B">
        <w:t>Termination of Information [and Observer Rights]</w:t>
      </w:r>
      <w:r w:rsidRPr="0066674B">
        <w:tab/>
      </w:r>
      <w:r w:rsidRPr="0066674B">
        <w:fldChar w:fldCharType="begin"/>
      </w:r>
      <w:r w:rsidRPr="0066674B">
        <w:instrText xml:space="preserve"> PAGEREF _Toc505091156 \h </w:instrText>
      </w:r>
      <w:r w:rsidRPr="0066674B">
        <w:fldChar w:fldCharType="separate"/>
      </w:r>
      <w:r w:rsidRPr="0066674B">
        <w:t>22</w:t>
      </w:r>
      <w:r w:rsidRPr="0066674B">
        <w:fldChar w:fldCharType="end"/>
      </w:r>
    </w:p>
    <w:p w:rsidR="00013199" w:rsidRPr="0066674B" w:rsidRDefault="00013199">
      <w:pPr>
        <w:pStyle w:val="TOC2"/>
        <w:rPr>
          <w:rFonts w:ascii="Calibri" w:hAnsi="Calibri"/>
          <w:sz w:val="22"/>
          <w:szCs w:val="22"/>
        </w:rPr>
      </w:pPr>
      <w:r w:rsidRPr="0066674B">
        <w:rPr>
          <w:specVanish/>
        </w:rPr>
        <w:t>3.5</w:t>
      </w:r>
      <w:r w:rsidRPr="0066674B">
        <w:rPr>
          <w:rFonts w:ascii="Calibri" w:hAnsi="Calibri"/>
          <w:sz w:val="22"/>
          <w:szCs w:val="22"/>
        </w:rPr>
        <w:tab/>
      </w:r>
      <w:r w:rsidRPr="0066674B">
        <w:t>Confidentiality</w:t>
      </w:r>
      <w:r w:rsidRPr="0066674B">
        <w:tab/>
      </w:r>
      <w:r w:rsidRPr="0066674B">
        <w:fldChar w:fldCharType="begin"/>
      </w:r>
      <w:r w:rsidRPr="0066674B">
        <w:instrText xml:space="preserve"> PAGEREF _Toc505091157 \h </w:instrText>
      </w:r>
      <w:r w:rsidRPr="0066674B">
        <w:fldChar w:fldCharType="separate"/>
      </w:r>
      <w:r w:rsidRPr="0066674B">
        <w:t>23</w:t>
      </w:r>
      <w:r w:rsidRPr="0066674B">
        <w:fldChar w:fldCharType="end"/>
      </w:r>
    </w:p>
    <w:p w:rsidR="00013199" w:rsidRPr="0066674B" w:rsidRDefault="00013199">
      <w:pPr>
        <w:pStyle w:val="TOC1"/>
        <w:rPr>
          <w:rFonts w:ascii="Calibri" w:hAnsi="Calibri"/>
          <w:sz w:val="22"/>
          <w:szCs w:val="22"/>
        </w:rPr>
      </w:pPr>
      <w:r w:rsidRPr="0066674B">
        <w:rPr>
          <w:specVanish/>
        </w:rPr>
        <w:t>4.</w:t>
      </w:r>
      <w:r w:rsidRPr="0066674B">
        <w:rPr>
          <w:rFonts w:ascii="Calibri" w:hAnsi="Calibri"/>
          <w:sz w:val="22"/>
          <w:szCs w:val="22"/>
        </w:rPr>
        <w:tab/>
      </w:r>
      <w:r w:rsidRPr="0066674B">
        <w:t>Rights to Future Stock Issuances</w:t>
      </w:r>
      <w:r w:rsidRPr="0066674B">
        <w:tab/>
      </w:r>
      <w:r w:rsidRPr="0066674B">
        <w:fldChar w:fldCharType="begin"/>
      </w:r>
      <w:r w:rsidRPr="0066674B">
        <w:instrText xml:space="preserve"> PAGEREF _Toc505091158 \h </w:instrText>
      </w:r>
      <w:r w:rsidRPr="0066674B">
        <w:fldChar w:fldCharType="separate"/>
      </w:r>
      <w:r w:rsidRPr="0066674B">
        <w:t>23</w:t>
      </w:r>
      <w:r w:rsidRPr="0066674B">
        <w:fldChar w:fldCharType="end"/>
      </w:r>
    </w:p>
    <w:p w:rsidR="00013199" w:rsidRPr="0066674B" w:rsidRDefault="00013199">
      <w:pPr>
        <w:pStyle w:val="TOC2"/>
        <w:rPr>
          <w:rFonts w:ascii="Calibri" w:hAnsi="Calibri"/>
          <w:sz w:val="22"/>
          <w:szCs w:val="22"/>
        </w:rPr>
      </w:pPr>
      <w:r w:rsidRPr="0066674B">
        <w:rPr>
          <w:specVanish/>
        </w:rPr>
        <w:t>4.1</w:t>
      </w:r>
      <w:r w:rsidRPr="0066674B">
        <w:rPr>
          <w:rFonts w:ascii="Calibri" w:hAnsi="Calibri"/>
          <w:sz w:val="22"/>
          <w:szCs w:val="22"/>
        </w:rPr>
        <w:tab/>
      </w:r>
      <w:r w:rsidRPr="0066674B">
        <w:t>Right of First Offer</w:t>
      </w:r>
      <w:r w:rsidRPr="0066674B">
        <w:tab/>
      </w:r>
      <w:r w:rsidRPr="0066674B">
        <w:fldChar w:fldCharType="begin"/>
      </w:r>
      <w:r w:rsidRPr="0066674B">
        <w:instrText xml:space="preserve"> PAGEREF _Toc505091159 \h </w:instrText>
      </w:r>
      <w:r w:rsidRPr="0066674B">
        <w:fldChar w:fldCharType="separate"/>
      </w:r>
      <w:r w:rsidRPr="0066674B">
        <w:t>23</w:t>
      </w:r>
      <w:r w:rsidRPr="0066674B">
        <w:fldChar w:fldCharType="end"/>
      </w:r>
    </w:p>
    <w:p w:rsidR="00013199" w:rsidRPr="0066674B" w:rsidRDefault="00013199">
      <w:pPr>
        <w:pStyle w:val="TOC2"/>
        <w:rPr>
          <w:rFonts w:ascii="Calibri" w:hAnsi="Calibri"/>
          <w:sz w:val="22"/>
          <w:szCs w:val="22"/>
        </w:rPr>
      </w:pPr>
      <w:r w:rsidRPr="0066674B">
        <w:rPr>
          <w:specVanish/>
        </w:rPr>
        <w:t>4.2</w:t>
      </w:r>
      <w:r w:rsidRPr="0066674B">
        <w:rPr>
          <w:rFonts w:ascii="Calibri" w:hAnsi="Calibri"/>
          <w:sz w:val="22"/>
          <w:szCs w:val="22"/>
        </w:rPr>
        <w:tab/>
      </w:r>
      <w:r w:rsidRPr="0066674B">
        <w:t>[Directed IPO Shares</w:t>
      </w:r>
      <w:r w:rsidRPr="0066674B">
        <w:tab/>
      </w:r>
      <w:r w:rsidRPr="0066674B">
        <w:fldChar w:fldCharType="begin"/>
      </w:r>
      <w:r w:rsidRPr="0066674B">
        <w:instrText xml:space="preserve"> PAGEREF _Toc505091160 \h </w:instrText>
      </w:r>
      <w:r w:rsidRPr="0066674B">
        <w:fldChar w:fldCharType="separate"/>
      </w:r>
      <w:r w:rsidRPr="0066674B">
        <w:t>26</w:t>
      </w:r>
      <w:r w:rsidRPr="0066674B">
        <w:fldChar w:fldCharType="end"/>
      </w:r>
    </w:p>
    <w:p w:rsidR="00013199" w:rsidRPr="0066674B" w:rsidRDefault="00013199">
      <w:pPr>
        <w:pStyle w:val="TOC2"/>
        <w:rPr>
          <w:rFonts w:ascii="Calibri" w:hAnsi="Calibri"/>
          <w:sz w:val="22"/>
          <w:szCs w:val="22"/>
        </w:rPr>
      </w:pPr>
      <w:r w:rsidRPr="0066674B">
        <w:rPr>
          <w:specVanish/>
        </w:rPr>
        <w:t>4.3</w:t>
      </w:r>
      <w:r w:rsidRPr="0066674B">
        <w:rPr>
          <w:rFonts w:ascii="Calibri" w:hAnsi="Calibri"/>
          <w:sz w:val="22"/>
          <w:szCs w:val="22"/>
        </w:rPr>
        <w:tab/>
      </w:r>
      <w:r w:rsidRPr="0066674B">
        <w:t>Termination</w:t>
      </w:r>
      <w:r w:rsidRPr="0066674B">
        <w:tab/>
      </w:r>
      <w:r w:rsidRPr="0066674B">
        <w:fldChar w:fldCharType="begin"/>
      </w:r>
      <w:r w:rsidRPr="0066674B">
        <w:instrText xml:space="preserve"> PAGEREF _Toc505091161 \h </w:instrText>
      </w:r>
      <w:r w:rsidRPr="0066674B">
        <w:fldChar w:fldCharType="separate"/>
      </w:r>
      <w:r w:rsidRPr="0066674B">
        <w:t>26</w:t>
      </w:r>
      <w:r w:rsidRPr="0066674B">
        <w:fldChar w:fldCharType="end"/>
      </w:r>
    </w:p>
    <w:p w:rsidR="00013199" w:rsidRPr="0066674B" w:rsidRDefault="00013199">
      <w:pPr>
        <w:pStyle w:val="TOC1"/>
        <w:rPr>
          <w:rFonts w:ascii="Calibri" w:hAnsi="Calibri"/>
          <w:sz w:val="22"/>
          <w:szCs w:val="22"/>
        </w:rPr>
      </w:pPr>
      <w:r w:rsidRPr="0066674B">
        <w:rPr>
          <w:specVanish/>
        </w:rPr>
        <w:t>5.</w:t>
      </w:r>
      <w:r w:rsidRPr="0066674B">
        <w:rPr>
          <w:rFonts w:ascii="Calibri" w:hAnsi="Calibri"/>
          <w:sz w:val="22"/>
          <w:szCs w:val="22"/>
        </w:rPr>
        <w:tab/>
      </w:r>
      <w:r w:rsidRPr="0066674B">
        <w:t>Additional Covenants</w:t>
      </w:r>
      <w:r w:rsidRPr="0066674B">
        <w:tab/>
      </w:r>
      <w:r w:rsidRPr="0066674B">
        <w:fldChar w:fldCharType="begin"/>
      </w:r>
      <w:r w:rsidRPr="0066674B">
        <w:instrText xml:space="preserve"> PAGEREF _Toc505091162 \h </w:instrText>
      </w:r>
      <w:r w:rsidRPr="0066674B">
        <w:fldChar w:fldCharType="separate"/>
      </w:r>
      <w:r w:rsidRPr="0066674B">
        <w:t>26</w:t>
      </w:r>
      <w:r w:rsidRPr="0066674B">
        <w:fldChar w:fldCharType="end"/>
      </w:r>
    </w:p>
    <w:p w:rsidR="00013199" w:rsidRPr="0066674B" w:rsidRDefault="00013199">
      <w:pPr>
        <w:pStyle w:val="TOC2"/>
        <w:rPr>
          <w:rFonts w:ascii="Calibri" w:hAnsi="Calibri"/>
          <w:sz w:val="22"/>
          <w:szCs w:val="22"/>
        </w:rPr>
      </w:pPr>
      <w:r w:rsidRPr="0066674B">
        <w:rPr>
          <w:specVanish/>
        </w:rPr>
        <w:t>5.1</w:t>
      </w:r>
      <w:r w:rsidRPr="0066674B">
        <w:rPr>
          <w:rFonts w:ascii="Calibri" w:hAnsi="Calibri"/>
          <w:sz w:val="22"/>
          <w:szCs w:val="22"/>
        </w:rPr>
        <w:tab/>
      </w:r>
      <w:r w:rsidRPr="0066674B">
        <w:t>Insurance</w:t>
      </w:r>
      <w:r w:rsidRPr="0066674B">
        <w:tab/>
      </w:r>
      <w:r w:rsidRPr="0066674B">
        <w:fldChar w:fldCharType="begin"/>
      </w:r>
      <w:r w:rsidRPr="0066674B">
        <w:instrText xml:space="preserve"> PAGEREF _Toc505091163 \h </w:instrText>
      </w:r>
      <w:r w:rsidRPr="0066674B">
        <w:fldChar w:fldCharType="separate"/>
      </w:r>
      <w:r w:rsidRPr="0066674B">
        <w:t>26</w:t>
      </w:r>
      <w:r w:rsidRPr="0066674B">
        <w:fldChar w:fldCharType="end"/>
      </w:r>
    </w:p>
    <w:p w:rsidR="00013199" w:rsidRPr="0066674B" w:rsidRDefault="00013199">
      <w:pPr>
        <w:pStyle w:val="TOC2"/>
        <w:rPr>
          <w:rFonts w:ascii="Calibri" w:hAnsi="Calibri"/>
          <w:sz w:val="22"/>
          <w:szCs w:val="22"/>
        </w:rPr>
      </w:pPr>
      <w:r w:rsidRPr="0066674B">
        <w:rPr>
          <w:specVanish/>
        </w:rPr>
        <w:t>5.2</w:t>
      </w:r>
      <w:r w:rsidRPr="0066674B">
        <w:rPr>
          <w:rFonts w:ascii="Calibri" w:hAnsi="Calibri"/>
          <w:sz w:val="22"/>
          <w:szCs w:val="22"/>
        </w:rPr>
        <w:tab/>
      </w:r>
      <w:r w:rsidRPr="0066674B">
        <w:t>Employee Agreements</w:t>
      </w:r>
      <w:r w:rsidRPr="0066674B">
        <w:tab/>
      </w:r>
      <w:r w:rsidRPr="0066674B">
        <w:fldChar w:fldCharType="begin"/>
      </w:r>
      <w:r w:rsidRPr="0066674B">
        <w:instrText xml:space="preserve"> PAGEREF _Toc505091164 \h </w:instrText>
      </w:r>
      <w:r w:rsidRPr="0066674B">
        <w:fldChar w:fldCharType="separate"/>
      </w:r>
      <w:r w:rsidRPr="0066674B">
        <w:t>27</w:t>
      </w:r>
      <w:r w:rsidRPr="0066674B">
        <w:fldChar w:fldCharType="end"/>
      </w:r>
    </w:p>
    <w:p w:rsidR="00013199" w:rsidRPr="0066674B" w:rsidRDefault="00013199">
      <w:pPr>
        <w:pStyle w:val="TOC2"/>
        <w:rPr>
          <w:rFonts w:ascii="Calibri" w:hAnsi="Calibri"/>
          <w:sz w:val="22"/>
          <w:szCs w:val="22"/>
        </w:rPr>
      </w:pPr>
      <w:r w:rsidRPr="0066674B">
        <w:rPr>
          <w:specVanish/>
        </w:rPr>
        <w:t>5.3</w:t>
      </w:r>
      <w:r w:rsidRPr="0066674B">
        <w:rPr>
          <w:rFonts w:ascii="Calibri" w:hAnsi="Calibri"/>
          <w:sz w:val="22"/>
          <w:szCs w:val="22"/>
        </w:rPr>
        <w:tab/>
      </w:r>
      <w:r w:rsidRPr="0066674B">
        <w:t>Employee Stock</w:t>
      </w:r>
      <w:r w:rsidRPr="0066674B">
        <w:tab/>
      </w:r>
      <w:r w:rsidRPr="0066674B">
        <w:fldChar w:fldCharType="begin"/>
      </w:r>
      <w:r w:rsidRPr="0066674B">
        <w:instrText xml:space="preserve"> PAGEREF _Toc505091165 \h </w:instrText>
      </w:r>
      <w:r w:rsidRPr="0066674B">
        <w:fldChar w:fldCharType="separate"/>
      </w:r>
      <w:r w:rsidRPr="0066674B">
        <w:t>27</w:t>
      </w:r>
      <w:r w:rsidRPr="0066674B">
        <w:fldChar w:fldCharType="end"/>
      </w:r>
    </w:p>
    <w:p w:rsidR="00013199" w:rsidRPr="0066674B" w:rsidRDefault="00013199">
      <w:pPr>
        <w:pStyle w:val="TOC2"/>
        <w:rPr>
          <w:rFonts w:ascii="Calibri" w:hAnsi="Calibri"/>
          <w:sz w:val="22"/>
          <w:szCs w:val="22"/>
        </w:rPr>
      </w:pPr>
      <w:r w:rsidRPr="0066674B">
        <w:rPr>
          <w:specVanish/>
        </w:rPr>
        <w:t>5.4</w:t>
      </w:r>
      <w:r w:rsidRPr="0066674B">
        <w:rPr>
          <w:rFonts w:ascii="Calibri" w:hAnsi="Calibri"/>
          <w:sz w:val="22"/>
          <w:szCs w:val="22"/>
        </w:rPr>
        <w:tab/>
      </w:r>
      <w:r w:rsidRPr="0066674B">
        <w:t>[Qualified Small Business Stock</w:t>
      </w:r>
      <w:r w:rsidRPr="0066674B">
        <w:tab/>
      </w:r>
      <w:r w:rsidRPr="0066674B">
        <w:fldChar w:fldCharType="begin"/>
      </w:r>
      <w:r w:rsidRPr="0066674B">
        <w:instrText xml:space="preserve"> PAGEREF _Toc505091166 \h </w:instrText>
      </w:r>
      <w:r w:rsidRPr="0066674B">
        <w:fldChar w:fldCharType="separate"/>
      </w:r>
      <w:r w:rsidRPr="0066674B">
        <w:t>28</w:t>
      </w:r>
      <w:r w:rsidRPr="0066674B">
        <w:fldChar w:fldCharType="end"/>
      </w:r>
    </w:p>
    <w:p w:rsidR="00013199" w:rsidRPr="0066674B" w:rsidRDefault="00013199">
      <w:pPr>
        <w:pStyle w:val="TOC2"/>
        <w:rPr>
          <w:rFonts w:ascii="Calibri" w:hAnsi="Calibri"/>
          <w:sz w:val="22"/>
          <w:szCs w:val="22"/>
        </w:rPr>
      </w:pPr>
      <w:r w:rsidRPr="0066674B">
        <w:rPr>
          <w:specVanish/>
        </w:rPr>
        <w:t>5.5</w:t>
      </w:r>
      <w:r w:rsidRPr="0066674B">
        <w:rPr>
          <w:rFonts w:ascii="Calibri" w:hAnsi="Calibri"/>
          <w:sz w:val="22"/>
          <w:szCs w:val="22"/>
        </w:rPr>
        <w:tab/>
      </w:r>
      <w:r w:rsidRPr="0066674B">
        <w:t>Matters Requiring Investor Director Approval</w:t>
      </w:r>
      <w:r w:rsidRPr="0066674B">
        <w:tab/>
      </w:r>
      <w:r w:rsidRPr="0066674B">
        <w:fldChar w:fldCharType="begin"/>
      </w:r>
      <w:r w:rsidRPr="0066674B">
        <w:instrText xml:space="preserve"> PAGEREF _Toc505091167 \h </w:instrText>
      </w:r>
      <w:r w:rsidRPr="0066674B">
        <w:fldChar w:fldCharType="separate"/>
      </w:r>
      <w:r w:rsidRPr="0066674B">
        <w:t>28</w:t>
      </w:r>
      <w:r w:rsidRPr="0066674B">
        <w:fldChar w:fldCharType="end"/>
      </w:r>
    </w:p>
    <w:p w:rsidR="00013199" w:rsidRPr="0066674B" w:rsidRDefault="00013199">
      <w:pPr>
        <w:pStyle w:val="TOC2"/>
        <w:rPr>
          <w:rFonts w:ascii="Calibri" w:hAnsi="Calibri"/>
          <w:sz w:val="22"/>
          <w:szCs w:val="22"/>
        </w:rPr>
      </w:pPr>
      <w:r w:rsidRPr="0066674B">
        <w:rPr>
          <w:specVanish/>
        </w:rPr>
        <w:t>5.6</w:t>
      </w:r>
      <w:r w:rsidRPr="0066674B">
        <w:rPr>
          <w:rFonts w:ascii="Calibri" w:hAnsi="Calibri"/>
          <w:sz w:val="22"/>
          <w:szCs w:val="22"/>
        </w:rPr>
        <w:tab/>
      </w:r>
      <w:r w:rsidRPr="0066674B">
        <w:t>Board Matters</w:t>
      </w:r>
      <w:r w:rsidRPr="0066674B">
        <w:tab/>
      </w:r>
      <w:r w:rsidRPr="0066674B">
        <w:fldChar w:fldCharType="begin"/>
      </w:r>
      <w:r w:rsidRPr="0066674B">
        <w:instrText xml:space="preserve"> PAGEREF _Toc505091168 \h </w:instrText>
      </w:r>
      <w:r w:rsidRPr="0066674B">
        <w:fldChar w:fldCharType="separate"/>
      </w:r>
      <w:r w:rsidRPr="0066674B">
        <w:t>29</w:t>
      </w:r>
      <w:r w:rsidRPr="0066674B">
        <w:fldChar w:fldCharType="end"/>
      </w:r>
    </w:p>
    <w:p w:rsidR="00013199" w:rsidRPr="0066674B" w:rsidRDefault="00013199">
      <w:pPr>
        <w:pStyle w:val="TOC2"/>
        <w:rPr>
          <w:rFonts w:ascii="Calibri" w:hAnsi="Calibri"/>
          <w:sz w:val="22"/>
          <w:szCs w:val="22"/>
        </w:rPr>
      </w:pPr>
      <w:r w:rsidRPr="0066674B">
        <w:rPr>
          <w:specVanish/>
        </w:rPr>
        <w:t>5.7</w:t>
      </w:r>
      <w:r w:rsidRPr="0066674B">
        <w:rPr>
          <w:rFonts w:ascii="Calibri" w:hAnsi="Calibri"/>
          <w:sz w:val="22"/>
          <w:szCs w:val="22"/>
        </w:rPr>
        <w:tab/>
      </w:r>
      <w:r w:rsidRPr="0066674B">
        <w:t>Successor Indemnification</w:t>
      </w:r>
      <w:r w:rsidRPr="0066674B">
        <w:tab/>
      </w:r>
      <w:r w:rsidRPr="0066674B">
        <w:fldChar w:fldCharType="begin"/>
      </w:r>
      <w:r w:rsidRPr="0066674B">
        <w:instrText xml:space="preserve"> PAGEREF _Toc505091169 \h </w:instrText>
      </w:r>
      <w:r w:rsidRPr="0066674B">
        <w:fldChar w:fldCharType="separate"/>
      </w:r>
      <w:r w:rsidRPr="0066674B">
        <w:t>30</w:t>
      </w:r>
      <w:r w:rsidRPr="0066674B">
        <w:fldChar w:fldCharType="end"/>
      </w:r>
    </w:p>
    <w:p w:rsidR="00013199" w:rsidRPr="0066674B" w:rsidRDefault="00013199">
      <w:pPr>
        <w:pStyle w:val="TOC2"/>
        <w:rPr>
          <w:rFonts w:ascii="Calibri" w:hAnsi="Calibri"/>
          <w:sz w:val="22"/>
          <w:szCs w:val="22"/>
        </w:rPr>
      </w:pPr>
      <w:r w:rsidRPr="0066674B">
        <w:rPr>
          <w:specVanish/>
        </w:rPr>
        <w:t>5.8</w:t>
      </w:r>
      <w:r w:rsidRPr="0066674B">
        <w:rPr>
          <w:rFonts w:ascii="Calibri" w:hAnsi="Calibri"/>
          <w:sz w:val="22"/>
          <w:szCs w:val="22"/>
        </w:rPr>
        <w:tab/>
      </w:r>
      <w:r w:rsidRPr="0066674B">
        <w:t>[Expenses of Counsel</w:t>
      </w:r>
      <w:r w:rsidRPr="0066674B">
        <w:tab/>
      </w:r>
      <w:r w:rsidRPr="0066674B">
        <w:fldChar w:fldCharType="begin"/>
      </w:r>
      <w:r w:rsidRPr="0066674B">
        <w:instrText xml:space="preserve"> PAGEREF _Toc505091170 \h </w:instrText>
      </w:r>
      <w:r w:rsidRPr="0066674B">
        <w:fldChar w:fldCharType="separate"/>
      </w:r>
      <w:r w:rsidRPr="0066674B">
        <w:t>30</w:t>
      </w:r>
      <w:r w:rsidRPr="0066674B">
        <w:fldChar w:fldCharType="end"/>
      </w:r>
    </w:p>
    <w:p w:rsidR="00013199" w:rsidRPr="0066674B" w:rsidRDefault="00013199">
      <w:pPr>
        <w:pStyle w:val="TOC2"/>
        <w:rPr>
          <w:rFonts w:ascii="Calibri" w:hAnsi="Calibri"/>
          <w:sz w:val="22"/>
          <w:szCs w:val="22"/>
        </w:rPr>
      </w:pPr>
      <w:r w:rsidRPr="0066674B">
        <w:rPr>
          <w:specVanish/>
        </w:rPr>
        <w:t>5.9</w:t>
      </w:r>
      <w:r w:rsidRPr="0066674B">
        <w:rPr>
          <w:rFonts w:ascii="Calibri" w:hAnsi="Calibri"/>
          <w:sz w:val="22"/>
          <w:szCs w:val="22"/>
        </w:rPr>
        <w:tab/>
      </w:r>
      <w:r w:rsidRPr="0066674B">
        <w:t>[Indemnification Matters</w:t>
      </w:r>
      <w:r w:rsidRPr="0066674B">
        <w:tab/>
      </w:r>
      <w:r w:rsidRPr="0066674B">
        <w:fldChar w:fldCharType="begin"/>
      </w:r>
      <w:r w:rsidRPr="0066674B">
        <w:instrText xml:space="preserve"> PAGEREF _Toc505091171 \h </w:instrText>
      </w:r>
      <w:r w:rsidRPr="0066674B">
        <w:fldChar w:fldCharType="separate"/>
      </w:r>
      <w:r w:rsidRPr="0066674B">
        <w:t>30</w:t>
      </w:r>
      <w:r w:rsidRPr="0066674B">
        <w:fldChar w:fldCharType="end"/>
      </w:r>
    </w:p>
    <w:p w:rsidR="00013199" w:rsidRPr="0066674B" w:rsidRDefault="00013199">
      <w:pPr>
        <w:pStyle w:val="TOC2"/>
        <w:rPr>
          <w:rFonts w:ascii="Calibri" w:hAnsi="Calibri"/>
          <w:sz w:val="22"/>
          <w:szCs w:val="22"/>
        </w:rPr>
      </w:pPr>
      <w:r w:rsidRPr="0066674B">
        <w:rPr>
          <w:specVanish/>
        </w:rPr>
        <w:t>5.10</w:t>
      </w:r>
      <w:r w:rsidRPr="0066674B">
        <w:rPr>
          <w:rFonts w:ascii="Calibri" w:hAnsi="Calibri"/>
          <w:sz w:val="22"/>
          <w:szCs w:val="22"/>
        </w:rPr>
        <w:tab/>
      </w:r>
      <w:r w:rsidRPr="0066674B">
        <w:t>[Right to Conduct Activities</w:t>
      </w:r>
      <w:r w:rsidRPr="0066674B">
        <w:tab/>
      </w:r>
      <w:r w:rsidRPr="0066674B">
        <w:fldChar w:fldCharType="begin"/>
      </w:r>
      <w:r w:rsidRPr="0066674B">
        <w:instrText xml:space="preserve"> PAGEREF _Toc505091172 \h </w:instrText>
      </w:r>
      <w:r w:rsidRPr="0066674B">
        <w:fldChar w:fldCharType="separate"/>
      </w:r>
      <w:r w:rsidRPr="0066674B">
        <w:t>31</w:t>
      </w:r>
      <w:r w:rsidRPr="0066674B">
        <w:fldChar w:fldCharType="end"/>
      </w:r>
    </w:p>
    <w:p w:rsidR="00013199" w:rsidRPr="0066674B" w:rsidRDefault="00013199">
      <w:pPr>
        <w:pStyle w:val="TOC2"/>
        <w:rPr>
          <w:rFonts w:ascii="Calibri" w:hAnsi="Calibri"/>
          <w:sz w:val="22"/>
          <w:szCs w:val="22"/>
        </w:rPr>
      </w:pPr>
      <w:r w:rsidRPr="0066674B">
        <w:rPr>
          <w:specVanish/>
        </w:rPr>
        <w:t>5.11</w:t>
      </w:r>
      <w:r w:rsidRPr="0066674B">
        <w:rPr>
          <w:rFonts w:ascii="Calibri" w:hAnsi="Calibri"/>
          <w:sz w:val="22"/>
          <w:szCs w:val="22"/>
        </w:rPr>
        <w:tab/>
      </w:r>
      <w:r w:rsidRPr="0066674B">
        <w:t>[Harassment Policy</w:t>
      </w:r>
      <w:r w:rsidRPr="0066674B">
        <w:tab/>
      </w:r>
      <w:r w:rsidRPr="0066674B">
        <w:fldChar w:fldCharType="begin"/>
      </w:r>
      <w:r w:rsidRPr="0066674B">
        <w:instrText xml:space="preserve"> PAGEREF _Toc505091173 \h </w:instrText>
      </w:r>
      <w:r w:rsidRPr="0066674B">
        <w:fldChar w:fldCharType="separate"/>
      </w:r>
      <w:r w:rsidRPr="0066674B">
        <w:t>32</w:t>
      </w:r>
      <w:r w:rsidRPr="0066674B">
        <w:fldChar w:fldCharType="end"/>
      </w:r>
    </w:p>
    <w:p w:rsidR="00013199" w:rsidRPr="0066674B" w:rsidRDefault="00013199">
      <w:pPr>
        <w:pStyle w:val="TOC2"/>
        <w:rPr>
          <w:rFonts w:ascii="Calibri" w:hAnsi="Calibri"/>
          <w:sz w:val="22"/>
          <w:szCs w:val="22"/>
        </w:rPr>
      </w:pPr>
      <w:r w:rsidRPr="0066674B">
        <w:rPr>
          <w:specVanish/>
        </w:rPr>
        <w:t>5.12</w:t>
      </w:r>
      <w:r w:rsidRPr="0066674B">
        <w:rPr>
          <w:rFonts w:ascii="Calibri" w:hAnsi="Calibri"/>
          <w:sz w:val="22"/>
          <w:szCs w:val="22"/>
        </w:rPr>
        <w:tab/>
      </w:r>
      <w:r w:rsidRPr="0066674B">
        <w:t>Termination of Covenants</w:t>
      </w:r>
      <w:r w:rsidRPr="0066674B">
        <w:tab/>
      </w:r>
      <w:r w:rsidRPr="0066674B">
        <w:fldChar w:fldCharType="begin"/>
      </w:r>
      <w:r w:rsidRPr="0066674B">
        <w:instrText xml:space="preserve"> PAGEREF _Toc505091174 \h </w:instrText>
      </w:r>
      <w:r w:rsidRPr="0066674B">
        <w:fldChar w:fldCharType="separate"/>
      </w:r>
      <w:r w:rsidRPr="0066674B">
        <w:t>32</w:t>
      </w:r>
      <w:r w:rsidRPr="0066674B">
        <w:fldChar w:fldCharType="end"/>
      </w:r>
    </w:p>
    <w:p w:rsidR="00013199" w:rsidRPr="0066674B" w:rsidRDefault="00013199">
      <w:pPr>
        <w:pStyle w:val="TOC1"/>
        <w:rPr>
          <w:rFonts w:ascii="Calibri" w:hAnsi="Calibri"/>
          <w:sz w:val="22"/>
          <w:szCs w:val="22"/>
        </w:rPr>
      </w:pPr>
      <w:r w:rsidRPr="0066674B">
        <w:rPr>
          <w:specVanish/>
        </w:rPr>
        <w:t>6.</w:t>
      </w:r>
      <w:r w:rsidRPr="0066674B">
        <w:rPr>
          <w:rFonts w:ascii="Calibri" w:hAnsi="Calibri"/>
          <w:sz w:val="22"/>
          <w:szCs w:val="22"/>
        </w:rPr>
        <w:tab/>
      </w:r>
      <w:r w:rsidRPr="0066674B">
        <w:t>Miscellaneous</w:t>
      </w:r>
      <w:r w:rsidRPr="0066674B">
        <w:tab/>
      </w:r>
      <w:r w:rsidRPr="0066674B">
        <w:fldChar w:fldCharType="begin"/>
      </w:r>
      <w:r w:rsidRPr="0066674B">
        <w:instrText xml:space="preserve"> PAGEREF _Toc505091175 \h </w:instrText>
      </w:r>
      <w:r w:rsidRPr="0066674B">
        <w:fldChar w:fldCharType="separate"/>
      </w:r>
      <w:r w:rsidRPr="0066674B">
        <w:t>32</w:t>
      </w:r>
      <w:r w:rsidRPr="0066674B">
        <w:fldChar w:fldCharType="end"/>
      </w:r>
    </w:p>
    <w:p w:rsidR="00013199" w:rsidRPr="0066674B" w:rsidRDefault="00013199">
      <w:pPr>
        <w:pStyle w:val="TOC2"/>
        <w:rPr>
          <w:rFonts w:ascii="Calibri" w:hAnsi="Calibri"/>
          <w:sz w:val="22"/>
          <w:szCs w:val="22"/>
        </w:rPr>
      </w:pPr>
      <w:r w:rsidRPr="0066674B">
        <w:rPr>
          <w:specVanish/>
        </w:rPr>
        <w:t>6.1</w:t>
      </w:r>
      <w:r w:rsidRPr="0066674B">
        <w:rPr>
          <w:rFonts w:ascii="Calibri" w:hAnsi="Calibri"/>
          <w:sz w:val="22"/>
          <w:szCs w:val="22"/>
        </w:rPr>
        <w:tab/>
      </w:r>
      <w:r w:rsidRPr="0066674B">
        <w:t>Successors and Assigns</w:t>
      </w:r>
      <w:r w:rsidRPr="0066674B">
        <w:tab/>
      </w:r>
      <w:r w:rsidRPr="0066674B">
        <w:fldChar w:fldCharType="begin"/>
      </w:r>
      <w:r w:rsidRPr="0066674B">
        <w:instrText xml:space="preserve"> PAGEREF _Toc505091176 \h </w:instrText>
      </w:r>
      <w:r w:rsidRPr="0066674B">
        <w:fldChar w:fldCharType="separate"/>
      </w:r>
      <w:r w:rsidRPr="0066674B">
        <w:t>32</w:t>
      </w:r>
      <w:r w:rsidRPr="0066674B">
        <w:fldChar w:fldCharType="end"/>
      </w:r>
    </w:p>
    <w:p w:rsidR="00013199" w:rsidRPr="0066674B" w:rsidRDefault="00013199">
      <w:pPr>
        <w:pStyle w:val="TOC2"/>
        <w:rPr>
          <w:rFonts w:ascii="Calibri" w:hAnsi="Calibri"/>
          <w:sz w:val="22"/>
          <w:szCs w:val="22"/>
        </w:rPr>
      </w:pPr>
      <w:r w:rsidRPr="0066674B">
        <w:rPr>
          <w:specVanish/>
        </w:rPr>
        <w:t>6.2</w:t>
      </w:r>
      <w:r w:rsidRPr="0066674B">
        <w:rPr>
          <w:rFonts w:ascii="Calibri" w:hAnsi="Calibri"/>
          <w:sz w:val="22"/>
          <w:szCs w:val="22"/>
        </w:rPr>
        <w:tab/>
      </w:r>
      <w:r w:rsidRPr="0066674B">
        <w:t>Governing Law</w:t>
      </w:r>
      <w:r w:rsidRPr="0066674B">
        <w:tab/>
      </w:r>
      <w:r w:rsidRPr="0066674B">
        <w:fldChar w:fldCharType="begin"/>
      </w:r>
      <w:r w:rsidRPr="0066674B">
        <w:instrText xml:space="preserve"> PAGEREF _Toc505091177 \h </w:instrText>
      </w:r>
      <w:r w:rsidRPr="0066674B">
        <w:fldChar w:fldCharType="separate"/>
      </w:r>
      <w:r w:rsidRPr="0066674B">
        <w:t>33</w:t>
      </w:r>
      <w:r w:rsidRPr="0066674B">
        <w:fldChar w:fldCharType="end"/>
      </w:r>
    </w:p>
    <w:p w:rsidR="00013199" w:rsidRPr="0066674B" w:rsidRDefault="00013199">
      <w:pPr>
        <w:pStyle w:val="TOC2"/>
        <w:rPr>
          <w:rFonts w:ascii="Calibri" w:hAnsi="Calibri"/>
          <w:sz w:val="22"/>
          <w:szCs w:val="22"/>
        </w:rPr>
      </w:pPr>
      <w:r w:rsidRPr="0066674B">
        <w:rPr>
          <w:specVanish/>
        </w:rPr>
        <w:t>6.3</w:t>
      </w:r>
      <w:r w:rsidRPr="0066674B">
        <w:rPr>
          <w:rFonts w:ascii="Calibri" w:hAnsi="Calibri"/>
          <w:sz w:val="22"/>
          <w:szCs w:val="22"/>
        </w:rPr>
        <w:tab/>
      </w:r>
      <w:r w:rsidRPr="0066674B">
        <w:t>Counterparts</w:t>
      </w:r>
      <w:r w:rsidRPr="0066674B">
        <w:tab/>
      </w:r>
      <w:r w:rsidRPr="0066674B">
        <w:fldChar w:fldCharType="begin"/>
      </w:r>
      <w:r w:rsidRPr="0066674B">
        <w:instrText xml:space="preserve"> PAGEREF _Toc505091178 \h </w:instrText>
      </w:r>
      <w:r w:rsidRPr="0066674B">
        <w:fldChar w:fldCharType="separate"/>
      </w:r>
      <w:r w:rsidRPr="0066674B">
        <w:t>33</w:t>
      </w:r>
      <w:r w:rsidRPr="0066674B">
        <w:fldChar w:fldCharType="end"/>
      </w:r>
    </w:p>
    <w:p w:rsidR="00013199" w:rsidRPr="0066674B" w:rsidRDefault="00013199">
      <w:pPr>
        <w:pStyle w:val="TOC2"/>
        <w:rPr>
          <w:rFonts w:ascii="Calibri" w:hAnsi="Calibri"/>
          <w:sz w:val="22"/>
          <w:szCs w:val="22"/>
        </w:rPr>
      </w:pPr>
      <w:r w:rsidRPr="0066674B">
        <w:rPr>
          <w:specVanish/>
        </w:rPr>
        <w:t>6.4</w:t>
      </w:r>
      <w:r w:rsidRPr="0066674B">
        <w:rPr>
          <w:rFonts w:ascii="Calibri" w:hAnsi="Calibri"/>
          <w:sz w:val="22"/>
          <w:szCs w:val="22"/>
        </w:rPr>
        <w:tab/>
      </w:r>
      <w:r w:rsidRPr="0066674B">
        <w:t>Titles and Subtitles</w:t>
      </w:r>
      <w:r w:rsidRPr="0066674B">
        <w:tab/>
      </w:r>
      <w:r w:rsidRPr="0066674B">
        <w:fldChar w:fldCharType="begin"/>
      </w:r>
      <w:r w:rsidRPr="0066674B">
        <w:instrText xml:space="preserve"> PAGEREF _Toc505091179 \h </w:instrText>
      </w:r>
      <w:r w:rsidRPr="0066674B">
        <w:fldChar w:fldCharType="separate"/>
      </w:r>
      <w:r w:rsidRPr="0066674B">
        <w:t>33</w:t>
      </w:r>
      <w:r w:rsidRPr="0066674B">
        <w:fldChar w:fldCharType="end"/>
      </w:r>
    </w:p>
    <w:p w:rsidR="00013199" w:rsidRPr="0066674B" w:rsidRDefault="00013199">
      <w:pPr>
        <w:pStyle w:val="TOC2"/>
        <w:rPr>
          <w:rFonts w:ascii="Calibri" w:hAnsi="Calibri"/>
          <w:sz w:val="22"/>
          <w:szCs w:val="22"/>
        </w:rPr>
      </w:pPr>
      <w:r w:rsidRPr="0066674B">
        <w:rPr>
          <w:specVanish/>
        </w:rPr>
        <w:t>6.5</w:t>
      </w:r>
      <w:r w:rsidRPr="0066674B">
        <w:rPr>
          <w:rFonts w:ascii="Calibri" w:hAnsi="Calibri"/>
          <w:sz w:val="22"/>
          <w:szCs w:val="22"/>
        </w:rPr>
        <w:tab/>
      </w:r>
      <w:r w:rsidRPr="0066674B">
        <w:t>Notices</w:t>
      </w:r>
      <w:r w:rsidRPr="0066674B">
        <w:tab/>
      </w:r>
      <w:r w:rsidRPr="0066674B">
        <w:fldChar w:fldCharType="begin"/>
      </w:r>
      <w:r w:rsidRPr="0066674B">
        <w:instrText xml:space="preserve"> PAGEREF _Toc505091180 \h </w:instrText>
      </w:r>
      <w:r w:rsidRPr="0066674B">
        <w:fldChar w:fldCharType="separate"/>
      </w:r>
      <w:r w:rsidRPr="0066674B">
        <w:t>33</w:t>
      </w:r>
      <w:r w:rsidRPr="0066674B">
        <w:fldChar w:fldCharType="end"/>
      </w:r>
    </w:p>
    <w:p w:rsidR="00013199" w:rsidRPr="0066674B" w:rsidRDefault="00013199">
      <w:pPr>
        <w:pStyle w:val="TOC2"/>
        <w:rPr>
          <w:rFonts w:ascii="Calibri" w:hAnsi="Calibri"/>
          <w:sz w:val="22"/>
          <w:szCs w:val="22"/>
        </w:rPr>
      </w:pPr>
      <w:r w:rsidRPr="0066674B">
        <w:rPr>
          <w:specVanish/>
        </w:rPr>
        <w:t>6.6</w:t>
      </w:r>
      <w:r w:rsidRPr="0066674B">
        <w:rPr>
          <w:rFonts w:ascii="Calibri" w:hAnsi="Calibri"/>
          <w:sz w:val="22"/>
          <w:szCs w:val="22"/>
        </w:rPr>
        <w:tab/>
      </w:r>
      <w:r w:rsidRPr="0066674B">
        <w:t>Amendments and Waivers</w:t>
      </w:r>
      <w:r w:rsidRPr="0066674B">
        <w:tab/>
      </w:r>
      <w:r w:rsidRPr="0066674B">
        <w:fldChar w:fldCharType="begin"/>
      </w:r>
      <w:r w:rsidRPr="0066674B">
        <w:instrText xml:space="preserve"> PAGEREF _Toc505091181 \h </w:instrText>
      </w:r>
      <w:r w:rsidRPr="0066674B">
        <w:fldChar w:fldCharType="separate"/>
      </w:r>
      <w:r w:rsidRPr="0066674B">
        <w:t>34</w:t>
      </w:r>
      <w:r w:rsidRPr="0066674B">
        <w:fldChar w:fldCharType="end"/>
      </w:r>
    </w:p>
    <w:p w:rsidR="00013199" w:rsidRPr="0066674B" w:rsidRDefault="00013199">
      <w:pPr>
        <w:pStyle w:val="TOC2"/>
        <w:rPr>
          <w:rFonts w:ascii="Calibri" w:hAnsi="Calibri"/>
          <w:sz w:val="22"/>
          <w:szCs w:val="22"/>
        </w:rPr>
      </w:pPr>
      <w:r w:rsidRPr="0066674B">
        <w:rPr>
          <w:specVanish/>
        </w:rPr>
        <w:t>6.7</w:t>
      </w:r>
      <w:r w:rsidRPr="0066674B">
        <w:rPr>
          <w:rFonts w:ascii="Calibri" w:hAnsi="Calibri"/>
          <w:sz w:val="22"/>
          <w:szCs w:val="22"/>
        </w:rPr>
        <w:tab/>
      </w:r>
      <w:r w:rsidRPr="0066674B">
        <w:t>Severability</w:t>
      </w:r>
      <w:r w:rsidRPr="0066674B">
        <w:tab/>
      </w:r>
      <w:r w:rsidRPr="0066674B">
        <w:fldChar w:fldCharType="begin"/>
      </w:r>
      <w:r w:rsidRPr="0066674B">
        <w:instrText xml:space="preserve"> PAGEREF _Toc505091182 \h </w:instrText>
      </w:r>
      <w:r w:rsidRPr="0066674B">
        <w:fldChar w:fldCharType="separate"/>
      </w:r>
      <w:r w:rsidRPr="0066674B">
        <w:t>35</w:t>
      </w:r>
      <w:r w:rsidRPr="0066674B">
        <w:fldChar w:fldCharType="end"/>
      </w:r>
    </w:p>
    <w:p w:rsidR="00013199" w:rsidRPr="0066674B" w:rsidRDefault="00013199">
      <w:pPr>
        <w:pStyle w:val="TOC2"/>
        <w:rPr>
          <w:rFonts w:ascii="Calibri" w:hAnsi="Calibri"/>
          <w:sz w:val="22"/>
          <w:szCs w:val="22"/>
        </w:rPr>
      </w:pPr>
      <w:r w:rsidRPr="0066674B">
        <w:rPr>
          <w:specVanish/>
        </w:rPr>
        <w:t>6.8</w:t>
      </w:r>
      <w:r w:rsidRPr="0066674B">
        <w:rPr>
          <w:rFonts w:ascii="Calibri" w:hAnsi="Calibri"/>
          <w:sz w:val="22"/>
          <w:szCs w:val="22"/>
        </w:rPr>
        <w:tab/>
      </w:r>
      <w:r w:rsidRPr="0066674B">
        <w:t>Aggregation of Stock</w:t>
      </w:r>
      <w:r w:rsidRPr="0066674B">
        <w:tab/>
      </w:r>
      <w:r w:rsidRPr="0066674B">
        <w:fldChar w:fldCharType="begin"/>
      </w:r>
      <w:r w:rsidRPr="0066674B">
        <w:instrText xml:space="preserve"> PAGEREF _Toc505091183 \h </w:instrText>
      </w:r>
      <w:r w:rsidRPr="0066674B">
        <w:fldChar w:fldCharType="separate"/>
      </w:r>
      <w:r w:rsidRPr="0066674B">
        <w:t>35</w:t>
      </w:r>
      <w:r w:rsidRPr="0066674B">
        <w:fldChar w:fldCharType="end"/>
      </w:r>
    </w:p>
    <w:p w:rsidR="00013199" w:rsidRPr="0066674B" w:rsidRDefault="00013199">
      <w:pPr>
        <w:pStyle w:val="TOC2"/>
        <w:rPr>
          <w:rFonts w:ascii="Calibri" w:hAnsi="Calibri"/>
          <w:sz w:val="22"/>
          <w:szCs w:val="22"/>
        </w:rPr>
      </w:pPr>
      <w:r w:rsidRPr="0066674B">
        <w:rPr>
          <w:specVanish/>
        </w:rPr>
        <w:t>6.9</w:t>
      </w:r>
      <w:r w:rsidRPr="0066674B">
        <w:rPr>
          <w:rFonts w:ascii="Calibri" w:hAnsi="Calibri"/>
          <w:sz w:val="22"/>
          <w:szCs w:val="22"/>
        </w:rPr>
        <w:tab/>
      </w:r>
      <w:r w:rsidRPr="0066674B">
        <w:t>Additional Investors</w:t>
      </w:r>
      <w:r w:rsidRPr="0066674B">
        <w:tab/>
      </w:r>
      <w:r w:rsidRPr="0066674B">
        <w:fldChar w:fldCharType="begin"/>
      </w:r>
      <w:r w:rsidRPr="0066674B">
        <w:instrText xml:space="preserve"> PAGEREF _Toc505091184 \h </w:instrText>
      </w:r>
      <w:r w:rsidRPr="0066674B">
        <w:fldChar w:fldCharType="separate"/>
      </w:r>
      <w:r w:rsidRPr="0066674B">
        <w:t>35</w:t>
      </w:r>
      <w:r w:rsidRPr="0066674B">
        <w:fldChar w:fldCharType="end"/>
      </w:r>
    </w:p>
    <w:p w:rsidR="00013199" w:rsidRPr="0066674B" w:rsidRDefault="00013199">
      <w:pPr>
        <w:pStyle w:val="TOC2"/>
        <w:rPr>
          <w:rFonts w:ascii="Calibri" w:hAnsi="Calibri"/>
          <w:sz w:val="22"/>
          <w:szCs w:val="22"/>
        </w:rPr>
      </w:pPr>
      <w:r w:rsidRPr="0066674B">
        <w:rPr>
          <w:specVanish/>
        </w:rPr>
        <w:t>6.10</w:t>
      </w:r>
      <w:r w:rsidRPr="0066674B">
        <w:rPr>
          <w:rFonts w:ascii="Calibri" w:hAnsi="Calibri"/>
          <w:sz w:val="22"/>
          <w:szCs w:val="22"/>
        </w:rPr>
        <w:tab/>
      </w:r>
      <w:r w:rsidRPr="0066674B">
        <w:t>Entire Agreement</w:t>
      </w:r>
      <w:r w:rsidRPr="0066674B">
        <w:tab/>
      </w:r>
      <w:r w:rsidRPr="0066674B">
        <w:fldChar w:fldCharType="begin"/>
      </w:r>
      <w:r w:rsidRPr="0066674B">
        <w:instrText xml:space="preserve"> PAGEREF _Toc505091185 \h </w:instrText>
      </w:r>
      <w:r w:rsidRPr="0066674B">
        <w:fldChar w:fldCharType="separate"/>
      </w:r>
      <w:r w:rsidRPr="0066674B">
        <w:t>35</w:t>
      </w:r>
      <w:r w:rsidRPr="0066674B">
        <w:fldChar w:fldCharType="end"/>
      </w:r>
    </w:p>
    <w:p w:rsidR="00013199" w:rsidRPr="0066674B" w:rsidRDefault="00013199">
      <w:pPr>
        <w:pStyle w:val="TOC2"/>
        <w:rPr>
          <w:rFonts w:ascii="Calibri" w:hAnsi="Calibri"/>
          <w:sz w:val="22"/>
          <w:szCs w:val="22"/>
        </w:rPr>
      </w:pPr>
      <w:r w:rsidRPr="0066674B">
        <w:rPr>
          <w:specVanish/>
        </w:rPr>
        <w:t>6.11</w:t>
      </w:r>
      <w:r w:rsidRPr="0066674B">
        <w:rPr>
          <w:rFonts w:ascii="Calibri" w:hAnsi="Calibri"/>
          <w:sz w:val="22"/>
          <w:szCs w:val="22"/>
        </w:rPr>
        <w:tab/>
      </w:r>
      <w:r w:rsidRPr="0066674B">
        <w:t>Dispute Resolution</w:t>
      </w:r>
      <w:r w:rsidRPr="0066674B">
        <w:tab/>
      </w:r>
      <w:r w:rsidRPr="0066674B">
        <w:fldChar w:fldCharType="begin"/>
      </w:r>
      <w:r w:rsidRPr="0066674B">
        <w:instrText xml:space="preserve"> PAGEREF _Toc505091186 \h </w:instrText>
      </w:r>
      <w:r w:rsidRPr="0066674B">
        <w:fldChar w:fldCharType="separate"/>
      </w:r>
      <w:r w:rsidRPr="0066674B">
        <w:t>35</w:t>
      </w:r>
      <w:r w:rsidRPr="0066674B">
        <w:fldChar w:fldCharType="end"/>
      </w:r>
    </w:p>
    <w:p w:rsidR="00013199" w:rsidRPr="0066674B" w:rsidRDefault="00013199">
      <w:pPr>
        <w:pStyle w:val="TOC2"/>
        <w:rPr>
          <w:rFonts w:ascii="Calibri" w:hAnsi="Calibri"/>
          <w:sz w:val="22"/>
          <w:szCs w:val="22"/>
        </w:rPr>
      </w:pPr>
      <w:r w:rsidRPr="0066674B">
        <w:rPr>
          <w:specVanish/>
        </w:rPr>
        <w:t>6.12</w:t>
      </w:r>
      <w:r w:rsidRPr="0066674B">
        <w:rPr>
          <w:rFonts w:ascii="Calibri" w:hAnsi="Calibri"/>
          <w:sz w:val="22"/>
          <w:szCs w:val="22"/>
        </w:rPr>
        <w:tab/>
      </w:r>
      <w:r w:rsidRPr="0066674B">
        <w:t>Delays or Omissions</w:t>
      </w:r>
      <w:r w:rsidRPr="0066674B">
        <w:tab/>
      </w:r>
      <w:r w:rsidRPr="0066674B">
        <w:fldChar w:fldCharType="begin"/>
      </w:r>
      <w:r w:rsidRPr="0066674B">
        <w:instrText xml:space="preserve"> PAGEREF _Toc505091187 \h </w:instrText>
      </w:r>
      <w:r w:rsidRPr="0066674B">
        <w:fldChar w:fldCharType="separate"/>
      </w:r>
      <w:r w:rsidRPr="0066674B">
        <w:t>41</w:t>
      </w:r>
      <w:r w:rsidRPr="0066674B">
        <w:fldChar w:fldCharType="end"/>
      </w:r>
    </w:p>
    <w:p w:rsidR="00B95ADB" w:rsidRDefault="00B95ADB">
      <w:pPr>
        <w:rPr>
          <w:color w:val="000000"/>
          <w:szCs w:val="16"/>
        </w:rPr>
      </w:pPr>
      <w:r w:rsidRPr="0066674B">
        <w:rPr>
          <w:color w:val="000000"/>
          <w:szCs w:val="16"/>
        </w:rPr>
        <w:fldChar w:fldCharType="end"/>
      </w:r>
    </w:p>
    <w:p w:rsidR="00B95ADB" w:rsidRDefault="00B95ADB">
      <w:pPr>
        <w:pStyle w:val="TOCSchedule"/>
        <w:spacing w:after="0"/>
        <w:rPr>
          <w:color w:val="000000"/>
          <w:szCs w:val="16"/>
        </w:rPr>
      </w:pPr>
      <w:bookmarkStart w:id="13" w:name="_DV_M55"/>
      <w:bookmarkEnd w:id="13"/>
      <w:r>
        <w:rPr>
          <w:color w:val="000000"/>
          <w:szCs w:val="16"/>
          <w:u w:val="single"/>
        </w:rPr>
        <w:t>Schedule A</w:t>
      </w:r>
      <w:r>
        <w:rPr>
          <w:color w:val="000000"/>
          <w:szCs w:val="16"/>
        </w:rPr>
        <w:tab/>
        <w:t>-</w:t>
      </w:r>
      <w:r>
        <w:rPr>
          <w:color w:val="000000"/>
          <w:szCs w:val="16"/>
        </w:rPr>
        <w:tab/>
        <w:t>Schedule of Investors</w:t>
      </w:r>
    </w:p>
    <w:p w:rsidR="00B95ADB" w:rsidRDefault="00B95ADB">
      <w:pPr>
        <w:pStyle w:val="TOCSchedule"/>
        <w:spacing w:after="0"/>
        <w:rPr>
          <w:color w:val="000000"/>
          <w:szCs w:val="16"/>
        </w:rPr>
      </w:pPr>
      <w:bookmarkStart w:id="14" w:name="_DV_M56"/>
      <w:bookmarkEnd w:id="14"/>
      <w:r>
        <w:rPr>
          <w:color w:val="000000"/>
          <w:szCs w:val="16"/>
        </w:rPr>
        <w:t>[</w:t>
      </w:r>
      <w:r>
        <w:rPr>
          <w:color w:val="000000"/>
          <w:szCs w:val="16"/>
          <w:u w:val="single"/>
        </w:rPr>
        <w:t>Schedule B</w:t>
      </w:r>
      <w:r>
        <w:rPr>
          <w:color w:val="000000"/>
          <w:szCs w:val="16"/>
        </w:rPr>
        <w:tab/>
        <w:t>-</w:t>
      </w:r>
      <w:r>
        <w:rPr>
          <w:color w:val="000000"/>
          <w:szCs w:val="16"/>
        </w:rPr>
        <w:tab/>
        <w:t>Schedule of Key Holders]</w:t>
      </w:r>
    </w:p>
    <w:p w:rsidR="00B95ADB" w:rsidRDefault="00B95ADB">
      <w:pPr>
        <w:pStyle w:val="TOCSchedule"/>
        <w:spacing w:after="0"/>
        <w:rPr>
          <w:color w:val="000000"/>
          <w:szCs w:val="16"/>
        </w:rPr>
      </w:pPr>
      <w:bookmarkStart w:id="15" w:name="_DV_M57"/>
      <w:bookmarkEnd w:id="15"/>
      <w:r>
        <w:rPr>
          <w:color w:val="000000"/>
          <w:szCs w:val="16"/>
        </w:rPr>
        <w:t>[</w:t>
      </w:r>
      <w:r>
        <w:rPr>
          <w:color w:val="000000"/>
          <w:szCs w:val="16"/>
          <w:u w:val="single"/>
        </w:rPr>
        <w:t>Exhibit A</w:t>
      </w:r>
      <w:r>
        <w:rPr>
          <w:color w:val="000000"/>
          <w:szCs w:val="16"/>
        </w:rPr>
        <w:tab/>
        <w:t>-</w:t>
      </w:r>
      <w:r>
        <w:rPr>
          <w:color w:val="000000"/>
          <w:szCs w:val="16"/>
        </w:rPr>
        <w:tab/>
        <w:t>Form of Noncompetition and Nonsolicitation Agreement]</w:t>
      </w:r>
    </w:p>
    <w:p w:rsidR="00B95ADB" w:rsidRDefault="00B95ADB">
      <w:pPr>
        <w:spacing w:after="0"/>
        <w:rPr>
          <w:color w:val="000000"/>
          <w:szCs w:val="16"/>
        </w:rPr>
        <w:sectPr w:rsidR="00B95ADB">
          <w:headerReference w:type="default" r:id="rId14"/>
          <w:footerReference w:type="default" r:id="rId15"/>
          <w:pgSz w:w="12240" w:h="15840" w:code="1"/>
          <w:pgMar w:top="1440" w:right="1440" w:bottom="1440" w:left="1440" w:header="720" w:footer="720" w:gutter="0"/>
          <w:pgNumType w:fmt="lowerRoman" w:start="1"/>
          <w:cols w:space="720"/>
          <w:noEndnote/>
        </w:sectPr>
      </w:pPr>
    </w:p>
    <w:p w:rsidR="00B95ADB" w:rsidRDefault="00B95ADB">
      <w:pPr>
        <w:spacing w:after="0"/>
        <w:jc w:val="center"/>
        <w:rPr>
          <w:b/>
          <w:color w:val="000000"/>
          <w:szCs w:val="20"/>
        </w:rPr>
      </w:pPr>
      <w:bookmarkStart w:id="16" w:name="_DV_M58"/>
      <w:bookmarkStart w:id="17" w:name="_Toc136067349"/>
      <w:bookmarkEnd w:id="16"/>
      <w:r>
        <w:rPr>
          <w:b/>
          <w:color w:val="000000"/>
          <w:szCs w:val="20"/>
        </w:rPr>
        <w:t>[AMENDED AND RESTATED]</w:t>
      </w:r>
    </w:p>
    <w:p w:rsidR="00B95ADB" w:rsidRDefault="00B95ADB">
      <w:pPr>
        <w:jc w:val="center"/>
        <w:rPr>
          <w:b/>
          <w:color w:val="000000"/>
          <w:szCs w:val="20"/>
        </w:rPr>
      </w:pPr>
      <w:bookmarkStart w:id="18" w:name="_DV_M59"/>
      <w:bookmarkEnd w:id="18"/>
      <w:r>
        <w:rPr>
          <w:b/>
          <w:color w:val="000000"/>
          <w:szCs w:val="20"/>
        </w:rPr>
        <w:t>INVESTORS’ RIGHTS AGREEMENT</w:t>
      </w:r>
      <w:bookmarkEnd w:id="17"/>
    </w:p>
    <w:p w:rsidR="00B95ADB" w:rsidRDefault="00B95ADB">
      <w:pPr>
        <w:pStyle w:val="Bod"/>
      </w:pPr>
      <w:bookmarkStart w:id="19" w:name="_DV_M60"/>
      <w:bookmarkEnd w:id="19"/>
      <w:r>
        <w:t>THIS [AMENDED AND RESTATED] INVESTORS’ RIGHTS AGREEMENT (this “</w:t>
      </w:r>
      <w:r>
        <w:rPr>
          <w:b/>
        </w:rPr>
        <w:t>Agreement</w:t>
      </w:r>
      <w:r>
        <w:t>”), is made as of the [__] day of [___________,</w:t>
      </w:r>
      <w:bookmarkStart w:id="20" w:name="_DV_M61"/>
      <w:bookmarkEnd w:id="20"/>
      <w:r>
        <w:t xml:space="preserve"> </w:t>
      </w:r>
      <w:r>
        <w:rPr>
          <w:rStyle w:val="DeltaViewInsertion"/>
          <w:b w:val="0"/>
          <w:color w:val="000000"/>
          <w:u w:val="none"/>
        </w:rPr>
        <w:t>20</w:t>
      </w:r>
      <w:r>
        <w:t xml:space="preserve">__], by and </w:t>
      </w:r>
      <w:r>
        <w:rPr>
          <w:rStyle w:val="DeltaViewInsertion"/>
          <w:b w:val="0"/>
          <w:color w:val="000000"/>
          <w:u w:val="none"/>
        </w:rPr>
        <w:t>among</w:t>
      </w:r>
      <w:r>
        <w:t xml:space="preserve"> [________], a [Delaware] corporation (the “</w:t>
      </w:r>
      <w:r>
        <w:rPr>
          <w:b/>
        </w:rPr>
        <w:t>Company</w:t>
      </w:r>
      <w:r>
        <w:t xml:space="preserve">”), [and] each of the investors listed on </w:t>
      </w:r>
      <w:bookmarkStart w:id="21" w:name="_DV_M62"/>
      <w:bookmarkEnd w:id="21"/>
      <w:r>
        <w:rPr>
          <w:u w:val="single"/>
        </w:rPr>
        <w:t>Schedule A</w:t>
      </w:r>
      <w:r>
        <w:t xml:space="preserve"> hereto, each of which is referred to in this Agreement as an “</w:t>
      </w:r>
      <w:r>
        <w:rPr>
          <w:b/>
        </w:rPr>
        <w:t>Investor</w:t>
      </w:r>
      <w:r>
        <w:t xml:space="preserve">”[,and each of the stockholders listed on </w:t>
      </w:r>
      <w:r>
        <w:rPr>
          <w:u w:val="single"/>
        </w:rPr>
        <w:t>Schedule B</w:t>
      </w:r>
      <w:r>
        <w:t xml:space="preserve"> hereto, each of whom is referred to herein as a “</w:t>
      </w:r>
      <w:r>
        <w:rPr>
          <w:b/>
        </w:rPr>
        <w:t>Key Holder</w:t>
      </w:r>
      <w:r>
        <w:t xml:space="preserve">”] [and any </w:t>
      </w:r>
      <w:r>
        <w:rPr>
          <w:rStyle w:val="DeltaViewInsertion"/>
          <w:b w:val="0"/>
          <w:color w:val="000000"/>
          <w:u w:val="none"/>
        </w:rPr>
        <w:t>Additional</w:t>
      </w:r>
      <w:r>
        <w:t xml:space="preserve"> Purchaser (as defined in the Purchase Agreement) that becomes a party to this Agreement in accordance with </w:t>
      </w:r>
      <w:r>
        <w:rPr>
          <w:u w:val="single"/>
        </w:rPr>
        <w:t xml:space="preserve">Section </w:t>
      </w:r>
      <w:r>
        <w:rPr>
          <w:u w:val="single"/>
        </w:rPr>
        <w:fldChar w:fldCharType="begin"/>
      </w:r>
      <w:r>
        <w:rPr>
          <w:u w:val="single"/>
        </w:rPr>
        <w:instrText xml:space="preserve"> REF _Ref264904786 \r \h </w:instrText>
      </w:r>
      <w:r>
        <w:rPr>
          <w:u w:val="single"/>
        </w:rPr>
      </w:r>
      <w:r>
        <w:rPr>
          <w:u w:val="single"/>
        </w:rPr>
        <w:fldChar w:fldCharType="separate"/>
      </w:r>
      <w:r w:rsidR="00222212">
        <w:rPr>
          <w:u w:val="single"/>
        </w:rPr>
        <w:t>6.9</w:t>
      </w:r>
      <w:r>
        <w:rPr>
          <w:u w:val="single"/>
        </w:rPr>
        <w:fldChar w:fldCharType="end"/>
      </w:r>
      <w:r>
        <w:t xml:space="preserve"> hereof].</w:t>
      </w:r>
    </w:p>
    <w:p w:rsidR="00B95ADB" w:rsidRDefault="00B95ADB">
      <w:pPr>
        <w:jc w:val="center"/>
        <w:rPr>
          <w:b/>
          <w:color w:val="000000"/>
          <w:szCs w:val="20"/>
          <w:u w:val="single"/>
        </w:rPr>
      </w:pPr>
      <w:bookmarkStart w:id="22" w:name="_DV_M63"/>
      <w:bookmarkStart w:id="23" w:name="_Toc136067350"/>
      <w:bookmarkEnd w:id="22"/>
      <w:r>
        <w:rPr>
          <w:b/>
          <w:color w:val="000000"/>
          <w:szCs w:val="20"/>
          <w:u w:val="single"/>
        </w:rPr>
        <w:t>RECITALS</w:t>
      </w:r>
      <w:bookmarkEnd w:id="23"/>
    </w:p>
    <w:p w:rsidR="00B95ADB" w:rsidRDefault="00B95ADB">
      <w:pPr>
        <w:pStyle w:val="Bod"/>
        <w:rPr>
          <w:szCs w:val="16"/>
        </w:rPr>
      </w:pPr>
      <w:bookmarkStart w:id="24" w:name="_DV_M64"/>
      <w:bookmarkEnd w:id="24"/>
      <w:r>
        <w:t>[</w:t>
      </w:r>
      <w:r>
        <w:rPr>
          <w:i/>
        </w:rPr>
        <w:t>Alternative 1:</w:t>
      </w:r>
      <w:r>
        <w:rPr>
          <w:rStyle w:val="FootnoteReference"/>
        </w:rPr>
        <w:footnoteReference w:id="2"/>
      </w:r>
    </w:p>
    <w:p w:rsidR="00B95ADB" w:rsidRDefault="00B95ADB">
      <w:pPr>
        <w:pStyle w:val="Bod"/>
      </w:pPr>
      <w:bookmarkStart w:id="27" w:name="_DV_M65"/>
      <w:bookmarkEnd w:id="27"/>
      <w:r>
        <w:rPr>
          <w:b/>
        </w:rPr>
        <w:t>WHEREAS</w:t>
      </w:r>
      <w:r>
        <w:t>, the Company and the Investors are pa</w:t>
      </w:r>
      <w:r w:rsidR="00381746">
        <w:t>rties to that certain</w:t>
      </w:r>
      <w:r>
        <w:t xml:space="preserve"> Series A Preferred Stock Purchase Agreement of even date herewith (the “</w:t>
      </w:r>
      <w:r>
        <w:rPr>
          <w:b/>
        </w:rPr>
        <w:t>Purchase Agreement</w:t>
      </w:r>
      <w:r>
        <w:t>”); and</w:t>
      </w:r>
    </w:p>
    <w:p w:rsidR="00B95ADB" w:rsidRDefault="00B95ADB">
      <w:pPr>
        <w:pStyle w:val="Bod"/>
      </w:pPr>
      <w:bookmarkStart w:id="28" w:name="_DV_M66"/>
      <w:bookmarkEnd w:id="28"/>
      <w:r>
        <w:rPr>
          <w:b/>
        </w:rPr>
        <w:t>WHEREAS</w:t>
      </w:r>
      <w:r>
        <w:t>, in order to induce the Company to enter into the Purchase Agreement and to induce the Investors to invest funds in the Company pursuant to the Purchase Agreement, the Investors and the Company hereby agree that this Agreement shall govern the rights of the Investors to cause the Company to register shares of Common Stock issuable to the Investors, to receive certain information from the Company, and to participate in future equity offerings by the Company, and shall govern certain other matters as set forth in this Agreement;</w:t>
      </w:r>
    </w:p>
    <w:p w:rsidR="00B95ADB" w:rsidRDefault="00B95ADB">
      <w:pPr>
        <w:pStyle w:val="Bod"/>
      </w:pPr>
      <w:bookmarkStart w:id="29" w:name="_DV_M67"/>
      <w:bookmarkEnd w:id="29"/>
      <w:r>
        <w:rPr>
          <w:b/>
        </w:rPr>
        <w:t>NOW, THEREFORE</w:t>
      </w:r>
      <w:r>
        <w:t>, the parties hereby agree as follows:]</w:t>
      </w:r>
    </w:p>
    <w:p w:rsidR="00B95ADB" w:rsidRDefault="00B95ADB">
      <w:pPr>
        <w:pStyle w:val="Bod"/>
      </w:pPr>
      <w:bookmarkStart w:id="30" w:name="_DV_M68"/>
      <w:bookmarkEnd w:id="30"/>
      <w:r>
        <w:t>[</w:t>
      </w:r>
      <w:r>
        <w:rPr>
          <w:i/>
        </w:rPr>
        <w:t>Alternative 2:</w:t>
      </w:r>
      <w:r>
        <w:rPr>
          <w:rStyle w:val="FootnoteReference"/>
        </w:rPr>
        <w:footnoteReference w:id="3"/>
      </w:r>
    </w:p>
    <w:p w:rsidR="00B95ADB" w:rsidRDefault="00B95ADB">
      <w:pPr>
        <w:pStyle w:val="Bod"/>
      </w:pPr>
      <w:bookmarkStart w:id="32" w:name="_DV_M69"/>
      <w:bookmarkEnd w:id="32"/>
      <w:r>
        <w:rPr>
          <w:b/>
        </w:rPr>
        <w:t>WHEREAS</w:t>
      </w:r>
      <w:r>
        <w:t>, certain of the Investors (the “</w:t>
      </w:r>
      <w:r>
        <w:rPr>
          <w:b/>
        </w:rPr>
        <w:t>Existing Investors</w:t>
      </w:r>
      <w:r>
        <w:t xml:space="preserve">”) hold shares of the Company’s Series [_] Preferred Stock and/or shares of Common Stock issued upon conversion thereof and possess registration rights, information rights, rights of first offer, and other rights pursuant to </w:t>
      </w:r>
      <w:r w:rsidR="00381746">
        <w:t>that certain</w:t>
      </w:r>
      <w:r>
        <w:t xml:space="preserve"> Investors’ Rights Agreement dated as of [_________ __, </w:t>
      </w:r>
      <w:bookmarkStart w:id="33" w:name="_DV_C27"/>
      <w:r>
        <w:rPr>
          <w:rStyle w:val="DeltaViewInsertion"/>
          <w:b w:val="0"/>
          <w:color w:val="000000"/>
          <w:u w:val="none"/>
        </w:rPr>
        <w:t>20</w:t>
      </w:r>
      <w:r>
        <w:t>__</w:t>
      </w:r>
      <w:bookmarkStart w:id="34" w:name="_DV_M70"/>
      <w:bookmarkEnd w:id="33"/>
      <w:bookmarkEnd w:id="34"/>
      <w:r>
        <w:t>]</w:t>
      </w:r>
      <w:r w:rsidR="00381746">
        <w:t>, by and among</w:t>
      </w:r>
      <w:r>
        <w:t xml:space="preserve"> the Company and such </w:t>
      </w:r>
      <w:r w:rsidR="00381746">
        <w:t xml:space="preserve">Existing </w:t>
      </w:r>
      <w:r>
        <w:t>Investors (the “</w:t>
      </w:r>
      <w:r>
        <w:rPr>
          <w:b/>
        </w:rPr>
        <w:t>Prior Agreement</w:t>
      </w:r>
      <w:r>
        <w:t xml:space="preserve">”); and </w:t>
      </w:r>
    </w:p>
    <w:p w:rsidR="00B95ADB" w:rsidRDefault="00B95ADB">
      <w:pPr>
        <w:pStyle w:val="Bod"/>
      </w:pPr>
      <w:bookmarkStart w:id="35" w:name="_DV_M71"/>
      <w:bookmarkEnd w:id="35"/>
      <w:r>
        <w:rPr>
          <w:b/>
        </w:rPr>
        <w:t>WHEREAS</w:t>
      </w:r>
      <w:r>
        <w:t>, the Existing Investors are holders of at least [_______ percent (___%)] of the Registrable Securities of the Company (as defined in the Prior Agreement), and desire to [amend and restate][terminate] the Prior Agreement in its entirety and to accept the rights created pursuant to this Agreement in lieu of the rights granted to them under the Prior Agreement; and</w:t>
      </w:r>
    </w:p>
    <w:p w:rsidR="00B95ADB" w:rsidRDefault="00B95ADB">
      <w:pPr>
        <w:pStyle w:val="Bod"/>
      </w:pPr>
      <w:bookmarkStart w:id="36" w:name="_DV_M72"/>
      <w:bookmarkEnd w:id="36"/>
      <w:r>
        <w:rPr>
          <w:b/>
        </w:rPr>
        <w:t>WHEREAS</w:t>
      </w:r>
      <w:r>
        <w:t xml:space="preserve">, certain of the Investors are parties to that certain Series [_] Preferred Stock Purchase Agreement of even date herewith </w:t>
      </w:r>
      <w:r w:rsidR="00381746">
        <w:t xml:space="preserve">by and among </w:t>
      </w:r>
      <w:r>
        <w:t xml:space="preserve">the Company and </w:t>
      </w:r>
      <w:r w:rsidR="00381746">
        <w:t xml:space="preserve">such </w:t>
      </w:r>
      <w:r>
        <w:t>Investors (the “</w:t>
      </w:r>
      <w:r>
        <w:rPr>
          <w:b/>
        </w:rPr>
        <w:t>Purchase Agreement</w:t>
      </w:r>
      <w:r>
        <w:t xml:space="preserve">”), under which certain of the Company’s and such Investors’ obligations are conditioned upon the execution and delivery of this Agreement by such Investors, Existing Investors holding at least [_______ percent (___%)] of the Registrable Securities, and the Company; </w:t>
      </w:r>
    </w:p>
    <w:p w:rsidR="00B95ADB" w:rsidRDefault="00B95ADB">
      <w:pPr>
        <w:pStyle w:val="Bod"/>
      </w:pPr>
      <w:bookmarkStart w:id="37" w:name="_DV_M73"/>
      <w:bookmarkEnd w:id="37"/>
      <w:r>
        <w:rPr>
          <w:b/>
        </w:rPr>
        <w:t>NOW, THEREFORE</w:t>
      </w:r>
      <w:r>
        <w:t xml:space="preserve">, the Existing Investors hereby agree that the Prior Agreement shall be [amended and restated][superseded and replaced in its entirety by this Agreement], and the parties to this Agreement further agree as follows:] </w:t>
      </w:r>
    </w:p>
    <w:p w:rsidR="00B95ADB" w:rsidRDefault="00B95ADB">
      <w:pPr>
        <w:pStyle w:val="Heading1"/>
        <w:rPr>
          <w:vanish/>
          <w:specVanish/>
        </w:rPr>
      </w:pPr>
      <w:bookmarkStart w:id="38" w:name="_DV_M74"/>
      <w:bookmarkStart w:id="39" w:name="_Toc116180657"/>
      <w:bookmarkStart w:id="40" w:name="_Toc165866758"/>
      <w:bookmarkStart w:id="41" w:name="_Toc131593449"/>
      <w:bookmarkStart w:id="42" w:name="_Toc136067351"/>
      <w:bookmarkStart w:id="43" w:name="_Toc505091137"/>
      <w:bookmarkEnd w:id="38"/>
      <w:r>
        <w:t>Definitions</w:t>
      </w:r>
      <w:bookmarkEnd w:id="43"/>
    </w:p>
    <w:p w:rsidR="00B95ADB" w:rsidRDefault="00B95ADB">
      <w:pPr>
        <w:pStyle w:val="Bod"/>
      </w:pPr>
      <w:r>
        <w:rPr>
          <w:color w:val="000000"/>
          <w:szCs w:val="16"/>
        </w:rPr>
        <w:t>.</w:t>
      </w:r>
      <w:bookmarkStart w:id="44" w:name="_DV_M75"/>
      <w:bookmarkEnd w:id="39"/>
      <w:bookmarkEnd w:id="40"/>
      <w:bookmarkEnd w:id="44"/>
      <w:r>
        <w:rPr>
          <w:b/>
        </w:rPr>
        <w:t xml:space="preserve">  </w:t>
      </w:r>
      <w:r>
        <w:t>For purposes of this Agreement:</w:t>
      </w:r>
      <w:bookmarkEnd w:id="41"/>
      <w:bookmarkEnd w:id="42"/>
    </w:p>
    <w:p w:rsidR="00B95ADB" w:rsidRDefault="00B95ADB">
      <w:pPr>
        <w:pStyle w:val="Heading2NoTOC"/>
      </w:pPr>
      <w:bookmarkStart w:id="45" w:name="_DV_M76"/>
      <w:bookmarkStart w:id="46" w:name="_Toc50982445"/>
      <w:bookmarkStart w:id="47" w:name="_Toc94341833"/>
      <w:bookmarkStart w:id="48" w:name="_Toc94341915"/>
      <w:bookmarkEnd w:id="45"/>
      <w:r>
        <w:t>“</w:t>
      </w:r>
      <w:r>
        <w:rPr>
          <w:b/>
        </w:rPr>
        <w:t>Affiliate</w:t>
      </w:r>
      <w:r>
        <w:t xml:space="preserve">” means, </w:t>
      </w:r>
      <w:bookmarkEnd w:id="46"/>
      <w:bookmarkEnd w:id="47"/>
      <w:bookmarkEnd w:id="48"/>
      <w:r w:rsidR="0013320A" w:rsidRPr="0013320A">
        <w:rPr>
          <w:lang w:val="en-US"/>
        </w:rPr>
        <w:t>with respect to any specified Person, any other Person who, directly or indirectly, controls, is controlled by, or is under common control with such Person, including without limitation any general partner, managing member, officer, director or trustee of such Person, or any venture capital fund or registered investment company now or hereafter existing that is controlled by one or more general partners, managing members or investment adviser of, or shares the same management company or investment adviser with, such Person.</w:t>
      </w:r>
    </w:p>
    <w:p w:rsidR="00381746" w:rsidRPr="00463812" w:rsidRDefault="00381746" w:rsidP="00381746">
      <w:pPr>
        <w:pStyle w:val="Heading2NoTOC"/>
      </w:pPr>
      <w:bookmarkStart w:id="49" w:name="_DV_M77"/>
      <w:bookmarkStart w:id="50" w:name="_Toc50982446"/>
      <w:bookmarkStart w:id="51" w:name="_Toc94341834"/>
      <w:bookmarkStart w:id="52" w:name="_Toc94341916"/>
      <w:bookmarkEnd w:id="49"/>
      <w:r>
        <w:rPr>
          <w:lang w:val="en-US"/>
        </w:rPr>
        <w:t>“</w:t>
      </w:r>
      <w:r>
        <w:rPr>
          <w:b/>
          <w:lang w:val="en-US"/>
        </w:rPr>
        <w:t>Board of Directors</w:t>
      </w:r>
      <w:r>
        <w:rPr>
          <w:lang w:val="en-US"/>
        </w:rPr>
        <w:t>” means the board of directors of the Company.</w:t>
      </w:r>
    </w:p>
    <w:p w:rsidR="00381746" w:rsidRDefault="00381746" w:rsidP="00381746">
      <w:pPr>
        <w:pStyle w:val="Heading2NoTOC"/>
      </w:pPr>
      <w:r>
        <w:rPr>
          <w:lang w:val="en-US"/>
        </w:rPr>
        <w:t>“</w:t>
      </w:r>
      <w:r>
        <w:rPr>
          <w:b/>
          <w:lang w:val="en-US"/>
        </w:rPr>
        <w:t>Certificate of Incorporation</w:t>
      </w:r>
      <w:r>
        <w:rPr>
          <w:lang w:val="en-US"/>
        </w:rPr>
        <w:t>” means the Company’s Amended and Restated Certifi</w:t>
      </w:r>
      <w:r w:rsidR="00D15F67">
        <w:rPr>
          <w:lang w:val="en-US"/>
        </w:rPr>
        <w:t>c</w:t>
      </w:r>
      <w:r>
        <w:rPr>
          <w:lang w:val="en-US"/>
        </w:rPr>
        <w:t>ate of Incorporation, as amended and/or restated from time to time.</w:t>
      </w:r>
    </w:p>
    <w:p w:rsidR="00B95ADB" w:rsidRDefault="00B95ADB">
      <w:pPr>
        <w:pStyle w:val="Heading2NoTOC"/>
      </w:pPr>
      <w:r>
        <w:t>“</w:t>
      </w:r>
      <w:r>
        <w:rPr>
          <w:b/>
        </w:rPr>
        <w:t>Common Stock</w:t>
      </w:r>
      <w:r>
        <w:t>” means shares of the Company’s common stock, par value [$0.___] per share.</w:t>
      </w:r>
      <w:bookmarkEnd w:id="50"/>
      <w:bookmarkEnd w:id="51"/>
      <w:bookmarkEnd w:id="52"/>
    </w:p>
    <w:p w:rsidR="00B95ADB" w:rsidRDefault="00B95ADB">
      <w:pPr>
        <w:pStyle w:val="Heading2NoTOC"/>
      </w:pPr>
      <w:r>
        <w:t>[“</w:t>
      </w:r>
      <w:r>
        <w:rPr>
          <w:b/>
        </w:rPr>
        <w:t>Competitor</w:t>
      </w:r>
      <w:r>
        <w:t>” means a Person engaged, directly or indirectly (including through any</w:t>
      </w:r>
      <w:r>
        <w:rPr>
          <w:b/>
        </w:rPr>
        <w:t xml:space="preserve"> </w:t>
      </w:r>
      <w:r>
        <w:rPr>
          <w:bCs/>
        </w:rPr>
        <w:t>partnership, limited liability company, corporation, joint venture or similar arrangement (whether now existing or formed hereafter)), in [</w:t>
      </w:r>
      <w:r>
        <w:rPr>
          <w:bCs/>
          <w:i/>
        </w:rPr>
        <w:t>description of business</w:t>
      </w:r>
      <w:r>
        <w:rPr>
          <w:bCs/>
        </w:rPr>
        <w:t>], but shall not include any financial investment firm or collective investment vehicle that, together with its Affiliates, holds less than [twenty percent (20)]% of the outstanding equity of any Competitor and does not, nor do any of its Affiliates, have a right to d</w:t>
      </w:r>
      <w:r w:rsidR="00381746">
        <w:rPr>
          <w:bCs/>
        </w:rPr>
        <w:t xml:space="preserve">esignate any members of the </w:t>
      </w:r>
      <w:r w:rsidR="00381746">
        <w:rPr>
          <w:bCs/>
          <w:lang w:val="en-US"/>
        </w:rPr>
        <w:t>b</w:t>
      </w:r>
      <w:r>
        <w:rPr>
          <w:bCs/>
        </w:rPr>
        <w:t xml:space="preserve">oard of </w:t>
      </w:r>
      <w:r w:rsidR="00381746">
        <w:rPr>
          <w:bCs/>
          <w:lang w:val="en-US"/>
        </w:rPr>
        <w:t>d</w:t>
      </w:r>
      <w:r>
        <w:rPr>
          <w:bCs/>
        </w:rPr>
        <w:t>irectors of any Competitor.]</w:t>
      </w:r>
    </w:p>
    <w:p w:rsidR="00B95ADB" w:rsidRDefault="00B95ADB">
      <w:pPr>
        <w:pStyle w:val="Heading2NoTOC"/>
      </w:pPr>
      <w:bookmarkStart w:id="53" w:name="_DV_M78"/>
      <w:bookmarkStart w:id="54" w:name="_Toc50982468"/>
      <w:bookmarkStart w:id="55" w:name="_Toc94341857"/>
      <w:bookmarkStart w:id="56" w:name="_Toc94341939"/>
      <w:bookmarkEnd w:id="53"/>
      <w:r>
        <w:t>“</w:t>
      </w:r>
      <w:r>
        <w:rPr>
          <w:b/>
        </w:rPr>
        <w:t>Damages</w:t>
      </w:r>
      <w:r>
        <w:t xml:space="preserve">” means any loss, damage, claim or liability (joint or several) to which a party hereto may become subject under the Securities Act, the Exchange Act, or other federal or state law, insofar as such loss, damage, claim or liability (or any action in respect thereof) arises out of or is based upon: (i) any untrue statement or alleged untrue statement of a material fact contained in any registration statement of the Company, including any preliminary prospectus or final prospectus contained therein or any amendments or supplements thereto; (ii) an omission or alleged omission to state therein a material fact required to be stated therein, or necessary to make the statements therein not misleading; or (iii) any violation or alleged violation by </w:t>
      </w:r>
      <w:r>
        <w:rPr>
          <w:rStyle w:val="DeltaViewInsertion"/>
          <w:b w:val="0"/>
          <w:color w:val="000000"/>
          <w:szCs w:val="16"/>
          <w:u w:val="none"/>
        </w:rPr>
        <w:t>the</w:t>
      </w:r>
      <w:r>
        <w:t xml:space="preserve"> </w:t>
      </w:r>
      <w:r>
        <w:rPr>
          <w:rStyle w:val="DeltaViewInsertion"/>
          <w:b w:val="0"/>
          <w:color w:val="000000"/>
          <w:szCs w:val="16"/>
          <w:u w:val="none"/>
        </w:rPr>
        <w:t>indemnifying</w:t>
      </w:r>
      <w:r>
        <w:rPr>
          <w:b/>
        </w:rPr>
        <w:t xml:space="preserve"> </w:t>
      </w:r>
      <w:r>
        <w:t xml:space="preserve">party </w:t>
      </w:r>
      <w:r>
        <w:rPr>
          <w:rStyle w:val="DeltaViewInsertion"/>
          <w:b w:val="0"/>
          <w:color w:val="000000"/>
          <w:szCs w:val="16"/>
          <w:u w:val="none"/>
        </w:rPr>
        <w:t>(or any of its agents or Affiliates)</w:t>
      </w:r>
      <w:r>
        <w:rPr>
          <w:b/>
        </w:rPr>
        <w:t xml:space="preserve"> </w:t>
      </w:r>
      <w:r>
        <w:t>of the Securities Act, the Exchange Act, any state securities law, or any rule or regulation promulgated under the Securities Act, the Exchange Act, or any state securities law.</w:t>
      </w:r>
      <w:bookmarkEnd w:id="54"/>
      <w:bookmarkEnd w:id="55"/>
      <w:bookmarkEnd w:id="56"/>
    </w:p>
    <w:p w:rsidR="00B95ADB" w:rsidRDefault="00B95ADB">
      <w:pPr>
        <w:pStyle w:val="Heading2NoTOC"/>
      </w:pPr>
      <w:bookmarkStart w:id="57" w:name="_DV_M79"/>
      <w:bookmarkEnd w:id="57"/>
      <w:r>
        <w:t>“</w:t>
      </w:r>
      <w:r>
        <w:rPr>
          <w:b/>
        </w:rPr>
        <w:t>Derivative Securities</w:t>
      </w:r>
      <w:r>
        <w:t>” means any securities or rights convertible into, or exercisable or exchangeable for</w:t>
      </w:r>
      <w:r>
        <w:rPr>
          <w:rStyle w:val="DeltaViewInsertion"/>
          <w:b w:val="0"/>
          <w:color w:val="000000"/>
          <w:szCs w:val="16"/>
          <w:u w:val="none"/>
        </w:rPr>
        <w:t xml:space="preserve"> (in each case, directly or indirectly)</w:t>
      </w:r>
      <w:r>
        <w:rPr>
          <w:b/>
        </w:rPr>
        <w:t>,</w:t>
      </w:r>
      <w:r>
        <w:t xml:space="preserve"> Common Stock, including options and warrants.</w:t>
      </w:r>
    </w:p>
    <w:p w:rsidR="00B95ADB" w:rsidRDefault="00B95ADB">
      <w:pPr>
        <w:pStyle w:val="Heading2NoTOC"/>
      </w:pPr>
      <w:bookmarkStart w:id="58" w:name="_DV_M80"/>
      <w:bookmarkStart w:id="59" w:name="_Toc50982447"/>
      <w:bookmarkStart w:id="60" w:name="_Toc94341835"/>
      <w:bookmarkStart w:id="61" w:name="_Toc94341917"/>
      <w:bookmarkEnd w:id="58"/>
      <w:r>
        <w:t>“</w:t>
      </w:r>
      <w:r>
        <w:rPr>
          <w:b/>
        </w:rPr>
        <w:t>Exchange Act</w:t>
      </w:r>
      <w:r>
        <w:t>” means the Securities Exchange Act of 1934, as amended, and the rules and regulations promulgated thereunder.</w:t>
      </w:r>
      <w:bookmarkEnd w:id="59"/>
      <w:bookmarkEnd w:id="60"/>
      <w:bookmarkEnd w:id="61"/>
    </w:p>
    <w:p w:rsidR="00B95ADB" w:rsidRDefault="00B95ADB">
      <w:pPr>
        <w:pStyle w:val="Heading2NoTOC"/>
        <w:rPr>
          <w:rStyle w:val="DeltaViewInsertion"/>
          <w:color w:val="000000"/>
          <w:szCs w:val="16"/>
          <w:u w:val="none"/>
        </w:rPr>
      </w:pPr>
      <w:bookmarkStart w:id="62" w:name="_Toc50982448"/>
      <w:bookmarkStart w:id="63" w:name="_DV_M81"/>
      <w:bookmarkStart w:id="64" w:name="_Toc94341836"/>
      <w:bookmarkStart w:id="65" w:name="_Toc94341918"/>
      <w:bookmarkEnd w:id="63"/>
      <w:r>
        <w:rPr>
          <w:rStyle w:val="DeltaViewInsertion"/>
          <w:b w:val="0"/>
          <w:color w:val="000000"/>
          <w:szCs w:val="16"/>
          <w:u w:val="none"/>
        </w:rPr>
        <w:t>“</w:t>
      </w:r>
      <w:r>
        <w:rPr>
          <w:rStyle w:val="DeltaViewInsertion"/>
          <w:color w:val="000000"/>
          <w:szCs w:val="16"/>
          <w:u w:val="none"/>
        </w:rPr>
        <w:t>Excluded Registration</w:t>
      </w:r>
      <w:r>
        <w:rPr>
          <w:rStyle w:val="DeltaViewInsertion"/>
          <w:b w:val="0"/>
          <w:color w:val="000000"/>
          <w:szCs w:val="16"/>
          <w:u w:val="none"/>
        </w:rPr>
        <w:t xml:space="preserve">” means (i) a registration relating to the sale </w:t>
      </w:r>
      <w:r w:rsidR="00381746">
        <w:rPr>
          <w:rStyle w:val="DeltaViewInsertion"/>
          <w:b w:val="0"/>
          <w:color w:val="000000"/>
          <w:szCs w:val="16"/>
          <w:u w:val="none"/>
          <w:lang w:val="en-US"/>
        </w:rPr>
        <w:t xml:space="preserve">or grant </w:t>
      </w:r>
      <w:r>
        <w:rPr>
          <w:rStyle w:val="DeltaViewInsertion"/>
          <w:b w:val="0"/>
          <w:color w:val="000000"/>
          <w:szCs w:val="16"/>
          <w:u w:val="none"/>
        </w:rPr>
        <w:t xml:space="preserve">of securities to employees of the Company or a subsidiary pursuant to a stock option, stock purchase, </w:t>
      </w:r>
      <w:r w:rsidR="00381746">
        <w:rPr>
          <w:rStyle w:val="DeltaViewInsertion"/>
          <w:b w:val="0"/>
          <w:color w:val="000000"/>
          <w:szCs w:val="16"/>
          <w:u w:val="none"/>
          <w:lang w:val="en-US"/>
        </w:rPr>
        <w:t xml:space="preserve">equity incentive </w:t>
      </w:r>
      <w:r>
        <w:rPr>
          <w:rStyle w:val="DeltaViewInsertion"/>
          <w:b w:val="0"/>
          <w:color w:val="000000"/>
          <w:szCs w:val="16"/>
          <w:u w:val="none"/>
        </w:rPr>
        <w:t>or similar plan; (ii) a registration relating to an SEC Rule 145 transaction; (iii) a registration on any form that does not include substantially the same information as would be required to be included in a registration statement covering the sale of the Registrable Securities; or (iv) a registration in which the only Common Stock being registered is Common Stock issuable upon conversion of debt securities that are also being registered.</w:t>
      </w:r>
      <w:bookmarkEnd w:id="64"/>
      <w:bookmarkEnd w:id="65"/>
    </w:p>
    <w:p w:rsidR="00B95ADB" w:rsidRDefault="00B95ADB">
      <w:pPr>
        <w:pStyle w:val="Heading2NoTOC"/>
      </w:pPr>
      <w:r>
        <w:t>[“</w:t>
      </w:r>
      <w:r>
        <w:rPr>
          <w:b/>
        </w:rPr>
        <w:t>FOIA Party</w:t>
      </w:r>
      <w:r>
        <w:t>” means a Person that, in the [reasonable] determination of the Board of Directors, may be subject to, and thereby required to disclose non-public information furnished by or relating to the Company under, the Freedom of Information Act, 5 U.S.C. 552 (“</w:t>
      </w:r>
      <w:r>
        <w:rPr>
          <w:b/>
        </w:rPr>
        <w:t>FOIA</w:t>
      </w:r>
      <w:r>
        <w:t>”), any state public records access law, any state or other jurisdiction’s laws similar in intent or effect to FOIA, or any other similar statutory or regulatory requirement.]</w:t>
      </w:r>
    </w:p>
    <w:p w:rsidR="00B95ADB" w:rsidRDefault="00B95ADB">
      <w:pPr>
        <w:pStyle w:val="Heading2NoTOC"/>
        <w:rPr>
          <w:b/>
        </w:rPr>
      </w:pPr>
      <w:bookmarkStart w:id="66" w:name="_DV_M82"/>
      <w:bookmarkEnd w:id="66"/>
      <w:r>
        <w:rPr>
          <w:rStyle w:val="DeltaViewInsertion"/>
          <w:b w:val="0"/>
          <w:color w:val="000000"/>
          <w:szCs w:val="16"/>
          <w:u w:val="none"/>
        </w:rPr>
        <w:t>“</w:t>
      </w:r>
      <w:r>
        <w:rPr>
          <w:rStyle w:val="DeltaViewInsertion"/>
          <w:color w:val="000000"/>
          <w:szCs w:val="16"/>
          <w:u w:val="none"/>
        </w:rPr>
        <w:t>Form S</w:t>
      </w:r>
      <w:r>
        <w:rPr>
          <w:rStyle w:val="DeltaViewInsertion"/>
          <w:color w:val="000000"/>
          <w:szCs w:val="16"/>
          <w:u w:val="none"/>
        </w:rPr>
        <w:noBreakHyphen/>
        <w:t>1</w:t>
      </w:r>
      <w:r>
        <w:rPr>
          <w:rStyle w:val="DeltaViewInsertion"/>
          <w:b w:val="0"/>
          <w:color w:val="000000"/>
          <w:szCs w:val="16"/>
          <w:u w:val="none"/>
        </w:rPr>
        <w:t>” means such form under the Securities Act as in effect on the date hereof or any successor registration form under the Securities Act subsequently adopted by the SEC.</w:t>
      </w:r>
    </w:p>
    <w:p w:rsidR="00B95ADB" w:rsidRDefault="00B95ADB">
      <w:pPr>
        <w:pStyle w:val="Heading2NoTOC"/>
      </w:pPr>
      <w:bookmarkStart w:id="67" w:name="_DV_M83"/>
      <w:bookmarkStart w:id="68" w:name="_Toc94341837"/>
      <w:bookmarkStart w:id="69" w:name="_Toc94341919"/>
      <w:bookmarkEnd w:id="67"/>
      <w:r>
        <w:t>“</w:t>
      </w:r>
      <w:r>
        <w:rPr>
          <w:b/>
        </w:rPr>
        <w:t>Form S</w:t>
      </w:r>
      <w:r>
        <w:rPr>
          <w:b/>
        </w:rPr>
        <w:noBreakHyphen/>
        <w:t>3</w:t>
      </w:r>
      <w:r>
        <w:t xml:space="preserve">” means such form under the Securities Act as in effect on the date hereof or any registration form under the Securities Act subsequently adopted by the SEC that permits </w:t>
      </w:r>
      <w:r w:rsidR="00381746">
        <w:rPr>
          <w:lang w:val="en-US"/>
        </w:rPr>
        <w:t xml:space="preserve">forward </w:t>
      </w:r>
      <w:r>
        <w:t>incorporation of substantial information by reference to other documents filed by the Company with the SEC.</w:t>
      </w:r>
      <w:bookmarkEnd w:id="62"/>
      <w:bookmarkEnd w:id="68"/>
      <w:bookmarkEnd w:id="69"/>
    </w:p>
    <w:p w:rsidR="00B95ADB" w:rsidRDefault="00B95ADB">
      <w:pPr>
        <w:pStyle w:val="Heading2NoTOC"/>
      </w:pPr>
      <w:bookmarkStart w:id="70" w:name="_DV_M84"/>
      <w:bookmarkStart w:id="71" w:name="_Toc50982449"/>
      <w:bookmarkStart w:id="72" w:name="_Toc94341838"/>
      <w:bookmarkStart w:id="73" w:name="_Toc94341920"/>
      <w:bookmarkEnd w:id="70"/>
      <w:r>
        <w:t>“</w:t>
      </w:r>
      <w:r>
        <w:rPr>
          <w:b/>
        </w:rPr>
        <w:t>GAAP</w:t>
      </w:r>
      <w:r>
        <w:t>” means generally accepted accounting principles in the United States</w:t>
      </w:r>
      <w:r w:rsidR="00381746">
        <w:rPr>
          <w:lang w:val="en-US"/>
        </w:rPr>
        <w:t xml:space="preserve"> as in effect from time to time</w:t>
      </w:r>
      <w:r>
        <w:t>.</w:t>
      </w:r>
      <w:bookmarkEnd w:id="71"/>
      <w:bookmarkEnd w:id="72"/>
      <w:bookmarkEnd w:id="73"/>
    </w:p>
    <w:p w:rsidR="00B95ADB" w:rsidRDefault="00B95ADB">
      <w:pPr>
        <w:pStyle w:val="Heading2NoTOC"/>
      </w:pPr>
      <w:bookmarkStart w:id="74" w:name="_DV_M85"/>
      <w:bookmarkStart w:id="75" w:name="_Toc50982450"/>
      <w:bookmarkStart w:id="76" w:name="_Toc94341839"/>
      <w:bookmarkStart w:id="77" w:name="_Toc94341921"/>
      <w:bookmarkEnd w:id="74"/>
      <w:r>
        <w:t>“</w:t>
      </w:r>
      <w:r>
        <w:rPr>
          <w:b/>
        </w:rPr>
        <w:t>Holder</w:t>
      </w:r>
      <w:r>
        <w:t>” means any holder of Registrable Securities who is a party to this Agreement.</w:t>
      </w:r>
      <w:bookmarkEnd w:id="75"/>
      <w:bookmarkEnd w:id="76"/>
      <w:bookmarkEnd w:id="77"/>
    </w:p>
    <w:p w:rsidR="00B95ADB" w:rsidRDefault="00B95ADB">
      <w:pPr>
        <w:pStyle w:val="Heading2NoTOC"/>
      </w:pPr>
      <w:bookmarkStart w:id="78" w:name="_DV_M86"/>
      <w:bookmarkStart w:id="79" w:name="_Toc50982451"/>
      <w:bookmarkStart w:id="80" w:name="_Toc94341840"/>
      <w:bookmarkStart w:id="81" w:name="_Toc94341922"/>
      <w:bookmarkEnd w:id="78"/>
      <w:r>
        <w:rPr>
          <w:rStyle w:val="DeltaViewInsertion"/>
          <w:b w:val="0"/>
          <w:color w:val="000000"/>
          <w:szCs w:val="16"/>
          <w:u w:val="none"/>
        </w:rPr>
        <w:t>“</w:t>
      </w:r>
      <w:r>
        <w:rPr>
          <w:rStyle w:val="DeltaViewInsertion"/>
          <w:color w:val="000000"/>
          <w:szCs w:val="16"/>
          <w:u w:val="none"/>
        </w:rPr>
        <w:t>Immediate Family Member</w:t>
      </w:r>
      <w:r>
        <w:rPr>
          <w:rStyle w:val="DeltaViewInsertion"/>
          <w:b w:val="0"/>
          <w:color w:val="000000"/>
          <w:szCs w:val="16"/>
          <w:u w:val="none"/>
        </w:rPr>
        <w:t>” means a child</w:t>
      </w:r>
      <w:r>
        <w:t xml:space="preserve">, </w:t>
      </w:r>
      <w:r>
        <w:rPr>
          <w:rStyle w:val="DeltaViewInsertion"/>
          <w:b w:val="0"/>
          <w:color w:val="000000"/>
          <w:szCs w:val="16"/>
          <w:u w:val="none"/>
        </w:rPr>
        <w:t>stepchild, grandchild, parent, stepparent, grandparent, spouse, sibling, mother-in-law, father-in-law, son-in-law, daughter-in-law, brother-in-law,</w:t>
      </w:r>
      <w:r>
        <w:rPr>
          <w:b/>
        </w:rPr>
        <w:t xml:space="preserve"> </w:t>
      </w:r>
      <w:r>
        <w:t>or</w:t>
      </w:r>
      <w:r>
        <w:rPr>
          <w:b/>
        </w:rPr>
        <w:t xml:space="preserve"> </w:t>
      </w:r>
      <w:r>
        <w:rPr>
          <w:rStyle w:val="DeltaViewInsertion"/>
          <w:b w:val="0"/>
          <w:color w:val="000000"/>
          <w:szCs w:val="16"/>
          <w:u w:val="none"/>
        </w:rPr>
        <w:t>sister-in-law, including, adoptive relationships, of a natural person referred to herein.</w:t>
      </w:r>
      <w:bookmarkEnd w:id="79"/>
      <w:bookmarkEnd w:id="80"/>
      <w:bookmarkEnd w:id="81"/>
      <w:r>
        <w:rPr>
          <w:rStyle w:val="FootnoteReference"/>
          <w:color w:val="000000"/>
        </w:rPr>
        <w:footnoteReference w:id="4"/>
      </w:r>
    </w:p>
    <w:p w:rsidR="00B95ADB" w:rsidRDefault="00B95ADB">
      <w:pPr>
        <w:pStyle w:val="Heading2NoTOC"/>
      </w:pPr>
      <w:bookmarkStart w:id="82" w:name="_DV_M87"/>
      <w:bookmarkStart w:id="83" w:name="_Toc50982452"/>
      <w:bookmarkStart w:id="84" w:name="_Toc94341841"/>
      <w:bookmarkStart w:id="85" w:name="_Toc94341923"/>
      <w:bookmarkEnd w:id="82"/>
      <w:r>
        <w:t>“</w:t>
      </w:r>
      <w:r>
        <w:rPr>
          <w:b/>
        </w:rPr>
        <w:t>Initiating Holders</w:t>
      </w:r>
      <w:r>
        <w:t>” means, collectively, Holders who properly initiate a registration request under this Agreement.</w:t>
      </w:r>
      <w:bookmarkEnd w:id="83"/>
      <w:bookmarkEnd w:id="84"/>
      <w:bookmarkEnd w:id="85"/>
    </w:p>
    <w:p w:rsidR="00B95ADB" w:rsidRDefault="00B95ADB">
      <w:pPr>
        <w:pStyle w:val="Heading2NoTOC"/>
        <w:rPr>
          <w:rStyle w:val="DeltaViewInsertion"/>
          <w:b w:val="0"/>
          <w:color w:val="000000"/>
          <w:szCs w:val="16"/>
          <w:u w:val="none"/>
        </w:rPr>
      </w:pPr>
      <w:bookmarkStart w:id="86" w:name="_DV_M88"/>
      <w:bookmarkStart w:id="87" w:name="_Toc50982453"/>
      <w:bookmarkStart w:id="88" w:name="_Toc94341842"/>
      <w:bookmarkStart w:id="89" w:name="_Toc94341924"/>
      <w:bookmarkEnd w:id="86"/>
      <w:r>
        <w:rPr>
          <w:rStyle w:val="DeltaViewInsertion"/>
          <w:b w:val="0"/>
          <w:color w:val="000000"/>
          <w:szCs w:val="16"/>
          <w:u w:val="none"/>
        </w:rPr>
        <w:t>“</w:t>
      </w:r>
      <w:r>
        <w:rPr>
          <w:rStyle w:val="DeltaViewInsertion"/>
          <w:color w:val="000000"/>
          <w:szCs w:val="16"/>
          <w:u w:val="none"/>
        </w:rPr>
        <w:t>IPO</w:t>
      </w:r>
      <w:r>
        <w:rPr>
          <w:rStyle w:val="DeltaViewInsertion"/>
          <w:b w:val="0"/>
          <w:color w:val="000000"/>
          <w:szCs w:val="16"/>
          <w:u w:val="none"/>
        </w:rPr>
        <w:t>” means the Company’s first underwritten public offering of its Common Stock under the Securities Act.</w:t>
      </w:r>
      <w:bookmarkEnd w:id="87"/>
      <w:bookmarkEnd w:id="88"/>
      <w:bookmarkEnd w:id="89"/>
    </w:p>
    <w:p w:rsidR="00B95ADB" w:rsidRDefault="00B95ADB">
      <w:pPr>
        <w:pStyle w:val="Heading2NoTOC"/>
        <w:rPr>
          <w:rStyle w:val="FootnoteReference"/>
          <w:color w:val="000000"/>
          <w:position w:val="0"/>
          <w:sz w:val="24"/>
        </w:rPr>
      </w:pPr>
      <w:bookmarkStart w:id="90" w:name="_DV_M89"/>
      <w:bookmarkStart w:id="91" w:name="_Toc50982454"/>
      <w:bookmarkStart w:id="92" w:name="_Toc94341843"/>
      <w:bookmarkStart w:id="93" w:name="_Toc94341925"/>
      <w:bookmarkEnd w:id="90"/>
      <w:r>
        <w:rPr>
          <w:rStyle w:val="DeltaViewInsertion"/>
          <w:b w:val="0"/>
          <w:color w:val="000000"/>
          <w:szCs w:val="16"/>
          <w:u w:val="none"/>
        </w:rPr>
        <w:t>“</w:t>
      </w:r>
      <w:r>
        <w:rPr>
          <w:rStyle w:val="DeltaViewInsertion"/>
          <w:color w:val="000000"/>
          <w:szCs w:val="16"/>
          <w:u w:val="none"/>
        </w:rPr>
        <w:t>Key Employee</w:t>
      </w:r>
      <w:r>
        <w:rPr>
          <w:rStyle w:val="DeltaViewInsertion"/>
          <w:b w:val="0"/>
          <w:color w:val="000000"/>
          <w:szCs w:val="16"/>
          <w:u w:val="none"/>
        </w:rPr>
        <w:t xml:space="preserve">” means </w:t>
      </w:r>
      <w:r>
        <w:t>any executive-level employee (including, division director and vice president-level positions) as well as any employee who, either alone or in concert with others, develops, invents, programs, or designs any Company Intellectual Property (as defined in the Purchase Agreement).</w:t>
      </w:r>
      <w:bookmarkEnd w:id="91"/>
      <w:bookmarkEnd w:id="92"/>
      <w:bookmarkEnd w:id="93"/>
      <w:r>
        <w:rPr>
          <w:rStyle w:val="FootnoteReference"/>
        </w:rPr>
        <w:footnoteReference w:id="5"/>
      </w:r>
    </w:p>
    <w:p w:rsidR="00B95ADB" w:rsidRDefault="00B95ADB">
      <w:pPr>
        <w:pStyle w:val="Heading2NoTOC"/>
        <w:rPr>
          <w:rStyle w:val="DeltaViewInsertion"/>
          <w:b w:val="0"/>
          <w:color w:val="000000"/>
          <w:szCs w:val="16"/>
          <w:u w:val="none"/>
        </w:rPr>
      </w:pPr>
      <w:r>
        <w:rPr>
          <w:rStyle w:val="DeltaViewInsertion"/>
          <w:b w:val="0"/>
          <w:color w:val="000000"/>
          <w:szCs w:val="16"/>
          <w:u w:val="none"/>
        </w:rPr>
        <w:t>[“</w:t>
      </w:r>
      <w:r>
        <w:rPr>
          <w:rStyle w:val="DeltaViewInsertion"/>
          <w:color w:val="000000"/>
          <w:szCs w:val="16"/>
          <w:u w:val="none"/>
        </w:rPr>
        <w:t>Key Holder Registrable Securities</w:t>
      </w:r>
      <w:r>
        <w:rPr>
          <w:rStyle w:val="DeltaViewInsertion"/>
          <w:b w:val="0"/>
          <w:color w:val="000000"/>
          <w:szCs w:val="16"/>
          <w:u w:val="none"/>
        </w:rPr>
        <w:t>” means (i) the [_____] shares of Common Stock held by the Key Holders, and (ii) any Common Stock issued as (or issuable upon the conversion or exercise of any warrant, right, or other security that is issued as) a dividend or other distribution with respect to, or in exchange for or in replacement of such shares.]</w:t>
      </w:r>
    </w:p>
    <w:p w:rsidR="00B95ADB" w:rsidRDefault="00B95ADB">
      <w:pPr>
        <w:pStyle w:val="Heading2NoTOC"/>
      </w:pPr>
      <w:bookmarkStart w:id="94" w:name="_DV_M90"/>
      <w:bookmarkStart w:id="95" w:name="_DV_M91"/>
      <w:bookmarkStart w:id="96" w:name="_Toc50982456"/>
      <w:bookmarkStart w:id="97" w:name="_Toc94341845"/>
      <w:bookmarkStart w:id="98" w:name="_Toc94341927"/>
      <w:bookmarkEnd w:id="94"/>
      <w:bookmarkEnd w:id="95"/>
      <w:r>
        <w:t>“</w:t>
      </w:r>
      <w:r>
        <w:rPr>
          <w:b/>
        </w:rPr>
        <w:t>Major Investor</w:t>
      </w:r>
      <w:r>
        <w:t>” means any Investor that, individually or together with such Investor’s Affiliates, holds at least [______] shares of Registrable Securities (as adjusted for any stock split, stock dividend, combination, or other recapitalization or reclassification effected after the date hereof).</w:t>
      </w:r>
      <w:bookmarkEnd w:id="96"/>
      <w:bookmarkEnd w:id="97"/>
      <w:bookmarkEnd w:id="98"/>
    </w:p>
    <w:p w:rsidR="00B95ADB" w:rsidRDefault="00B95ADB">
      <w:pPr>
        <w:pStyle w:val="Heading2NoTOC"/>
      </w:pPr>
      <w:bookmarkStart w:id="99" w:name="_DV_M92"/>
      <w:bookmarkStart w:id="100" w:name="_Toc50982457"/>
      <w:bookmarkStart w:id="101" w:name="_Toc94341846"/>
      <w:bookmarkStart w:id="102" w:name="_Toc94341928"/>
      <w:bookmarkEnd w:id="99"/>
      <w:r>
        <w:t>“</w:t>
      </w:r>
      <w:r>
        <w:rPr>
          <w:b/>
        </w:rPr>
        <w:t>New Securities</w:t>
      </w:r>
      <w:r>
        <w:t>” means, collectively, equity securities of the Company, whether or not currently authorized, as well as rights, options, or warrants to purchase such equity securities, or securities of any type whatsoever that are, or may become, convertible or exchangeable into or exercisable for such equity securities.</w:t>
      </w:r>
      <w:bookmarkEnd w:id="100"/>
      <w:bookmarkEnd w:id="101"/>
      <w:bookmarkEnd w:id="102"/>
    </w:p>
    <w:p w:rsidR="00B95ADB" w:rsidRDefault="00B95ADB">
      <w:pPr>
        <w:pStyle w:val="Heading2NoTOC"/>
        <w:rPr>
          <w:rStyle w:val="DeltaViewInsertion"/>
          <w:b w:val="0"/>
          <w:color w:val="000000"/>
          <w:szCs w:val="16"/>
          <w:u w:val="none"/>
        </w:rPr>
      </w:pPr>
      <w:bookmarkStart w:id="103" w:name="_DV_M93"/>
      <w:bookmarkEnd w:id="103"/>
      <w:r>
        <w:rPr>
          <w:rStyle w:val="DeltaViewInsertion"/>
          <w:b w:val="0"/>
          <w:color w:val="000000"/>
          <w:szCs w:val="16"/>
          <w:u w:val="none"/>
        </w:rPr>
        <w:t>“</w:t>
      </w:r>
      <w:r>
        <w:rPr>
          <w:rStyle w:val="DeltaViewInsertion"/>
          <w:color w:val="000000"/>
          <w:szCs w:val="16"/>
          <w:u w:val="none"/>
        </w:rPr>
        <w:t>Person</w:t>
      </w:r>
      <w:r>
        <w:rPr>
          <w:rStyle w:val="DeltaViewInsertion"/>
          <w:b w:val="0"/>
          <w:color w:val="000000"/>
          <w:szCs w:val="16"/>
          <w:u w:val="none"/>
        </w:rPr>
        <w:t xml:space="preserve">” means any individual, corporation, partnership, trust, limited liability company, association </w:t>
      </w:r>
      <w:r>
        <w:t>or</w:t>
      </w:r>
      <w:r>
        <w:rPr>
          <w:rStyle w:val="DeltaViewInsertion"/>
          <w:b w:val="0"/>
          <w:color w:val="000000"/>
          <w:szCs w:val="16"/>
          <w:u w:val="none"/>
        </w:rPr>
        <w:t xml:space="preserve"> </w:t>
      </w:r>
      <w:r>
        <w:t>other</w:t>
      </w:r>
      <w:r>
        <w:rPr>
          <w:rStyle w:val="DeltaViewInsertion"/>
          <w:b w:val="0"/>
          <w:color w:val="000000"/>
          <w:szCs w:val="16"/>
          <w:u w:val="none"/>
        </w:rPr>
        <w:t xml:space="preserve"> entity</w:t>
      </w:r>
      <w:r>
        <w:rPr>
          <w:rStyle w:val="DeltaViewInsertion"/>
          <w:b w:val="0"/>
          <w:color w:val="0000FF"/>
          <w:szCs w:val="16"/>
          <w:u w:val="none"/>
        </w:rPr>
        <w:t>.</w:t>
      </w:r>
    </w:p>
    <w:p w:rsidR="00B95ADB" w:rsidRDefault="00B95ADB">
      <w:pPr>
        <w:pStyle w:val="Heading2NoTOC"/>
      </w:pPr>
      <w:bookmarkStart w:id="104" w:name="_DV_M94"/>
      <w:bookmarkStart w:id="105" w:name="_Toc50982458"/>
      <w:bookmarkStart w:id="106" w:name="_Toc94341847"/>
      <w:bookmarkStart w:id="107" w:name="_Toc94341929"/>
      <w:bookmarkEnd w:id="104"/>
      <w:r>
        <w:rPr>
          <w:rStyle w:val="DeltaViewInsertion"/>
          <w:b w:val="0"/>
          <w:color w:val="000000"/>
          <w:szCs w:val="16"/>
          <w:u w:val="none"/>
        </w:rPr>
        <w:t>[</w:t>
      </w:r>
      <w:r>
        <w:t>“</w:t>
      </w:r>
      <w:r>
        <w:rPr>
          <w:b/>
        </w:rPr>
        <w:t>Preferred Stock</w:t>
      </w:r>
      <w:r>
        <w:t>” means, collectively, shares of the Company’s Series  A Preferred Stock and Series [_] Preferred Stock</w:t>
      </w:r>
      <w:r>
        <w:rPr>
          <w:rStyle w:val="DeltaViewInsertion"/>
          <w:b w:val="0"/>
          <w:color w:val="000000"/>
          <w:szCs w:val="16"/>
          <w:u w:val="none"/>
        </w:rPr>
        <w:t>.</w:t>
      </w:r>
      <w:r>
        <w:t>]</w:t>
      </w:r>
      <w:bookmarkEnd w:id="105"/>
      <w:bookmarkEnd w:id="106"/>
      <w:bookmarkEnd w:id="107"/>
      <w:r>
        <w:rPr>
          <w:rStyle w:val="FootnoteReference"/>
        </w:rPr>
        <w:footnoteReference w:id="6"/>
      </w:r>
    </w:p>
    <w:p w:rsidR="00B95ADB" w:rsidRDefault="00B95ADB">
      <w:pPr>
        <w:pStyle w:val="Heading2NoTOC"/>
      </w:pPr>
      <w:bookmarkStart w:id="108" w:name="_DV_M95"/>
      <w:bookmarkStart w:id="109" w:name="_Toc50982460"/>
      <w:bookmarkStart w:id="110" w:name="_Toc94341849"/>
      <w:bookmarkStart w:id="111" w:name="_Toc94341931"/>
      <w:bookmarkEnd w:id="108"/>
      <w:r>
        <w:t>“</w:t>
      </w:r>
      <w:r>
        <w:rPr>
          <w:b/>
        </w:rPr>
        <w:t>Registrable Securities</w:t>
      </w:r>
      <w:r>
        <w:t>” means (i) the Common Stock issuable or issued upon conversion of th</w:t>
      </w:r>
      <w:r>
        <w:rPr>
          <w:b/>
        </w:rPr>
        <w:t xml:space="preserve">e </w:t>
      </w:r>
      <w:r>
        <w:rPr>
          <w:rStyle w:val="DeltaViewInsertion"/>
          <w:b w:val="0"/>
          <w:color w:val="000000"/>
          <w:szCs w:val="16"/>
          <w:u w:val="none"/>
        </w:rPr>
        <w:t xml:space="preserve">[Series A] </w:t>
      </w:r>
      <w:r>
        <w:t xml:space="preserve">Preferred Stock[, excluding any Common Stock issued upon conversion of the </w:t>
      </w:r>
      <w:r>
        <w:rPr>
          <w:rStyle w:val="DeltaViewInsertion"/>
          <w:b w:val="0"/>
          <w:color w:val="000000"/>
          <w:szCs w:val="16"/>
          <w:u w:val="none"/>
        </w:rPr>
        <w:t xml:space="preserve">[Series A] </w:t>
      </w:r>
      <w:r>
        <w:t>Preferred Stock pursuant to the “Special Mandatory Conversion” provisions of the Certificate of Incorporation</w:t>
      </w:r>
      <w:bookmarkStart w:id="112" w:name="_DV_M96"/>
      <w:bookmarkEnd w:id="112"/>
      <w:r>
        <w:rPr>
          <w:rStyle w:val="FootnoteReference"/>
        </w:rPr>
        <w:footnoteReference w:id="7"/>
      </w:r>
      <w:r>
        <w:t>]; [(ii) any Common Stock</w:t>
      </w:r>
      <w:r>
        <w:rPr>
          <w:rStyle w:val="DeltaViewInsertion"/>
          <w:b w:val="0"/>
          <w:color w:val="000000"/>
          <w:szCs w:val="16"/>
          <w:u w:val="none"/>
        </w:rPr>
        <w:t>, or any Common Stock</w:t>
      </w:r>
      <w:r>
        <w:rPr>
          <w:b/>
        </w:rPr>
        <w:t xml:space="preserve"> </w:t>
      </w:r>
      <w:r>
        <w:t>issued or issuable</w:t>
      </w:r>
      <w:r>
        <w:rPr>
          <w:b/>
        </w:rPr>
        <w:t xml:space="preserve"> </w:t>
      </w:r>
      <w:r>
        <w:rPr>
          <w:rStyle w:val="DeltaViewInsertion"/>
          <w:b w:val="0"/>
          <w:color w:val="000000"/>
          <w:szCs w:val="16"/>
          <w:u w:val="none"/>
        </w:rPr>
        <w:t>(directly or indirectly)</w:t>
      </w:r>
      <w:r>
        <w:rPr>
          <w:rStyle w:val="DeltaViewInsertion"/>
          <w:color w:val="000000"/>
          <w:szCs w:val="16"/>
          <w:u w:val="none"/>
        </w:rPr>
        <w:t xml:space="preserve"> </w:t>
      </w:r>
      <w:r>
        <w:t xml:space="preserve">upon conversion </w:t>
      </w:r>
      <w:r>
        <w:rPr>
          <w:rStyle w:val="DeltaViewInsertion"/>
          <w:b w:val="0"/>
          <w:color w:val="000000"/>
          <w:szCs w:val="16"/>
          <w:u w:val="none"/>
        </w:rPr>
        <w:t xml:space="preserve">and/or exercise </w:t>
      </w:r>
      <w:r>
        <w:t>of</w:t>
      </w:r>
      <w:r>
        <w:rPr>
          <w:b/>
        </w:rPr>
        <w:t xml:space="preserve"> </w:t>
      </w:r>
      <w:r>
        <w:t xml:space="preserve">any </w:t>
      </w:r>
      <w:r>
        <w:rPr>
          <w:rStyle w:val="DeltaViewInsertion"/>
          <w:b w:val="0"/>
          <w:color w:val="000000"/>
          <w:szCs w:val="16"/>
          <w:u w:val="none"/>
        </w:rPr>
        <w:t>other</w:t>
      </w:r>
      <w:r>
        <w:rPr>
          <w:b/>
        </w:rPr>
        <w:t xml:space="preserve"> </w:t>
      </w:r>
      <w:r>
        <w:rPr>
          <w:rStyle w:val="DeltaViewInsertion"/>
          <w:b w:val="0"/>
          <w:color w:val="000000"/>
          <w:szCs w:val="16"/>
          <w:u w:val="none"/>
        </w:rPr>
        <w:t>securities</w:t>
      </w:r>
      <w:r>
        <w:rPr>
          <w:b/>
        </w:rPr>
        <w:t xml:space="preserve"> </w:t>
      </w:r>
      <w:r>
        <w:t>of the Company</w:t>
      </w:r>
      <w:r>
        <w:rPr>
          <w:rStyle w:val="DeltaViewInsertion"/>
          <w:color w:val="000000"/>
          <w:szCs w:val="16"/>
          <w:u w:val="none"/>
        </w:rPr>
        <w:t>,</w:t>
      </w:r>
      <w:r>
        <w:t xml:space="preserve"> acquired by the Investors after the date hereof]; [(iii) the Key </w:t>
      </w:r>
      <w:r>
        <w:rPr>
          <w:rStyle w:val="DeltaViewInsertion"/>
          <w:b w:val="0"/>
          <w:color w:val="000000"/>
          <w:szCs w:val="16"/>
          <w:u w:val="none"/>
        </w:rPr>
        <w:t>Holder Registrable Securities</w:t>
      </w:r>
      <w:r>
        <w:t>,</w:t>
      </w:r>
      <w:bookmarkStart w:id="113" w:name="_DV_M97"/>
      <w:bookmarkEnd w:id="113"/>
      <w:r>
        <w:rPr>
          <w:rStyle w:val="FootnoteReference"/>
        </w:rPr>
        <w:footnoteReference w:id="8"/>
      </w:r>
      <w:r>
        <w:t xml:space="preserve"> </w:t>
      </w:r>
      <w:r>
        <w:rPr>
          <w:u w:val="single"/>
        </w:rPr>
        <w:t>provided</w:t>
      </w:r>
      <w:r>
        <w:t xml:space="preserve">, </w:t>
      </w:r>
      <w:r>
        <w:rPr>
          <w:u w:val="single"/>
        </w:rPr>
        <w:t>however</w:t>
      </w:r>
      <w:r>
        <w:t xml:space="preserve">, that such </w:t>
      </w:r>
      <w:r>
        <w:rPr>
          <w:rStyle w:val="DeltaViewInsertion"/>
          <w:b w:val="0"/>
          <w:color w:val="000000"/>
          <w:szCs w:val="16"/>
          <w:u w:val="none"/>
        </w:rPr>
        <w:t>Key Holder Registrable Securities</w:t>
      </w:r>
      <w:r>
        <w:rPr>
          <w:b/>
        </w:rPr>
        <w:t xml:space="preserve"> </w:t>
      </w:r>
      <w:r>
        <w:t xml:space="preserve">shall not be deemed Registrable Securities and the Key Holders shall not be deemed Holders for the purposes of </w:t>
      </w:r>
      <w:r>
        <w:rPr>
          <w:u w:val="single"/>
        </w:rPr>
        <w:t xml:space="preserve">Subsections </w:t>
      </w:r>
      <w:r>
        <w:rPr>
          <w:u w:val="single"/>
        </w:rPr>
        <w:fldChar w:fldCharType="begin"/>
      </w:r>
      <w:r>
        <w:rPr>
          <w:u w:val="single"/>
        </w:rPr>
        <w:instrText xml:space="preserve"> REF _Ref264904852 \r \h </w:instrText>
      </w:r>
      <w:r>
        <w:rPr>
          <w:u w:val="single"/>
        </w:rPr>
      </w:r>
      <w:r>
        <w:rPr>
          <w:u w:val="single"/>
        </w:rPr>
        <w:instrText xml:space="preserve"> \* MERGEFORMAT </w:instrText>
      </w:r>
      <w:r>
        <w:rPr>
          <w:u w:val="single"/>
        </w:rPr>
        <w:fldChar w:fldCharType="separate"/>
      </w:r>
      <w:r w:rsidR="00222212">
        <w:rPr>
          <w:u w:val="single"/>
        </w:rPr>
        <w:t>2.1</w:t>
      </w:r>
      <w:r>
        <w:rPr>
          <w:u w:val="single"/>
        </w:rPr>
        <w:fldChar w:fldCharType="end"/>
      </w:r>
      <w:r w:rsidR="002705FD">
        <w:rPr>
          <w:u w:val="single"/>
          <w:lang w:val="en-US"/>
        </w:rPr>
        <w:t xml:space="preserve"> </w:t>
      </w:r>
      <w:r w:rsidR="00381746">
        <w:rPr>
          <w:lang w:val="en-US"/>
        </w:rPr>
        <w:t xml:space="preserve">(and any other applicable Section or Subsection with respect to registrations under </w:t>
      </w:r>
      <w:r w:rsidR="00381746" w:rsidRPr="00463812">
        <w:rPr>
          <w:u w:val="single"/>
          <w:lang w:val="en-US"/>
        </w:rPr>
        <w:t>Subsection 2.1</w:t>
      </w:r>
      <w:r w:rsidR="00381746">
        <w:rPr>
          <w:lang w:val="en-US"/>
        </w:rPr>
        <w:t>)</w:t>
      </w:r>
      <w:r>
        <w:t xml:space="preserve">, </w:t>
      </w:r>
      <w:r>
        <w:rPr>
          <w:rStyle w:val="DeltaViewInsertion"/>
          <w:b w:val="0"/>
          <w:color w:val="000000"/>
          <w:szCs w:val="16"/>
          <w:u w:val="single"/>
        </w:rPr>
        <w:fldChar w:fldCharType="begin"/>
      </w:r>
      <w:r>
        <w:rPr>
          <w:u w:val="single"/>
        </w:rPr>
        <w:instrText xml:space="preserve"> REF _Ref264904865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2.10</w:t>
      </w:r>
      <w:r>
        <w:rPr>
          <w:rStyle w:val="DeltaViewInsertion"/>
          <w:b w:val="0"/>
          <w:color w:val="000000"/>
          <w:szCs w:val="16"/>
          <w:u w:val="single"/>
        </w:rPr>
        <w:fldChar w:fldCharType="end"/>
      </w:r>
      <w:r>
        <w:rPr>
          <w:rStyle w:val="DeltaViewInsertion"/>
          <w:b w:val="0"/>
          <w:color w:val="000000"/>
          <w:szCs w:val="16"/>
          <w:u w:val="none"/>
        </w:rPr>
        <w:t>,</w:t>
      </w:r>
      <w:r>
        <w:t xml:space="preserve"> [</w:t>
      </w:r>
      <w:r>
        <w:rPr>
          <w:u w:val="single"/>
        </w:rPr>
        <w:fldChar w:fldCharType="begin"/>
      </w:r>
      <w:r>
        <w:rPr>
          <w:u w:val="single"/>
        </w:rPr>
        <w:instrText xml:space="preserve"> REF _Ref264904881 \r \h </w:instrText>
      </w:r>
      <w:r>
        <w:rPr>
          <w:u w:val="single"/>
        </w:rPr>
      </w:r>
      <w:r>
        <w:rPr>
          <w:u w:val="single"/>
        </w:rPr>
        <w:instrText xml:space="preserve"> \* MERGEFORMAT </w:instrText>
      </w:r>
      <w:r>
        <w:rPr>
          <w:u w:val="single"/>
        </w:rPr>
        <w:fldChar w:fldCharType="separate"/>
      </w:r>
      <w:r w:rsidR="00222212">
        <w:rPr>
          <w:u w:val="single"/>
        </w:rPr>
        <w:t>3.1</w:t>
      </w:r>
      <w:r>
        <w:rPr>
          <w:u w:val="single"/>
        </w:rPr>
        <w:fldChar w:fldCharType="end"/>
      </w:r>
      <w:r>
        <w:t xml:space="preserve">, </w:t>
      </w:r>
      <w:r>
        <w:rPr>
          <w:u w:val="single"/>
        </w:rPr>
        <w:fldChar w:fldCharType="begin"/>
      </w:r>
      <w:r>
        <w:rPr>
          <w:u w:val="single"/>
        </w:rPr>
        <w:instrText xml:space="preserve"> REF _Ref264904891 \r \h </w:instrText>
      </w:r>
      <w:r>
        <w:rPr>
          <w:u w:val="single"/>
        </w:rPr>
      </w:r>
      <w:r>
        <w:rPr>
          <w:u w:val="single"/>
        </w:rPr>
        <w:instrText xml:space="preserve"> \* MERGEFORMAT </w:instrText>
      </w:r>
      <w:r>
        <w:rPr>
          <w:u w:val="single"/>
        </w:rPr>
        <w:fldChar w:fldCharType="separate"/>
      </w:r>
      <w:r w:rsidR="00222212">
        <w:rPr>
          <w:u w:val="single"/>
        </w:rPr>
        <w:t>3.2</w:t>
      </w:r>
      <w:r>
        <w:rPr>
          <w:u w:val="single"/>
        </w:rPr>
        <w:fldChar w:fldCharType="end"/>
      </w:r>
      <w:r>
        <w:t xml:space="preserve">, </w:t>
      </w:r>
      <w:r>
        <w:rPr>
          <w:rStyle w:val="DeltaViewInsertion"/>
          <w:b w:val="0"/>
          <w:color w:val="000000"/>
          <w:szCs w:val="16"/>
          <w:u w:val="single"/>
        </w:rPr>
        <w:fldChar w:fldCharType="begin"/>
      </w:r>
      <w:r>
        <w:rPr>
          <w:u w:val="single"/>
        </w:rPr>
        <w:instrText xml:space="preserve"> REF _Ref264904903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4.1</w:t>
      </w:r>
      <w:r>
        <w:rPr>
          <w:rStyle w:val="DeltaViewInsertion"/>
          <w:b w:val="0"/>
          <w:color w:val="000000"/>
          <w:szCs w:val="16"/>
          <w:u w:val="single"/>
        </w:rPr>
        <w:fldChar w:fldCharType="end"/>
      </w:r>
      <w:r>
        <w:t xml:space="preserve"> and </w:t>
      </w:r>
      <w:r>
        <w:rPr>
          <w:rStyle w:val="DeltaViewInsertion"/>
          <w:b w:val="0"/>
          <w:color w:val="000000"/>
          <w:szCs w:val="16"/>
          <w:u w:val="single"/>
        </w:rPr>
        <w:fldChar w:fldCharType="begin"/>
      </w:r>
      <w:r>
        <w:rPr>
          <w:u w:val="single"/>
        </w:rPr>
        <w:instrText xml:space="preserve"> REF _Ref264904918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6.6</w:t>
      </w:r>
      <w:r>
        <w:rPr>
          <w:rStyle w:val="DeltaViewInsertion"/>
          <w:b w:val="0"/>
          <w:color w:val="000000"/>
          <w:szCs w:val="16"/>
          <w:u w:val="single"/>
        </w:rPr>
        <w:fldChar w:fldCharType="end"/>
      </w:r>
      <w:r>
        <w:t xml:space="preserve">;] and [(iv)] any Common Stock issued as (or issuable upon the conversion or exercise of any warrant, right, or other security that is issued as) a dividend or other distribution with respect to, or in exchange for or in replacement of, the shares referenced in clause[s] </w:t>
      </w:r>
      <w:r>
        <w:rPr>
          <w:u w:val="single"/>
        </w:rPr>
        <w:t>(i)</w:t>
      </w:r>
      <w:r>
        <w:t xml:space="preserve"> [and </w:t>
      </w:r>
      <w:r>
        <w:rPr>
          <w:u w:val="single"/>
        </w:rPr>
        <w:t>(ii)</w:t>
      </w:r>
      <w:r>
        <w:t xml:space="preserve">] above; excluding in all cases, however, any Registrable Securities sold by a Person in a transaction in which the </w:t>
      </w:r>
      <w:r>
        <w:rPr>
          <w:rStyle w:val="DeltaViewInsertion"/>
          <w:b w:val="0"/>
          <w:color w:val="000000"/>
          <w:szCs w:val="16"/>
          <w:u w:val="none"/>
        </w:rPr>
        <w:t>applicable</w:t>
      </w:r>
      <w:r>
        <w:rPr>
          <w:rStyle w:val="DeltaViewInsertion"/>
          <w:color w:val="000000"/>
          <w:szCs w:val="16"/>
          <w:u w:val="none"/>
        </w:rPr>
        <w:t xml:space="preserve"> </w:t>
      </w:r>
      <w:r>
        <w:t xml:space="preserve">rights under </w:t>
      </w:r>
      <w:r>
        <w:rPr>
          <w:rStyle w:val="DeltaViewInsertion"/>
          <w:b w:val="0"/>
          <w:color w:val="000000"/>
          <w:szCs w:val="16"/>
          <w:u w:val="none"/>
        </w:rPr>
        <w:t>this Agreement</w:t>
      </w:r>
      <w:r>
        <w:t xml:space="preserve"> are not assigned </w:t>
      </w:r>
      <w:r>
        <w:rPr>
          <w:rStyle w:val="DeltaViewInsertion"/>
          <w:b w:val="0"/>
          <w:color w:val="000000"/>
          <w:szCs w:val="16"/>
          <w:u w:val="none"/>
        </w:rPr>
        <w:t xml:space="preserve">pursuant to </w:t>
      </w:r>
      <w:r>
        <w:rPr>
          <w:rStyle w:val="DeltaViewInsertion"/>
          <w:b w:val="0"/>
          <w:color w:val="000000"/>
          <w:szCs w:val="16"/>
          <w:u w:val="single"/>
        </w:rPr>
        <w:t xml:space="preserve">Subsection </w:t>
      </w:r>
      <w:r>
        <w:rPr>
          <w:rStyle w:val="DeltaViewInsertion"/>
          <w:b w:val="0"/>
          <w:color w:val="000000"/>
          <w:szCs w:val="16"/>
          <w:u w:val="single"/>
        </w:rPr>
        <w:fldChar w:fldCharType="begin"/>
      </w:r>
      <w:r>
        <w:rPr>
          <w:rStyle w:val="DeltaViewInsertion"/>
          <w:b w:val="0"/>
          <w:color w:val="000000"/>
          <w:szCs w:val="16"/>
          <w:u w:val="single"/>
        </w:rPr>
        <w:instrText xml:space="preserve"> REF _Ref264904945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rStyle w:val="DeltaViewInsertion"/>
          <w:b w:val="0"/>
          <w:color w:val="000000"/>
          <w:szCs w:val="16"/>
          <w:u w:val="single"/>
        </w:rPr>
        <w:t>6.1</w:t>
      </w:r>
      <w:r>
        <w:rPr>
          <w:rStyle w:val="DeltaViewInsertion"/>
          <w:b w:val="0"/>
          <w:color w:val="000000"/>
          <w:szCs w:val="16"/>
          <w:u w:val="single"/>
        </w:rPr>
        <w:fldChar w:fldCharType="end"/>
      </w:r>
      <w:r>
        <w:rPr>
          <w:rStyle w:val="DeltaViewInsertion"/>
          <w:b w:val="0"/>
          <w:color w:val="000000"/>
          <w:szCs w:val="16"/>
          <w:u w:val="none"/>
        </w:rPr>
        <w:t xml:space="preserve">, and excluding for purposes of </w:t>
      </w:r>
      <w:r>
        <w:rPr>
          <w:rStyle w:val="DeltaViewInsertion"/>
          <w:b w:val="0"/>
          <w:color w:val="000000"/>
          <w:szCs w:val="16"/>
          <w:u w:val="single"/>
        </w:rPr>
        <w:t xml:space="preserve">Section </w:t>
      </w:r>
      <w:r>
        <w:rPr>
          <w:rStyle w:val="DeltaViewInsertion"/>
          <w:b w:val="0"/>
          <w:color w:val="000000"/>
          <w:szCs w:val="16"/>
          <w:u w:val="single"/>
        </w:rPr>
        <w:fldChar w:fldCharType="begin"/>
      </w:r>
      <w:r>
        <w:rPr>
          <w:rStyle w:val="DeltaViewInsertion"/>
          <w:b w:val="0"/>
          <w:color w:val="000000"/>
          <w:szCs w:val="16"/>
          <w:u w:val="single"/>
        </w:rPr>
        <w:instrText xml:space="preserve"> REF _Ref264904962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rStyle w:val="DeltaViewInsertion"/>
          <w:b w:val="0"/>
          <w:color w:val="000000"/>
          <w:szCs w:val="16"/>
          <w:u w:val="single"/>
        </w:rPr>
        <w:t>2</w:t>
      </w:r>
      <w:r>
        <w:rPr>
          <w:rStyle w:val="DeltaViewInsertion"/>
          <w:b w:val="0"/>
          <w:color w:val="000000"/>
          <w:szCs w:val="16"/>
          <w:u w:val="single"/>
        </w:rPr>
        <w:fldChar w:fldCharType="end"/>
      </w:r>
      <w:r>
        <w:rPr>
          <w:b/>
        </w:rPr>
        <w:t xml:space="preserve"> </w:t>
      </w:r>
      <w:r>
        <w:t xml:space="preserve">any shares for which registration rights have terminated pursuant to </w:t>
      </w:r>
      <w:r>
        <w:rPr>
          <w:u w:val="single"/>
        </w:rPr>
        <w:t xml:space="preserve">Subsection </w:t>
      </w:r>
      <w:r>
        <w:rPr>
          <w:rStyle w:val="DeltaViewInsertion"/>
          <w:b w:val="0"/>
          <w:color w:val="000000"/>
          <w:szCs w:val="16"/>
          <w:u w:val="single"/>
        </w:rPr>
        <w:fldChar w:fldCharType="begin"/>
      </w:r>
      <w:r>
        <w:rPr>
          <w:u w:val="single"/>
        </w:rPr>
        <w:instrText xml:space="preserve"> REF _Ref264904982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2.13</w:t>
      </w:r>
      <w:r>
        <w:rPr>
          <w:rStyle w:val="DeltaViewInsertion"/>
          <w:b w:val="0"/>
          <w:color w:val="000000"/>
          <w:szCs w:val="16"/>
          <w:u w:val="single"/>
        </w:rPr>
        <w:fldChar w:fldCharType="end"/>
      </w:r>
      <w:r>
        <w:rPr>
          <w:b/>
        </w:rPr>
        <w:t xml:space="preserve"> </w:t>
      </w:r>
      <w:r>
        <w:t>of this Agreement.</w:t>
      </w:r>
      <w:bookmarkEnd w:id="109"/>
      <w:bookmarkEnd w:id="110"/>
      <w:bookmarkEnd w:id="111"/>
      <w:r>
        <w:rPr>
          <w:rStyle w:val="FootnoteReference"/>
        </w:rPr>
        <w:footnoteReference w:id="9"/>
      </w:r>
    </w:p>
    <w:p w:rsidR="00B95ADB" w:rsidRDefault="00B95ADB">
      <w:pPr>
        <w:pStyle w:val="Heading2NoTOC"/>
      </w:pPr>
      <w:bookmarkStart w:id="114" w:name="_DV_M98"/>
      <w:bookmarkStart w:id="115" w:name="_Toc50982461"/>
      <w:bookmarkStart w:id="116" w:name="_Toc94341850"/>
      <w:bookmarkStart w:id="117" w:name="_Toc94341932"/>
      <w:bookmarkEnd w:id="114"/>
      <w:r>
        <w:t>“</w:t>
      </w:r>
      <w:r>
        <w:rPr>
          <w:b/>
        </w:rPr>
        <w:t>Registrable Securities then outstanding</w:t>
      </w:r>
      <w:r>
        <w:t xml:space="preserve">” means the number of shares determined by adding the </w:t>
      </w:r>
      <w:r>
        <w:rPr>
          <w:rStyle w:val="DeltaViewInsertion"/>
          <w:b w:val="0"/>
          <w:color w:val="000000"/>
          <w:szCs w:val="16"/>
          <w:u w:val="none"/>
        </w:rPr>
        <w:t xml:space="preserve">number of shares of outstanding </w:t>
      </w:r>
      <w:r>
        <w:t xml:space="preserve">Common Stock </w:t>
      </w:r>
      <w:r>
        <w:rPr>
          <w:rStyle w:val="DeltaViewInsertion"/>
          <w:b w:val="0"/>
          <w:color w:val="000000"/>
          <w:szCs w:val="16"/>
          <w:u w:val="none"/>
        </w:rPr>
        <w:t>that are Registrable Securities</w:t>
      </w:r>
      <w:r>
        <w:t xml:space="preserve"> and the</w:t>
      </w:r>
      <w:r>
        <w:rPr>
          <w:rStyle w:val="DeltaViewInsertion"/>
          <w:b w:val="0"/>
          <w:color w:val="000000"/>
          <w:szCs w:val="16"/>
          <w:u w:val="none"/>
        </w:rPr>
        <w:t xml:space="preserve"> number of shares of</w:t>
      </w:r>
      <w:r>
        <w:rPr>
          <w:b/>
        </w:rPr>
        <w:t xml:space="preserve"> </w:t>
      </w:r>
      <w:r>
        <w:t xml:space="preserve">Common Stock issuable </w:t>
      </w:r>
      <w:r>
        <w:rPr>
          <w:rStyle w:val="DeltaViewInsertion"/>
          <w:b w:val="0"/>
          <w:color w:val="000000"/>
          <w:szCs w:val="16"/>
          <w:u w:val="none"/>
        </w:rPr>
        <w:t xml:space="preserve">(directly or indirectly) </w:t>
      </w:r>
      <w:r>
        <w:t xml:space="preserve">pursuant to then exercisable </w:t>
      </w:r>
      <w:r>
        <w:rPr>
          <w:rStyle w:val="DeltaViewInsertion"/>
          <w:b w:val="0"/>
          <w:color w:val="000000"/>
          <w:szCs w:val="16"/>
          <w:u w:val="none"/>
        </w:rPr>
        <w:t>and/</w:t>
      </w:r>
      <w:r>
        <w:t>or convertible securities that are Registrable Securities.</w:t>
      </w:r>
      <w:bookmarkEnd w:id="115"/>
      <w:bookmarkEnd w:id="116"/>
      <w:bookmarkEnd w:id="117"/>
    </w:p>
    <w:p w:rsidR="00B95ADB" w:rsidRDefault="00B95ADB">
      <w:pPr>
        <w:pStyle w:val="Heading2NoTOC"/>
      </w:pPr>
      <w:bookmarkStart w:id="118" w:name="_DV_M99"/>
      <w:bookmarkEnd w:id="118"/>
      <w:r>
        <w:t>“</w:t>
      </w:r>
      <w:r>
        <w:rPr>
          <w:b/>
        </w:rPr>
        <w:t>Restricted Securities</w:t>
      </w:r>
      <w:r>
        <w:t xml:space="preserve">” means the securities of the Company required to </w:t>
      </w:r>
      <w:r>
        <w:rPr>
          <w:lang w:val="en-US"/>
        </w:rPr>
        <w:t>be notated with</w:t>
      </w:r>
      <w:r>
        <w:t xml:space="preserve"> the legend set forth in </w:t>
      </w:r>
      <w:r>
        <w:rPr>
          <w:u w:val="single"/>
        </w:rPr>
        <w:t xml:space="preserve">Subsection </w:t>
      </w:r>
      <w:bookmarkStart w:id="119" w:name="_DV_M100"/>
      <w:bookmarkEnd w:id="119"/>
      <w:r>
        <w:rPr>
          <w:rStyle w:val="DeltaViewInsertion"/>
          <w:b w:val="0"/>
          <w:color w:val="000000"/>
          <w:szCs w:val="16"/>
          <w:u w:val="single"/>
        </w:rPr>
        <w:fldChar w:fldCharType="begin"/>
      </w:r>
      <w:r>
        <w:rPr>
          <w:u w:val="single"/>
        </w:rPr>
        <w:instrText xml:space="preserve"> REF _Ref264904994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2.12(b)</w:t>
      </w:r>
      <w:r>
        <w:rPr>
          <w:rStyle w:val="DeltaViewInsertion"/>
          <w:b w:val="0"/>
          <w:color w:val="000000"/>
          <w:szCs w:val="16"/>
          <w:u w:val="single"/>
        </w:rPr>
        <w:fldChar w:fldCharType="end"/>
      </w:r>
      <w:r>
        <w:t xml:space="preserve"> hereof.</w:t>
      </w:r>
    </w:p>
    <w:p w:rsidR="00B95ADB" w:rsidRDefault="00B95ADB">
      <w:pPr>
        <w:pStyle w:val="Heading2NoTOC"/>
      </w:pPr>
      <w:bookmarkStart w:id="120" w:name="_DV_M101"/>
      <w:bookmarkStart w:id="121" w:name="_Toc50982462"/>
      <w:bookmarkStart w:id="122" w:name="_Toc94341851"/>
      <w:bookmarkStart w:id="123" w:name="_Toc94341933"/>
      <w:bookmarkEnd w:id="120"/>
      <w:r>
        <w:t>“</w:t>
      </w:r>
      <w:r>
        <w:rPr>
          <w:b/>
        </w:rPr>
        <w:t>SEC</w:t>
      </w:r>
      <w:r>
        <w:t>” means the Securities and Exchange Commission.</w:t>
      </w:r>
      <w:bookmarkEnd w:id="121"/>
      <w:bookmarkEnd w:id="122"/>
      <w:bookmarkEnd w:id="123"/>
    </w:p>
    <w:p w:rsidR="00B95ADB" w:rsidRDefault="00B95ADB">
      <w:pPr>
        <w:pStyle w:val="Heading2NoTOC"/>
      </w:pPr>
      <w:bookmarkStart w:id="124" w:name="_DV_M102"/>
      <w:bookmarkStart w:id="125" w:name="_Toc50982463"/>
      <w:bookmarkStart w:id="126" w:name="_Toc94341852"/>
      <w:bookmarkStart w:id="127" w:name="_Toc94341934"/>
      <w:bookmarkEnd w:id="124"/>
      <w:r>
        <w:t>“</w:t>
      </w:r>
      <w:r>
        <w:rPr>
          <w:b/>
        </w:rPr>
        <w:t>SEC Rule 144</w:t>
      </w:r>
      <w:r>
        <w:t>” means Rule 144 promulgated by the SEC under the Securities Act.</w:t>
      </w:r>
      <w:bookmarkEnd w:id="125"/>
      <w:bookmarkEnd w:id="126"/>
      <w:bookmarkEnd w:id="127"/>
    </w:p>
    <w:p w:rsidR="00B95ADB" w:rsidRDefault="00B95ADB">
      <w:pPr>
        <w:pStyle w:val="Heading2NoTOC"/>
      </w:pPr>
      <w:bookmarkStart w:id="128" w:name="_DV_M103"/>
      <w:bookmarkStart w:id="129" w:name="_Toc50982464"/>
      <w:bookmarkStart w:id="130" w:name="_Toc94341853"/>
      <w:bookmarkStart w:id="131" w:name="_Toc94341935"/>
      <w:bookmarkEnd w:id="128"/>
      <w:r>
        <w:t>“</w:t>
      </w:r>
      <w:r>
        <w:rPr>
          <w:b/>
        </w:rPr>
        <w:t>SEC Rule 145</w:t>
      </w:r>
      <w:r>
        <w:t>” means Rule 145 promulgated by the SEC under the Securities Act.</w:t>
      </w:r>
      <w:bookmarkStart w:id="132" w:name="_DV_M104"/>
      <w:bookmarkStart w:id="133" w:name="_Toc50982465"/>
      <w:bookmarkStart w:id="134" w:name="_Toc94341854"/>
      <w:bookmarkStart w:id="135" w:name="_Toc94341936"/>
      <w:bookmarkStart w:id="136" w:name="_DV_M106"/>
      <w:bookmarkEnd w:id="129"/>
      <w:bookmarkEnd w:id="130"/>
      <w:bookmarkEnd w:id="131"/>
      <w:bookmarkEnd w:id="132"/>
      <w:bookmarkEnd w:id="133"/>
      <w:bookmarkEnd w:id="134"/>
      <w:bookmarkEnd w:id="135"/>
      <w:bookmarkEnd w:id="136"/>
      <w:r>
        <w:t xml:space="preserve">  </w:t>
      </w:r>
    </w:p>
    <w:p w:rsidR="00B95ADB" w:rsidRDefault="00B95ADB">
      <w:pPr>
        <w:pStyle w:val="Heading2NoTOC"/>
      </w:pPr>
      <w:bookmarkStart w:id="137" w:name="_DV_M107"/>
      <w:bookmarkStart w:id="138" w:name="_Toc50982466"/>
      <w:bookmarkStart w:id="139" w:name="_Toc94341855"/>
      <w:bookmarkStart w:id="140" w:name="_Toc94341937"/>
      <w:bookmarkEnd w:id="137"/>
      <w:r>
        <w:t>“</w:t>
      </w:r>
      <w:r>
        <w:rPr>
          <w:b/>
        </w:rPr>
        <w:t>Securities Act</w:t>
      </w:r>
      <w:r>
        <w:t>” means the Securities Act of 1933, as amended, and the rules and regulations promulgated thereunder.</w:t>
      </w:r>
      <w:bookmarkEnd w:id="138"/>
      <w:bookmarkEnd w:id="139"/>
      <w:bookmarkEnd w:id="140"/>
    </w:p>
    <w:p w:rsidR="00B95ADB" w:rsidRDefault="00B95ADB">
      <w:pPr>
        <w:pStyle w:val="Heading2NoTOC"/>
      </w:pPr>
      <w:bookmarkStart w:id="141" w:name="_DV_M108"/>
      <w:bookmarkEnd w:id="141"/>
      <w:r>
        <w:t>“</w:t>
      </w:r>
      <w:r>
        <w:rPr>
          <w:b/>
        </w:rPr>
        <w:t>Selling Expenses</w:t>
      </w:r>
      <w:r>
        <w:t xml:space="preserve">” means all underwriting discounts, selling commissions, and stock transfer taxes applicable to the sale of Registrable Securities, and fees and disbursements of counsel for any Holder, except </w:t>
      </w:r>
      <w:r>
        <w:rPr>
          <w:rStyle w:val="DeltaViewInsertion"/>
          <w:b w:val="0"/>
          <w:color w:val="000000"/>
          <w:szCs w:val="16"/>
          <w:u w:val="none"/>
        </w:rPr>
        <w:t xml:space="preserve">for the fees and disbursements of the Selling Holder Counsel borne and paid by the Company </w:t>
      </w:r>
      <w:r>
        <w:t xml:space="preserve">as provided in </w:t>
      </w:r>
      <w:r>
        <w:rPr>
          <w:u w:val="single"/>
        </w:rPr>
        <w:t xml:space="preserve">Subsection </w:t>
      </w:r>
      <w:r>
        <w:rPr>
          <w:rStyle w:val="DeltaViewInsertion"/>
          <w:b w:val="0"/>
          <w:color w:val="000000"/>
          <w:szCs w:val="16"/>
          <w:u w:val="single"/>
        </w:rPr>
        <w:fldChar w:fldCharType="begin"/>
      </w:r>
      <w:r>
        <w:rPr>
          <w:u w:val="single"/>
        </w:rPr>
        <w:instrText xml:space="preserve"> REF _Ref264905010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2.6</w:t>
      </w:r>
      <w:r>
        <w:rPr>
          <w:rStyle w:val="DeltaViewInsertion"/>
          <w:b w:val="0"/>
          <w:color w:val="000000"/>
          <w:szCs w:val="16"/>
          <w:u w:val="single"/>
        </w:rPr>
        <w:fldChar w:fldCharType="end"/>
      </w:r>
      <w:r>
        <w:rPr>
          <w:rStyle w:val="DeltaViewInsertion"/>
          <w:b w:val="0"/>
          <w:color w:val="000000"/>
          <w:szCs w:val="16"/>
          <w:u w:val="none"/>
        </w:rPr>
        <w:t>.</w:t>
      </w:r>
    </w:p>
    <w:p w:rsidR="00B95ADB" w:rsidRDefault="00B95ADB">
      <w:pPr>
        <w:pStyle w:val="Heading2NoTOC"/>
      </w:pPr>
      <w:bookmarkStart w:id="142" w:name="_DV_M109"/>
      <w:bookmarkEnd w:id="142"/>
      <w:r>
        <w:t>“</w:t>
      </w:r>
      <w:r>
        <w:rPr>
          <w:b/>
        </w:rPr>
        <w:t>Series A Director</w:t>
      </w:r>
      <w:r>
        <w:t xml:space="preserve">” means </w:t>
      </w:r>
      <w:r>
        <w:rPr>
          <w:rStyle w:val="DeltaViewInsertion"/>
          <w:b w:val="0"/>
          <w:color w:val="000000"/>
          <w:szCs w:val="16"/>
          <w:u w:val="none"/>
        </w:rPr>
        <w:t>any</w:t>
      </w:r>
      <w:r>
        <w:rPr>
          <w:b/>
        </w:rPr>
        <w:t xml:space="preserve"> </w:t>
      </w:r>
      <w:r>
        <w:rPr>
          <w:rStyle w:val="DeltaViewInsertion"/>
          <w:b w:val="0"/>
          <w:color w:val="000000"/>
          <w:szCs w:val="16"/>
          <w:u w:val="none"/>
        </w:rPr>
        <w:t>director</w:t>
      </w:r>
      <w:r>
        <w:rPr>
          <w:b/>
        </w:rPr>
        <w:t xml:space="preserve"> </w:t>
      </w:r>
      <w:r>
        <w:t>of the Company that the holders of record of the Series A Preferred Stock are entitled to elect</w:t>
      </w:r>
      <w:r w:rsidR="00381746">
        <w:rPr>
          <w:lang w:val="en-US"/>
        </w:rPr>
        <w:t>, exclusively and as a separate class,</w:t>
      </w:r>
      <w:r>
        <w:t xml:space="preserve"> pursuant to the Certificate of Incorporation.</w:t>
      </w:r>
      <w:r w:rsidR="00787C05">
        <w:rPr>
          <w:rStyle w:val="FootnoteReference"/>
        </w:rPr>
        <w:footnoteReference w:id="10"/>
      </w:r>
      <w:r>
        <w:t xml:space="preserve"> </w:t>
      </w:r>
    </w:p>
    <w:p w:rsidR="00B95ADB" w:rsidRDefault="00B95ADB">
      <w:pPr>
        <w:pStyle w:val="Heading2NoTOC"/>
      </w:pPr>
      <w:bookmarkStart w:id="143" w:name="_DV_M110"/>
      <w:bookmarkStart w:id="144" w:name="_Toc50982467"/>
      <w:bookmarkStart w:id="145" w:name="_Toc94341856"/>
      <w:bookmarkStart w:id="146" w:name="_Toc94341938"/>
      <w:bookmarkEnd w:id="143"/>
      <w:r>
        <w:t>“</w:t>
      </w:r>
      <w:r>
        <w:rPr>
          <w:b/>
        </w:rPr>
        <w:t>Series A Preferred Stock</w:t>
      </w:r>
      <w:r>
        <w:t>” means shares of the Company’s Series A Preferred Stock, par value [$0.___] per share.</w:t>
      </w:r>
      <w:bookmarkEnd w:id="144"/>
      <w:bookmarkEnd w:id="145"/>
      <w:bookmarkEnd w:id="146"/>
    </w:p>
    <w:p w:rsidR="00B95ADB" w:rsidRDefault="00B95ADB">
      <w:pPr>
        <w:pStyle w:val="Heading1"/>
        <w:rPr>
          <w:vanish/>
          <w:specVanish/>
        </w:rPr>
      </w:pPr>
      <w:bookmarkStart w:id="147" w:name="_DV_M111"/>
      <w:bookmarkStart w:id="148" w:name="_Toc116180658"/>
      <w:bookmarkStart w:id="149" w:name="_Toc165866759"/>
      <w:bookmarkStart w:id="150" w:name="_Toc131593450"/>
      <w:bookmarkStart w:id="151" w:name="_Toc136067352"/>
      <w:bookmarkStart w:id="152" w:name="_Ref264904962"/>
      <w:bookmarkStart w:id="153" w:name="_Ref264905351"/>
      <w:bookmarkStart w:id="154" w:name="_Ref264905368"/>
      <w:bookmarkStart w:id="155" w:name="_Ref264905377"/>
      <w:bookmarkStart w:id="156" w:name="_Ref264905437"/>
      <w:bookmarkStart w:id="157" w:name="_Ref264905444"/>
      <w:bookmarkStart w:id="158" w:name="_Ref264905620"/>
      <w:bookmarkStart w:id="159" w:name="_Ref264905735"/>
      <w:bookmarkStart w:id="160" w:name="_Ref431298335"/>
      <w:bookmarkStart w:id="161" w:name="_Toc505091138"/>
      <w:bookmarkEnd w:id="147"/>
      <w:r>
        <w:t>Registration Rights</w:t>
      </w:r>
      <w:bookmarkEnd w:id="160"/>
      <w:bookmarkEnd w:id="161"/>
    </w:p>
    <w:p w:rsidR="00B95ADB" w:rsidRDefault="00B95ADB">
      <w:pPr>
        <w:pStyle w:val="Bod"/>
      </w:pPr>
      <w:r>
        <w:t>.</w:t>
      </w:r>
      <w:bookmarkStart w:id="162" w:name="_DV_M112"/>
      <w:bookmarkEnd w:id="148"/>
      <w:bookmarkEnd w:id="149"/>
      <w:bookmarkEnd w:id="162"/>
      <w:r>
        <w:t xml:space="preserve">  The Company covenants and agrees as follows:</w:t>
      </w:r>
      <w:bookmarkEnd w:id="150"/>
      <w:bookmarkEnd w:id="151"/>
      <w:bookmarkEnd w:id="152"/>
      <w:bookmarkEnd w:id="153"/>
      <w:bookmarkEnd w:id="154"/>
      <w:bookmarkEnd w:id="155"/>
      <w:bookmarkEnd w:id="156"/>
      <w:bookmarkEnd w:id="157"/>
      <w:bookmarkEnd w:id="158"/>
      <w:bookmarkEnd w:id="159"/>
    </w:p>
    <w:p w:rsidR="00B95ADB" w:rsidRDefault="00B95ADB">
      <w:pPr>
        <w:pStyle w:val="Heading2"/>
        <w:keepNext/>
        <w:rPr>
          <w:vanish/>
          <w:color w:val="000000"/>
          <w:szCs w:val="16"/>
          <w:specVanish/>
        </w:rPr>
      </w:pPr>
      <w:bookmarkStart w:id="163" w:name="_DV_M113"/>
      <w:bookmarkStart w:id="164" w:name="_Toc116180659"/>
      <w:bookmarkStart w:id="165" w:name="_Toc165866760"/>
      <w:bookmarkStart w:id="166" w:name="_Toc131593451"/>
      <w:bookmarkStart w:id="167" w:name="_Toc136067353"/>
      <w:bookmarkStart w:id="168" w:name="_Ref264904852"/>
      <w:bookmarkStart w:id="169" w:name="_Ref264905078"/>
      <w:bookmarkStart w:id="170" w:name="_Ref264905240"/>
      <w:bookmarkStart w:id="171" w:name="_Ref264905329"/>
      <w:bookmarkStart w:id="172" w:name="_Ref264905390"/>
      <w:bookmarkStart w:id="173" w:name="_Ref264905772"/>
      <w:bookmarkStart w:id="174" w:name="_Toc505091139"/>
      <w:bookmarkEnd w:id="163"/>
      <w:r>
        <w:t>Demand Registration</w:t>
      </w:r>
      <w:bookmarkEnd w:id="174"/>
    </w:p>
    <w:p w:rsidR="00B95ADB" w:rsidRDefault="00B95ADB">
      <w:pPr>
        <w:pStyle w:val="Bod"/>
      </w:pPr>
      <w:r>
        <w:t>.</w:t>
      </w:r>
      <w:bookmarkStart w:id="175" w:name="_DV_M114"/>
      <w:bookmarkEnd w:id="164"/>
      <w:bookmarkEnd w:id="165"/>
      <w:bookmarkEnd w:id="166"/>
      <w:bookmarkEnd w:id="167"/>
      <w:bookmarkEnd w:id="168"/>
      <w:bookmarkEnd w:id="169"/>
      <w:bookmarkEnd w:id="170"/>
      <w:bookmarkEnd w:id="171"/>
      <w:bookmarkEnd w:id="172"/>
      <w:bookmarkEnd w:id="173"/>
      <w:bookmarkEnd w:id="175"/>
    </w:p>
    <w:p w:rsidR="00B95ADB" w:rsidRDefault="00B95ADB">
      <w:pPr>
        <w:pStyle w:val="Heading3"/>
      </w:pPr>
      <w:bookmarkStart w:id="176" w:name="_DV_M115"/>
      <w:bookmarkStart w:id="177" w:name="_Toc136067354"/>
      <w:bookmarkStart w:id="178" w:name="_Ref264905119"/>
      <w:bookmarkStart w:id="179" w:name="_Ref264905399"/>
      <w:bookmarkEnd w:id="176"/>
      <w:r>
        <w:rPr>
          <w:rStyle w:val="DeltaViewInsertion"/>
          <w:b w:val="0"/>
          <w:color w:val="000000"/>
          <w:szCs w:val="16"/>
          <w:u w:val="single"/>
        </w:rPr>
        <w:t>Form S-1 Demand</w:t>
      </w:r>
      <w:r>
        <w:rPr>
          <w:rStyle w:val="DeltaViewInsertion"/>
          <w:b w:val="0"/>
          <w:color w:val="000000"/>
          <w:szCs w:val="16"/>
          <w:u w:val="none"/>
        </w:rPr>
        <w:t xml:space="preserve">.  </w:t>
      </w:r>
      <w:r>
        <w:t>If at any time after [the earlier of (i) [three (3) - five (5) years] after the date of this Agreement or (ii)] [one hundred eighty (</w:t>
      </w:r>
      <w:r>
        <w:rPr>
          <w:lang w:val="en-US"/>
        </w:rPr>
        <w:t>1</w:t>
      </w:r>
      <w:r>
        <w:t>80)] days</w:t>
      </w:r>
      <w:bookmarkStart w:id="180" w:name="_DV_M116"/>
      <w:bookmarkEnd w:id="180"/>
      <w:r>
        <w:rPr>
          <w:rStyle w:val="FootnoteReference"/>
        </w:rPr>
        <w:footnoteReference w:id="11"/>
      </w:r>
      <w:r>
        <w:t xml:space="preserve"> after the effective date of the registration statement for the IPO, the Company receives a request from Holders of [_______ percent (___%)]</w:t>
      </w:r>
      <w:r>
        <w:rPr>
          <w:rStyle w:val="FootnoteReference"/>
        </w:rPr>
        <w:footnoteReference w:id="12"/>
      </w:r>
      <w:r>
        <w:rPr>
          <w:lang w:val="en-US"/>
        </w:rPr>
        <w:t xml:space="preserve"> </w:t>
      </w:r>
      <w:r>
        <w:t xml:space="preserve">of the Registrable Securities then outstanding that the Company </w:t>
      </w:r>
      <w:r>
        <w:rPr>
          <w:rStyle w:val="DeltaViewInsertion"/>
          <w:b w:val="0"/>
          <w:color w:val="000000"/>
          <w:szCs w:val="16"/>
          <w:u w:val="none"/>
        </w:rPr>
        <w:t>file</w:t>
      </w:r>
      <w:r>
        <w:t xml:space="preserve"> a </w:t>
      </w:r>
      <w:r>
        <w:rPr>
          <w:rStyle w:val="DeltaViewInsertion"/>
          <w:b w:val="0"/>
          <w:color w:val="000000"/>
          <w:szCs w:val="16"/>
          <w:u w:val="none"/>
        </w:rPr>
        <w:t xml:space="preserve">Form S-1 </w:t>
      </w:r>
      <w:r>
        <w:t>registration</w:t>
      </w:r>
      <w:r>
        <w:rPr>
          <w:rStyle w:val="DeltaViewInsertion"/>
          <w:b w:val="0"/>
          <w:color w:val="000000"/>
          <w:szCs w:val="16"/>
          <w:u w:val="none"/>
        </w:rPr>
        <w:t xml:space="preserve"> statement</w:t>
      </w:r>
      <w:r>
        <w:rPr>
          <w:b/>
        </w:rPr>
        <w:t xml:space="preserve"> </w:t>
      </w:r>
      <w:r>
        <w:t>with respect to [at least forty percent (40%)]</w:t>
      </w:r>
      <w:bookmarkStart w:id="181" w:name="_DV_M118"/>
      <w:bookmarkEnd w:id="181"/>
      <w:r>
        <w:rPr>
          <w:rStyle w:val="FootnoteReference"/>
        </w:rPr>
        <w:footnoteReference w:id="13"/>
      </w:r>
      <w:r>
        <w:t xml:space="preserve"> of the Registrable Securities then outstanding [(or a lesser percent if the anticipated aggregate offering price, net of Selling Expenses, would exceed $[5-15] million)], then the Company shall (</w:t>
      </w:r>
      <w:r>
        <w:rPr>
          <w:lang w:val="en-US"/>
        </w:rPr>
        <w:t>x</w:t>
      </w:r>
      <w:r>
        <w:t>) within ten (10) days after the date such request is given, give notice thereof (the “</w:t>
      </w:r>
      <w:r>
        <w:rPr>
          <w:b/>
        </w:rPr>
        <w:t>Demand Notice</w:t>
      </w:r>
      <w:r>
        <w:t>”) to all Holders other than the Initiating Holders; and (</w:t>
      </w:r>
      <w:r>
        <w:rPr>
          <w:lang w:val="en-US"/>
        </w:rPr>
        <w:t>y</w:t>
      </w:r>
      <w:r>
        <w:t>) as soon as practicable, and in any event within sixty (60) days after the date such request is given by the Initiating Holders, file a</w:t>
      </w:r>
      <w:r>
        <w:rPr>
          <w:rStyle w:val="DeltaViewInsertion"/>
          <w:b w:val="0"/>
          <w:color w:val="000000"/>
          <w:szCs w:val="16"/>
          <w:u w:val="none"/>
        </w:rPr>
        <w:t xml:space="preserve"> Form S-1</w:t>
      </w:r>
      <w:r>
        <w:t xml:space="preserve"> registration statement under the Securities Act covering all Registrable Securities that the I</w:t>
      </w:r>
      <w:r>
        <w:rPr>
          <w:rStyle w:val="DeltaViewInsertion"/>
          <w:b w:val="0"/>
          <w:color w:val="000000"/>
          <w:szCs w:val="16"/>
          <w:u w:val="none"/>
        </w:rPr>
        <w:t xml:space="preserve">nitiating </w:t>
      </w:r>
      <w:r>
        <w:t xml:space="preserve">Holders </w:t>
      </w:r>
      <w:r>
        <w:rPr>
          <w:rStyle w:val="DeltaViewInsertion"/>
          <w:b w:val="0"/>
          <w:color w:val="000000"/>
          <w:szCs w:val="16"/>
          <w:u w:val="none"/>
        </w:rPr>
        <w:t>requested</w:t>
      </w:r>
      <w:r>
        <w:rPr>
          <w:b/>
        </w:rPr>
        <w:t xml:space="preserve"> </w:t>
      </w:r>
      <w:r>
        <w:t xml:space="preserve">to be registered and </w:t>
      </w:r>
      <w:r>
        <w:rPr>
          <w:rStyle w:val="DeltaViewInsertion"/>
          <w:b w:val="0"/>
          <w:color w:val="000000"/>
          <w:szCs w:val="16"/>
          <w:u w:val="none"/>
        </w:rPr>
        <w:t xml:space="preserve">any additional Registrable Securities requested to be included in such registration by any other Holders, as specified by notice given by each such Holder to the Company within [twenty (20)] days of the date the Demand Notice is given, and in each case, </w:t>
      </w:r>
      <w:r>
        <w:t xml:space="preserve">subject to the limitations of </w:t>
      </w:r>
      <w:r>
        <w:rPr>
          <w:u w:val="single"/>
        </w:rPr>
        <w:t>Subsection</w:t>
      </w:r>
      <w:r>
        <w:rPr>
          <w:u w:val="single"/>
          <w:lang w:val="en-US"/>
        </w:rPr>
        <w:t>s</w:t>
      </w:r>
      <w:r>
        <w:rPr>
          <w:u w:val="single"/>
        </w:rPr>
        <w:t xml:space="preserve"> </w:t>
      </w:r>
      <w:bookmarkStart w:id="182" w:name="_DV_M119"/>
      <w:bookmarkEnd w:id="182"/>
      <w:r>
        <w:rPr>
          <w:u w:val="single"/>
        </w:rPr>
        <w:t>2.1</w:t>
      </w:r>
      <w:r>
        <w:rPr>
          <w:u w:val="single"/>
        </w:rPr>
        <w:fldChar w:fldCharType="begin"/>
      </w:r>
      <w:r>
        <w:rPr>
          <w:u w:val="single"/>
        </w:rPr>
        <w:instrText xml:space="preserve"> REF _Ref264905027 \r \h </w:instrText>
      </w:r>
      <w:r>
        <w:rPr>
          <w:u w:val="single"/>
        </w:rPr>
      </w:r>
      <w:r>
        <w:rPr>
          <w:u w:val="single"/>
        </w:rPr>
        <w:fldChar w:fldCharType="separate"/>
      </w:r>
      <w:r w:rsidR="00222212">
        <w:rPr>
          <w:u w:val="single"/>
        </w:rPr>
        <w:t>(c)</w:t>
      </w:r>
      <w:r>
        <w:rPr>
          <w:u w:val="single"/>
        </w:rPr>
        <w:fldChar w:fldCharType="end"/>
      </w:r>
      <w:r>
        <w:rPr>
          <w:rStyle w:val="DeltaViewInsertion"/>
          <w:b w:val="0"/>
          <w:color w:val="000000"/>
          <w:szCs w:val="16"/>
          <w:u w:val="none"/>
        </w:rPr>
        <w:t xml:space="preserve"> and </w:t>
      </w:r>
      <w:r>
        <w:rPr>
          <w:rStyle w:val="DeltaViewInsertion"/>
          <w:b w:val="0"/>
          <w:color w:val="000000"/>
          <w:szCs w:val="16"/>
          <w:u w:val="single"/>
        </w:rPr>
        <w:fldChar w:fldCharType="begin"/>
      </w:r>
      <w:r>
        <w:rPr>
          <w:rStyle w:val="DeltaViewInsertion"/>
          <w:b w:val="0"/>
          <w:color w:val="000000"/>
          <w:szCs w:val="16"/>
          <w:u w:val="single"/>
        </w:rPr>
        <w:instrText xml:space="preserve"> REF _Ref264905047 \r \h </w:instrText>
      </w:r>
      <w:r>
        <w:rPr>
          <w:rStyle w:val="DeltaViewInsertion"/>
          <w:b w:val="0"/>
          <w:color w:val="000000"/>
          <w:szCs w:val="16"/>
          <w:u w:val="single"/>
        </w:rPr>
      </w:r>
      <w:r>
        <w:rPr>
          <w:rStyle w:val="DeltaViewInsertion"/>
          <w:b w:val="0"/>
          <w:color w:val="000000"/>
          <w:szCs w:val="16"/>
          <w:u w:val="single"/>
        </w:rPr>
        <w:fldChar w:fldCharType="separate"/>
      </w:r>
      <w:r w:rsidR="00222212">
        <w:rPr>
          <w:rStyle w:val="DeltaViewInsertion"/>
          <w:b w:val="0"/>
          <w:color w:val="000000"/>
          <w:szCs w:val="16"/>
          <w:u w:val="single"/>
        </w:rPr>
        <w:t>2.3</w:t>
      </w:r>
      <w:r>
        <w:rPr>
          <w:rStyle w:val="DeltaViewInsertion"/>
          <w:b w:val="0"/>
          <w:color w:val="000000"/>
          <w:szCs w:val="16"/>
          <w:u w:val="single"/>
        </w:rPr>
        <w:fldChar w:fldCharType="end"/>
      </w:r>
      <w:r>
        <w:rPr>
          <w:rStyle w:val="DeltaViewInsertion"/>
          <w:b w:val="0"/>
          <w:color w:val="000000"/>
          <w:szCs w:val="16"/>
          <w:u w:val="single"/>
        </w:rPr>
        <w:t>.</w:t>
      </w:r>
      <w:bookmarkEnd w:id="177"/>
      <w:bookmarkEnd w:id="178"/>
      <w:bookmarkEnd w:id="179"/>
    </w:p>
    <w:p w:rsidR="00B95ADB" w:rsidRDefault="00B95ADB">
      <w:pPr>
        <w:pStyle w:val="Heading3"/>
        <w:rPr>
          <w:b/>
        </w:rPr>
      </w:pPr>
      <w:bookmarkStart w:id="183" w:name="_DV_M120"/>
      <w:bookmarkStart w:id="184" w:name="_Toc136067355"/>
      <w:bookmarkStart w:id="185" w:name="_Ref264905145"/>
      <w:bookmarkStart w:id="186" w:name="_Ref264905413"/>
      <w:bookmarkEnd w:id="183"/>
      <w:r>
        <w:rPr>
          <w:rStyle w:val="DeltaViewInsertion"/>
          <w:b w:val="0"/>
          <w:color w:val="000000"/>
          <w:szCs w:val="16"/>
          <w:u w:val="single"/>
        </w:rPr>
        <w:t>Form S-3 Demand</w:t>
      </w:r>
      <w:r>
        <w:rPr>
          <w:rStyle w:val="DeltaViewInsertion"/>
          <w:b w:val="0"/>
          <w:color w:val="000000"/>
          <w:szCs w:val="16"/>
          <w:u w:val="none"/>
        </w:rPr>
        <w:t xml:space="preserve">.  If at any time when it is eligible to use a Form S-3 registration statement, the Company receives a request from Holders of at least [ten-thirty] percent ([10-30]%) of the Registrable Securities then outstanding that the Company file a Form S-3 registration statement with respect to outstanding Registrable Securities of such Holders having an anticipated aggregate offering price, net of Selling Expenses, of at least $[1-5] million, then the Company shall (i) within ten (10) days after the date such request is given, give a Demand Notice to all Holders other than the Initiating Holders; and (ii) as soon as practicable, and in any event within [forty-five (45)] days after the date such request is given by the Initiating Holders, file a Form S-3 registration statement under the Securities Act covering all Registrable Securities requested to be included in such registration by any other Holders, as specified by notice given by each such Holder to the Company within [twenty (20)] days of the date the Demand Notice is given, and in each case, subject to the limitations of </w:t>
      </w:r>
      <w:r>
        <w:rPr>
          <w:rStyle w:val="DeltaViewInsertion"/>
          <w:b w:val="0"/>
          <w:color w:val="000000"/>
          <w:szCs w:val="16"/>
          <w:u w:val="single"/>
        </w:rPr>
        <w:t>Subsection</w:t>
      </w:r>
      <w:r>
        <w:rPr>
          <w:rStyle w:val="DeltaViewInsertion"/>
          <w:b w:val="0"/>
          <w:color w:val="000000"/>
          <w:szCs w:val="16"/>
          <w:u w:val="single"/>
          <w:lang w:val="en-US"/>
        </w:rPr>
        <w:t>s</w:t>
      </w:r>
      <w:r>
        <w:rPr>
          <w:rStyle w:val="DeltaViewInsertion"/>
          <w:b w:val="0"/>
          <w:color w:val="000000"/>
          <w:szCs w:val="16"/>
          <w:u w:val="single"/>
        </w:rPr>
        <w:t xml:space="preserve"> 2.1</w:t>
      </w:r>
      <w:r>
        <w:rPr>
          <w:rStyle w:val="DeltaViewInsertion"/>
          <w:b w:val="0"/>
          <w:color w:val="000000"/>
          <w:szCs w:val="16"/>
          <w:u w:val="single"/>
        </w:rPr>
        <w:fldChar w:fldCharType="begin"/>
      </w:r>
      <w:r>
        <w:rPr>
          <w:rStyle w:val="DeltaViewInsertion"/>
          <w:b w:val="0"/>
          <w:color w:val="000000"/>
          <w:szCs w:val="16"/>
          <w:u w:val="single"/>
        </w:rPr>
        <w:instrText xml:space="preserve"> REF _Ref264905056 \r \h </w:instrText>
      </w:r>
      <w:r>
        <w:rPr>
          <w:rStyle w:val="DeltaViewInsertion"/>
          <w:b w:val="0"/>
          <w:color w:val="000000"/>
          <w:szCs w:val="16"/>
          <w:u w:val="single"/>
        </w:rPr>
      </w:r>
      <w:r>
        <w:rPr>
          <w:rStyle w:val="DeltaViewInsertion"/>
          <w:b w:val="0"/>
          <w:color w:val="000000"/>
          <w:szCs w:val="16"/>
          <w:u w:val="single"/>
        </w:rPr>
        <w:fldChar w:fldCharType="separate"/>
      </w:r>
      <w:r w:rsidR="00222212">
        <w:rPr>
          <w:rStyle w:val="DeltaViewInsertion"/>
          <w:b w:val="0"/>
          <w:color w:val="000000"/>
          <w:szCs w:val="16"/>
          <w:u w:val="single"/>
        </w:rPr>
        <w:t>(c)</w:t>
      </w:r>
      <w:r>
        <w:rPr>
          <w:rStyle w:val="DeltaViewInsertion"/>
          <w:b w:val="0"/>
          <w:color w:val="000000"/>
          <w:szCs w:val="16"/>
          <w:u w:val="single"/>
        </w:rPr>
        <w:fldChar w:fldCharType="end"/>
      </w:r>
      <w:r>
        <w:rPr>
          <w:rStyle w:val="DeltaViewInsertion"/>
          <w:b w:val="0"/>
          <w:color w:val="000000"/>
          <w:szCs w:val="16"/>
          <w:u w:val="none"/>
        </w:rPr>
        <w:t xml:space="preserve"> and </w:t>
      </w:r>
      <w:r>
        <w:rPr>
          <w:rStyle w:val="DeltaViewInsertion"/>
          <w:b w:val="0"/>
          <w:color w:val="000000"/>
          <w:szCs w:val="16"/>
          <w:u w:val="single"/>
        </w:rPr>
        <w:fldChar w:fldCharType="begin"/>
      </w:r>
      <w:r>
        <w:rPr>
          <w:rStyle w:val="DeltaViewInsertion"/>
          <w:b w:val="0"/>
          <w:color w:val="000000"/>
          <w:szCs w:val="16"/>
          <w:u w:val="single"/>
        </w:rPr>
        <w:instrText xml:space="preserve"> REF _Ref264905068 \r \h </w:instrText>
      </w:r>
      <w:r>
        <w:rPr>
          <w:rStyle w:val="DeltaViewInsertion"/>
          <w:b w:val="0"/>
          <w:color w:val="000000"/>
          <w:szCs w:val="16"/>
          <w:u w:val="single"/>
        </w:rPr>
      </w:r>
      <w:r>
        <w:rPr>
          <w:rStyle w:val="DeltaViewInsertion"/>
          <w:b w:val="0"/>
          <w:color w:val="000000"/>
          <w:szCs w:val="16"/>
          <w:u w:val="single"/>
        </w:rPr>
        <w:fldChar w:fldCharType="separate"/>
      </w:r>
      <w:r w:rsidR="00222212">
        <w:rPr>
          <w:rStyle w:val="DeltaViewInsertion"/>
          <w:b w:val="0"/>
          <w:color w:val="000000"/>
          <w:szCs w:val="16"/>
          <w:u w:val="single"/>
        </w:rPr>
        <w:t>2.3</w:t>
      </w:r>
      <w:r>
        <w:rPr>
          <w:rStyle w:val="DeltaViewInsertion"/>
          <w:b w:val="0"/>
          <w:color w:val="000000"/>
          <w:szCs w:val="16"/>
          <w:u w:val="single"/>
        </w:rPr>
        <w:fldChar w:fldCharType="end"/>
      </w:r>
      <w:r>
        <w:rPr>
          <w:rStyle w:val="DeltaViewInsertion"/>
          <w:b w:val="0"/>
          <w:color w:val="000000"/>
          <w:szCs w:val="16"/>
          <w:u w:val="none"/>
        </w:rPr>
        <w:t>.</w:t>
      </w:r>
      <w:bookmarkStart w:id="187" w:name="_DV_M121"/>
      <w:bookmarkEnd w:id="184"/>
      <w:bookmarkEnd w:id="185"/>
      <w:bookmarkEnd w:id="186"/>
      <w:bookmarkEnd w:id="187"/>
      <w:r>
        <w:rPr>
          <w:rStyle w:val="DeltaViewInsertion"/>
          <w:b w:val="0"/>
          <w:color w:val="000000"/>
          <w:szCs w:val="16"/>
          <w:u w:val="none"/>
        </w:rPr>
        <w:t xml:space="preserve"> </w:t>
      </w:r>
    </w:p>
    <w:p w:rsidR="00B95ADB" w:rsidRDefault="00B95ADB">
      <w:pPr>
        <w:pStyle w:val="Heading3"/>
        <w:rPr>
          <w:rStyle w:val="DeltaViewInsertion"/>
          <w:b w:val="0"/>
          <w:color w:val="000000"/>
          <w:szCs w:val="16"/>
          <w:u w:val="none"/>
        </w:rPr>
      </w:pPr>
      <w:bookmarkStart w:id="188" w:name="_DV_M122"/>
      <w:bookmarkStart w:id="189" w:name="_Toc136067356"/>
      <w:bookmarkStart w:id="190" w:name="_Ref264905027"/>
      <w:bookmarkStart w:id="191" w:name="_Ref264905056"/>
      <w:bookmarkEnd w:id="188"/>
      <w:r>
        <w:t xml:space="preserve">Notwithstanding the foregoing obligations, if the Company furnishes to Holders requesting a registration pursuant to this </w:t>
      </w:r>
      <w:r>
        <w:rPr>
          <w:u w:val="single"/>
        </w:rPr>
        <w:t xml:space="preserve">Subsection </w:t>
      </w:r>
      <w:r>
        <w:rPr>
          <w:u w:val="single"/>
        </w:rPr>
        <w:fldChar w:fldCharType="begin"/>
      </w:r>
      <w:r>
        <w:rPr>
          <w:u w:val="single"/>
        </w:rPr>
        <w:instrText xml:space="preserve"> REF _Ref264905078 \r \h </w:instrText>
      </w:r>
      <w:r>
        <w:rPr>
          <w:u w:val="single"/>
        </w:rPr>
      </w:r>
      <w:r>
        <w:rPr>
          <w:u w:val="single"/>
        </w:rPr>
        <w:fldChar w:fldCharType="separate"/>
      </w:r>
      <w:r w:rsidR="00222212">
        <w:rPr>
          <w:u w:val="single"/>
        </w:rPr>
        <w:t>2.1</w:t>
      </w:r>
      <w:r>
        <w:rPr>
          <w:u w:val="single"/>
        </w:rPr>
        <w:fldChar w:fldCharType="end"/>
      </w:r>
      <w:r>
        <w:t xml:space="preserve"> a certificate signed by the Company’s chief executive officer stating that in the good faith judgment of the Board of Directors it would be materially detrimental to the Company and its stockholders for such registration statement to either become effective or remain effective for as long as such registration statement otherwise would be required to remain effective, because such action would (i) materially interfere with a significant acquisition, corporate reorganization, or other similar transaction involving the Company; (ii) require premature disclosure of material information that the Company has a bona fide business purpose for preserving as confidential; or (iii) render the Company unable to comply with requirements under the Securities Act or Exchange Act,</w:t>
      </w:r>
      <w:bookmarkStart w:id="192" w:name="_DV_M123"/>
      <w:bookmarkEnd w:id="192"/>
      <w:r>
        <w:rPr>
          <w:rStyle w:val="FootnoteReference"/>
        </w:rPr>
        <w:footnoteReference w:id="14"/>
      </w:r>
      <w:r>
        <w:t xml:space="preserve"> then the Company shall have the right to defer taking action with respect to such filing[, and any time periods with respect to filing or effectiveness thereof shall be tolled correspondingly,] for a period of not more than [thirty (30) - one hundred twenty (120)] days after the request of the Initiating Holders is given; </w:t>
      </w:r>
      <w:r>
        <w:rPr>
          <w:u w:val="single"/>
        </w:rPr>
        <w:t>provided</w:t>
      </w:r>
      <w:r>
        <w:t xml:space="preserve">, </w:t>
      </w:r>
      <w:r>
        <w:rPr>
          <w:u w:val="single"/>
        </w:rPr>
        <w:t>however</w:t>
      </w:r>
      <w:r>
        <w:t>, that the Company may not invoke this right more than [once] in any twelve (12) month period</w:t>
      </w:r>
      <w:bookmarkStart w:id="193" w:name="_DV_M124"/>
      <w:bookmarkEnd w:id="193"/>
      <w:r>
        <w:rPr>
          <w:rStyle w:val="FootnoteReference"/>
        </w:rPr>
        <w:footnoteReference w:id="15"/>
      </w:r>
      <w:r>
        <w:t xml:space="preserve">[; and </w:t>
      </w:r>
      <w:r>
        <w:rPr>
          <w:u w:val="single"/>
        </w:rPr>
        <w:t>provided</w:t>
      </w:r>
      <w:r>
        <w:t xml:space="preserve"> </w:t>
      </w:r>
      <w:r>
        <w:rPr>
          <w:u w:val="single"/>
        </w:rPr>
        <w:t>further</w:t>
      </w:r>
      <w:r>
        <w:t xml:space="preserve"> that the Company shall not register any securities for its own account or that of any other stockholder during such [thirty (30) - one hundred twenty (120)] day period other than </w:t>
      </w:r>
      <w:r>
        <w:rPr>
          <w:rStyle w:val="DeltaViewInsertion"/>
          <w:b w:val="0"/>
          <w:color w:val="000000"/>
          <w:szCs w:val="16"/>
          <w:u w:val="none"/>
        </w:rPr>
        <w:t>[an Excluded Registration] [</w:t>
      </w:r>
      <w:r>
        <w:rPr>
          <w:rStyle w:val="DeltaViewInsertion"/>
          <w:b w:val="0"/>
          <w:i/>
          <w:color w:val="000000"/>
          <w:szCs w:val="16"/>
          <w:u w:val="none"/>
        </w:rPr>
        <w:t>Alternative:</w:t>
      </w:r>
      <w:r>
        <w:rPr>
          <w:rStyle w:val="DeltaViewInsertion"/>
          <w:b w:val="0"/>
          <w:color w:val="000000"/>
          <w:szCs w:val="16"/>
          <w:u w:val="none"/>
        </w:rPr>
        <w:t xml:space="preserve"> </w:t>
      </w:r>
      <w:r>
        <w:t xml:space="preserve">pursuant to </w:t>
      </w:r>
      <w:r>
        <w:rPr>
          <w:rStyle w:val="DeltaViewInsertion"/>
          <w:b w:val="0"/>
          <w:color w:val="000000"/>
          <w:szCs w:val="16"/>
          <w:u w:val="none"/>
        </w:rPr>
        <w:t xml:space="preserve">a registration relating to the sale </w:t>
      </w:r>
      <w:r w:rsidR="00381746">
        <w:rPr>
          <w:rStyle w:val="DeltaViewInsertion"/>
          <w:b w:val="0"/>
          <w:color w:val="000000"/>
          <w:szCs w:val="16"/>
          <w:u w:val="none"/>
          <w:lang w:val="en-US"/>
        </w:rPr>
        <w:t xml:space="preserve">or grant </w:t>
      </w:r>
      <w:r>
        <w:rPr>
          <w:rStyle w:val="DeltaViewInsertion"/>
          <w:b w:val="0"/>
          <w:color w:val="000000"/>
          <w:szCs w:val="16"/>
          <w:u w:val="none"/>
        </w:rPr>
        <w:t>of securities to employees of the Company or a subsidiary pursuant to a stock option, stock purchase,</w:t>
      </w:r>
      <w:r w:rsidR="00381746">
        <w:rPr>
          <w:rStyle w:val="DeltaViewInsertion"/>
          <w:b w:val="0"/>
          <w:color w:val="000000"/>
          <w:szCs w:val="16"/>
          <w:u w:val="none"/>
          <w:lang w:val="en-US"/>
        </w:rPr>
        <w:t xml:space="preserve"> equity incentive</w:t>
      </w:r>
      <w:r>
        <w:rPr>
          <w:rStyle w:val="DeltaViewInsertion"/>
          <w:b w:val="0"/>
          <w:color w:val="000000"/>
          <w:szCs w:val="16"/>
          <w:u w:val="none"/>
        </w:rPr>
        <w:t xml:space="preserve"> or similar plan; a registration on any form that does not include substantially the same information as would be required to be included in a registration statement covering the sale of the Registrable Securities; or a registration in which the only Common Stock being registered is Common Stock issuable upon conversion of debt securities that are also being registered].</w:t>
      </w:r>
      <w:bookmarkEnd w:id="189"/>
      <w:bookmarkEnd w:id="190"/>
      <w:bookmarkEnd w:id="191"/>
      <w:r>
        <w:rPr>
          <w:rStyle w:val="FootnoteReference"/>
          <w:color w:val="000000"/>
        </w:rPr>
        <w:footnoteReference w:id="16"/>
      </w:r>
    </w:p>
    <w:p w:rsidR="00B95ADB" w:rsidRDefault="00B95ADB">
      <w:pPr>
        <w:pStyle w:val="Heading3"/>
      </w:pPr>
      <w:bookmarkStart w:id="194" w:name="_DV_M125"/>
      <w:bookmarkStart w:id="195" w:name="_Toc136067357"/>
      <w:bookmarkStart w:id="196" w:name="_Ref264905169"/>
      <w:bookmarkStart w:id="197" w:name="_Ref474936418"/>
      <w:bookmarkEnd w:id="194"/>
      <w:r>
        <w:rPr>
          <w:color w:val="000000"/>
          <w:szCs w:val="16"/>
        </w:rPr>
        <w:t xml:space="preserve">The Company shall not be obligated to effect, or to take any action to effect, any registration pursuant to </w:t>
      </w:r>
      <w:r>
        <w:rPr>
          <w:color w:val="000000"/>
          <w:szCs w:val="16"/>
          <w:u w:val="single"/>
        </w:rPr>
        <w:t xml:space="preserve">Subsection </w:t>
      </w:r>
      <w:bookmarkStart w:id="198" w:name="_DV_M126"/>
      <w:bookmarkEnd w:id="198"/>
      <w:r>
        <w:rPr>
          <w:color w:val="000000"/>
          <w:szCs w:val="16"/>
          <w:u w:val="single"/>
        </w:rPr>
        <w:t>2.1</w:t>
      </w:r>
      <w:r>
        <w:rPr>
          <w:color w:val="000000"/>
          <w:szCs w:val="16"/>
          <w:u w:val="single"/>
        </w:rPr>
        <w:fldChar w:fldCharType="begin"/>
      </w:r>
      <w:r>
        <w:rPr>
          <w:color w:val="000000"/>
          <w:szCs w:val="16"/>
          <w:u w:val="single"/>
        </w:rPr>
        <w:instrText xml:space="preserve"> REF _Ref264905119 \r \h </w:instrText>
      </w:r>
      <w:r>
        <w:rPr>
          <w:color w:val="000000"/>
          <w:szCs w:val="16"/>
          <w:u w:val="single"/>
        </w:rPr>
      </w:r>
      <w:r>
        <w:rPr>
          <w:color w:val="000000"/>
          <w:szCs w:val="16"/>
          <w:u w:val="single"/>
        </w:rPr>
        <w:fldChar w:fldCharType="separate"/>
      </w:r>
      <w:r w:rsidR="00222212">
        <w:rPr>
          <w:color w:val="000000"/>
          <w:szCs w:val="16"/>
          <w:u w:val="single"/>
        </w:rPr>
        <w:t>(a)</w:t>
      </w:r>
      <w:r>
        <w:rPr>
          <w:color w:val="000000"/>
          <w:szCs w:val="16"/>
          <w:u w:val="single"/>
        </w:rPr>
        <w:fldChar w:fldCharType="end"/>
      </w:r>
      <w:r>
        <w:rPr>
          <w:color w:val="000000"/>
          <w:szCs w:val="16"/>
          <w:u w:val="single"/>
        </w:rPr>
        <w:t>(i)</w:t>
      </w:r>
      <w:r>
        <w:rPr>
          <w:color w:val="000000"/>
          <w:szCs w:val="16"/>
        </w:rPr>
        <w:t xml:space="preserve"> during the period that is </w:t>
      </w:r>
      <w:r>
        <w:t xml:space="preserve">[sixty (60)] days before the Company’s good faith estimate of the date of filing of, and ending on a date that is [one hundred eighty (180)] days after the effective date of, a Company-initiated registration, </w:t>
      </w:r>
      <w:r>
        <w:rPr>
          <w:u w:val="single"/>
        </w:rPr>
        <w:t>provided</w:t>
      </w:r>
      <w:r>
        <w:t xml:space="preserve"> that the Company is actively employing in good faith commercially reasonable efforts to cause such registration statement to become effective; </w:t>
      </w:r>
      <w:r>
        <w:rPr>
          <w:color w:val="000000"/>
          <w:szCs w:val="16"/>
        </w:rPr>
        <w:t>(ii) after the Company has effected [one  - two] registration[s]</w:t>
      </w:r>
      <w:r>
        <w:rPr>
          <w:rStyle w:val="DeltaViewInsertion"/>
          <w:b w:val="0"/>
          <w:color w:val="000000"/>
          <w:szCs w:val="16"/>
          <w:u w:val="none"/>
        </w:rPr>
        <w:t xml:space="preserve"> pursuant to </w:t>
      </w:r>
      <w:r>
        <w:rPr>
          <w:rStyle w:val="DeltaViewInsertion"/>
          <w:b w:val="0"/>
          <w:color w:val="000000"/>
          <w:szCs w:val="16"/>
          <w:u w:val="single"/>
        </w:rPr>
        <w:t xml:space="preserve">Subsection </w:t>
      </w:r>
      <w:r>
        <w:rPr>
          <w:color w:val="000000"/>
          <w:szCs w:val="16"/>
          <w:u w:val="single"/>
        </w:rPr>
        <w:t>2.1</w:t>
      </w:r>
      <w:r>
        <w:rPr>
          <w:color w:val="000000"/>
          <w:szCs w:val="16"/>
          <w:u w:val="single"/>
        </w:rPr>
        <w:fldChar w:fldCharType="begin"/>
      </w:r>
      <w:r>
        <w:rPr>
          <w:color w:val="000000"/>
          <w:szCs w:val="16"/>
          <w:u w:val="single"/>
        </w:rPr>
        <w:instrText xml:space="preserve"> REF _Ref264905119 \r \h </w:instrText>
      </w:r>
      <w:r>
        <w:rPr>
          <w:color w:val="000000"/>
          <w:szCs w:val="16"/>
          <w:u w:val="single"/>
        </w:rPr>
      </w:r>
      <w:r>
        <w:rPr>
          <w:color w:val="000000"/>
          <w:szCs w:val="16"/>
          <w:u w:val="single"/>
        </w:rPr>
        <w:fldChar w:fldCharType="separate"/>
      </w:r>
      <w:r w:rsidR="00222212">
        <w:rPr>
          <w:color w:val="000000"/>
          <w:szCs w:val="16"/>
          <w:u w:val="single"/>
        </w:rPr>
        <w:t>(a)</w:t>
      </w:r>
      <w:r>
        <w:rPr>
          <w:color w:val="000000"/>
          <w:szCs w:val="16"/>
          <w:u w:val="single"/>
        </w:rPr>
        <w:fldChar w:fldCharType="end"/>
      </w:r>
      <w:r>
        <w:rPr>
          <w:color w:val="000000"/>
          <w:szCs w:val="16"/>
        </w:rPr>
        <w:t xml:space="preserve">; or (iii) if the Initiating Holders propose to dispose of shares of Registrable Securities that may be immediately registered on Form S-3 pursuant to a request made pursuant to </w:t>
      </w:r>
      <w:r>
        <w:rPr>
          <w:color w:val="000000"/>
          <w:szCs w:val="16"/>
          <w:u w:val="single"/>
        </w:rPr>
        <w:t>Subsection 2.1</w:t>
      </w:r>
      <w:r>
        <w:rPr>
          <w:rStyle w:val="DeltaViewInsertion"/>
          <w:b w:val="0"/>
          <w:color w:val="000000"/>
          <w:szCs w:val="16"/>
          <w:u w:val="single"/>
        </w:rPr>
        <w:fldChar w:fldCharType="begin"/>
      </w:r>
      <w:r>
        <w:rPr>
          <w:color w:val="000000"/>
          <w:szCs w:val="16"/>
          <w:u w:val="single"/>
        </w:rPr>
        <w:instrText xml:space="preserve"> REF _Ref264905145 \r \h </w:instrText>
      </w:r>
      <w:r>
        <w:rPr>
          <w:rStyle w:val="DeltaViewInsertion"/>
          <w:b w:val="0"/>
          <w:color w:val="000000"/>
          <w:szCs w:val="16"/>
          <w:u w:val="single"/>
        </w:rPr>
      </w:r>
      <w:r>
        <w:rPr>
          <w:rStyle w:val="DeltaViewInsertion"/>
          <w:b w:val="0"/>
          <w:color w:val="000000"/>
          <w:szCs w:val="16"/>
          <w:u w:val="single"/>
        </w:rPr>
        <w:fldChar w:fldCharType="separate"/>
      </w:r>
      <w:r w:rsidR="00222212">
        <w:rPr>
          <w:color w:val="000000"/>
          <w:szCs w:val="16"/>
          <w:u w:val="single"/>
        </w:rPr>
        <w:t>(b)</w:t>
      </w:r>
      <w:r>
        <w:rPr>
          <w:rStyle w:val="DeltaViewInsertion"/>
          <w:b w:val="0"/>
          <w:color w:val="000000"/>
          <w:szCs w:val="16"/>
          <w:u w:val="single"/>
        </w:rPr>
        <w:fldChar w:fldCharType="end"/>
      </w:r>
      <w:r>
        <w:rPr>
          <w:rStyle w:val="DeltaViewInsertion"/>
          <w:b w:val="0"/>
          <w:color w:val="000000"/>
          <w:szCs w:val="16"/>
          <w:u w:val="none"/>
        </w:rPr>
        <w:t xml:space="preserve">.  The Company shall not be obligated to effect, or to take any action to effect, any registration pursuant to </w:t>
      </w:r>
      <w:r>
        <w:rPr>
          <w:rStyle w:val="DeltaViewInsertion"/>
          <w:b w:val="0"/>
          <w:color w:val="000000"/>
          <w:szCs w:val="16"/>
          <w:u w:val="single"/>
        </w:rPr>
        <w:t xml:space="preserve">Subsection </w:t>
      </w:r>
      <w:r>
        <w:rPr>
          <w:color w:val="000000"/>
          <w:szCs w:val="16"/>
          <w:u w:val="single"/>
        </w:rPr>
        <w:t>2.1</w:t>
      </w:r>
      <w:r>
        <w:rPr>
          <w:rStyle w:val="DeltaViewInsertion"/>
          <w:b w:val="0"/>
          <w:color w:val="000000"/>
          <w:szCs w:val="16"/>
          <w:u w:val="single"/>
        </w:rPr>
        <w:fldChar w:fldCharType="begin"/>
      </w:r>
      <w:r>
        <w:rPr>
          <w:color w:val="000000"/>
          <w:szCs w:val="16"/>
          <w:u w:val="single"/>
        </w:rPr>
        <w:instrText xml:space="preserve"> REF _Ref264905145 \r \h </w:instrText>
      </w:r>
      <w:r>
        <w:rPr>
          <w:rStyle w:val="DeltaViewInsertion"/>
          <w:b w:val="0"/>
          <w:color w:val="000000"/>
          <w:szCs w:val="16"/>
          <w:u w:val="single"/>
        </w:rPr>
      </w:r>
      <w:r>
        <w:rPr>
          <w:rStyle w:val="DeltaViewInsertion"/>
          <w:b w:val="0"/>
          <w:color w:val="000000"/>
          <w:szCs w:val="16"/>
          <w:u w:val="single"/>
        </w:rPr>
        <w:fldChar w:fldCharType="separate"/>
      </w:r>
      <w:r w:rsidR="00222212">
        <w:rPr>
          <w:color w:val="000000"/>
          <w:szCs w:val="16"/>
          <w:u w:val="single"/>
        </w:rPr>
        <w:t>(b)</w:t>
      </w:r>
      <w:r>
        <w:rPr>
          <w:rStyle w:val="DeltaViewInsertion"/>
          <w:b w:val="0"/>
          <w:color w:val="000000"/>
          <w:szCs w:val="16"/>
          <w:u w:val="single"/>
        </w:rPr>
        <w:fldChar w:fldCharType="end"/>
      </w:r>
      <w:r>
        <w:rPr>
          <w:rStyle w:val="DeltaViewInsertion"/>
          <w:b w:val="0"/>
          <w:color w:val="000000"/>
          <w:szCs w:val="16"/>
          <w:u w:val="none"/>
        </w:rPr>
        <w:t xml:space="preserve"> (i) during the period that is [thirty (30)] days before the Company’s good faith estimate of the date of filing of, and ending on a date that is [ninety (90)] days after the effective date of, a Company-initiated registration, </w:t>
      </w:r>
      <w:r>
        <w:rPr>
          <w:rStyle w:val="DeltaViewInsertion"/>
          <w:b w:val="0"/>
          <w:color w:val="000000"/>
          <w:szCs w:val="16"/>
          <w:u w:val="single"/>
        </w:rPr>
        <w:t>provided</w:t>
      </w:r>
      <w:r>
        <w:rPr>
          <w:rStyle w:val="DeltaViewInsertion"/>
          <w:b w:val="0"/>
          <w:color w:val="000000"/>
          <w:szCs w:val="16"/>
          <w:u w:val="none"/>
        </w:rPr>
        <w:t xml:space="preserve"> that the Company is actively employing in good faith commercially reasonable efforts to cause such registration statement to become effective; or (ii) if the Company has effected [two] registration[s] pursuant to </w:t>
      </w:r>
      <w:r>
        <w:rPr>
          <w:rStyle w:val="DeltaViewInsertion"/>
          <w:b w:val="0"/>
          <w:color w:val="000000"/>
          <w:szCs w:val="16"/>
          <w:u w:val="single"/>
        </w:rPr>
        <w:t xml:space="preserve">Subsection </w:t>
      </w:r>
      <w:r>
        <w:rPr>
          <w:color w:val="000000"/>
          <w:szCs w:val="16"/>
          <w:u w:val="single"/>
        </w:rPr>
        <w:t>2.1</w:t>
      </w:r>
      <w:r>
        <w:rPr>
          <w:rStyle w:val="DeltaViewInsertion"/>
          <w:b w:val="0"/>
          <w:color w:val="000000"/>
          <w:szCs w:val="16"/>
          <w:u w:val="single"/>
        </w:rPr>
        <w:fldChar w:fldCharType="begin"/>
      </w:r>
      <w:r>
        <w:rPr>
          <w:color w:val="000000"/>
          <w:szCs w:val="16"/>
          <w:u w:val="single"/>
        </w:rPr>
        <w:instrText xml:space="preserve"> REF _Ref264905145 \r \h </w:instrText>
      </w:r>
      <w:r>
        <w:rPr>
          <w:rStyle w:val="DeltaViewInsertion"/>
          <w:b w:val="0"/>
          <w:color w:val="000000"/>
          <w:szCs w:val="16"/>
          <w:u w:val="single"/>
        </w:rPr>
      </w:r>
      <w:r>
        <w:rPr>
          <w:rStyle w:val="DeltaViewInsertion"/>
          <w:b w:val="0"/>
          <w:color w:val="000000"/>
          <w:szCs w:val="16"/>
          <w:u w:val="single"/>
        </w:rPr>
        <w:fldChar w:fldCharType="separate"/>
      </w:r>
      <w:r w:rsidR="00222212">
        <w:rPr>
          <w:color w:val="000000"/>
          <w:szCs w:val="16"/>
          <w:u w:val="single"/>
        </w:rPr>
        <w:t>(b)</w:t>
      </w:r>
      <w:r>
        <w:rPr>
          <w:rStyle w:val="DeltaViewInsertion"/>
          <w:b w:val="0"/>
          <w:color w:val="000000"/>
          <w:szCs w:val="16"/>
          <w:u w:val="single"/>
        </w:rPr>
        <w:fldChar w:fldCharType="end"/>
      </w:r>
      <w:r>
        <w:rPr>
          <w:rStyle w:val="DeltaViewInsertion"/>
          <w:b w:val="0"/>
          <w:color w:val="000000"/>
          <w:szCs w:val="16"/>
          <w:u w:val="none"/>
        </w:rPr>
        <w:t xml:space="preserve"> within the twelve (12) month period immediately preceding the date of such request.</w:t>
      </w:r>
      <w:r>
        <w:rPr>
          <w:color w:val="000000"/>
          <w:szCs w:val="16"/>
        </w:rPr>
        <w:t xml:space="preserve">  </w:t>
      </w:r>
      <w:r>
        <w:t xml:space="preserve">A registration shall not be counted as “effected” for purposes of this </w:t>
      </w:r>
      <w:r>
        <w:rPr>
          <w:u w:val="single"/>
        </w:rPr>
        <w:t xml:space="preserve">Subsection </w:t>
      </w:r>
      <w:bookmarkStart w:id="199" w:name="_DV_M127"/>
      <w:bookmarkEnd w:id="199"/>
      <w:r>
        <w:rPr>
          <w:u w:val="single"/>
        </w:rPr>
        <w:t>2.1</w:t>
      </w:r>
      <w:r>
        <w:rPr>
          <w:u w:val="single"/>
        </w:rPr>
        <w:fldChar w:fldCharType="begin"/>
      </w:r>
      <w:r>
        <w:rPr>
          <w:u w:val="single"/>
        </w:rPr>
        <w:instrText xml:space="preserve"> REF _Ref264905169 \r \h </w:instrText>
      </w:r>
      <w:r>
        <w:rPr>
          <w:u w:val="single"/>
        </w:rPr>
      </w:r>
      <w:r>
        <w:rPr>
          <w:u w:val="single"/>
        </w:rPr>
        <w:fldChar w:fldCharType="separate"/>
      </w:r>
      <w:r w:rsidR="00787C05">
        <w:rPr>
          <w:u w:val="single"/>
        </w:rPr>
        <w:t>(d)</w:t>
      </w:r>
      <w:r>
        <w:rPr>
          <w:u w:val="single"/>
        </w:rPr>
        <w:fldChar w:fldCharType="end"/>
      </w:r>
      <w:r>
        <w:t xml:space="preserve"> until such time as the applicable registration statement has been declared effective by the SEC, unless the Initiating Holders withdraw their request for such registration, elect not to pay the registration expenses therefor, </w:t>
      </w:r>
      <w:r>
        <w:rPr>
          <w:rStyle w:val="DeltaViewInsertion"/>
          <w:b w:val="0"/>
          <w:color w:val="000000"/>
          <w:szCs w:val="16"/>
          <w:u w:val="none"/>
        </w:rPr>
        <w:t xml:space="preserve">and forfeit their right to one demand registration statement </w:t>
      </w:r>
      <w:r>
        <w:t xml:space="preserve">pursuant to </w:t>
      </w:r>
      <w:r>
        <w:rPr>
          <w:u w:val="single"/>
        </w:rPr>
        <w:t xml:space="preserve">Subsection </w:t>
      </w:r>
      <w:r>
        <w:rPr>
          <w:rStyle w:val="DeltaViewInsertion"/>
          <w:b w:val="0"/>
          <w:color w:val="000000"/>
          <w:szCs w:val="16"/>
          <w:u w:val="single"/>
        </w:rPr>
        <w:fldChar w:fldCharType="begin"/>
      </w:r>
      <w:r>
        <w:rPr>
          <w:u w:val="single"/>
        </w:rPr>
        <w:instrText xml:space="preserve"> REF _Ref264905010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2.6</w:t>
      </w:r>
      <w:r>
        <w:rPr>
          <w:rStyle w:val="DeltaViewInsertion"/>
          <w:b w:val="0"/>
          <w:color w:val="000000"/>
          <w:szCs w:val="16"/>
          <w:u w:val="single"/>
        </w:rPr>
        <w:fldChar w:fldCharType="end"/>
      </w:r>
      <w:r>
        <w:rPr>
          <w:rStyle w:val="DeltaViewInsertion"/>
          <w:b w:val="0"/>
          <w:color w:val="000000"/>
          <w:szCs w:val="16"/>
          <w:u w:val="none"/>
        </w:rPr>
        <w:t xml:space="preserve">, in which case such withdrawn registration statement shall be counted as “effected” for purposes of this </w:t>
      </w:r>
      <w:bookmarkStart w:id="200" w:name="_DV_M128"/>
      <w:bookmarkEnd w:id="200"/>
      <w:r>
        <w:rPr>
          <w:rStyle w:val="DeltaViewInsertion"/>
          <w:b w:val="0"/>
          <w:color w:val="000000"/>
          <w:szCs w:val="16"/>
          <w:u w:val="single"/>
        </w:rPr>
        <w:t xml:space="preserve">Subsection </w:t>
      </w:r>
      <w:r>
        <w:rPr>
          <w:u w:val="single"/>
        </w:rPr>
        <w:t>2.1</w:t>
      </w:r>
      <w:r>
        <w:rPr>
          <w:u w:val="single"/>
        </w:rPr>
        <w:fldChar w:fldCharType="begin"/>
      </w:r>
      <w:r>
        <w:rPr>
          <w:u w:val="single"/>
        </w:rPr>
        <w:instrText xml:space="preserve"> REF _Ref264905169 \r \h </w:instrText>
      </w:r>
      <w:r>
        <w:rPr>
          <w:u w:val="single"/>
        </w:rPr>
      </w:r>
      <w:r>
        <w:rPr>
          <w:u w:val="single"/>
        </w:rPr>
        <w:fldChar w:fldCharType="separate"/>
      </w:r>
      <w:r w:rsidR="00787C05">
        <w:rPr>
          <w:u w:val="single"/>
        </w:rPr>
        <w:t>(d)</w:t>
      </w:r>
      <w:r>
        <w:rPr>
          <w:u w:val="single"/>
        </w:rPr>
        <w:fldChar w:fldCharType="end"/>
      </w:r>
      <w:r w:rsidR="00381746">
        <w:rPr>
          <w:lang w:val="en-US"/>
        </w:rPr>
        <w:t xml:space="preserve">; </w:t>
      </w:r>
      <w:r w:rsidR="00381746">
        <w:rPr>
          <w:color w:val="000000"/>
          <w:szCs w:val="16"/>
          <w:u w:val="single"/>
        </w:rPr>
        <w:t>provided</w:t>
      </w:r>
      <w:r w:rsidR="00381746">
        <w:rPr>
          <w:color w:val="000000"/>
          <w:szCs w:val="16"/>
        </w:rPr>
        <w:t xml:space="preserve">, </w:t>
      </w:r>
      <w:r w:rsidR="00381746">
        <w:t xml:space="preserve">that if such withdrawal is during a </w:t>
      </w:r>
      <w:r w:rsidR="00787C05">
        <w:rPr>
          <w:lang w:val="en-US"/>
        </w:rPr>
        <w:t>period</w:t>
      </w:r>
      <w:r w:rsidR="00381746">
        <w:t xml:space="preserve"> the Company</w:t>
      </w:r>
      <w:r w:rsidR="00787C05">
        <w:rPr>
          <w:lang w:val="en-US"/>
        </w:rPr>
        <w:t xml:space="preserve"> has deferred taking action</w:t>
      </w:r>
      <w:r w:rsidR="00381746">
        <w:t xml:space="preserve"> pursuant to </w:t>
      </w:r>
      <w:r w:rsidR="00381746" w:rsidRPr="00463812">
        <w:rPr>
          <w:u w:val="single"/>
          <w:lang w:val="en-US"/>
        </w:rPr>
        <w:t>Subsection</w:t>
      </w:r>
      <w:r w:rsidR="00381746" w:rsidRPr="00463812">
        <w:rPr>
          <w:u w:val="single"/>
        </w:rPr>
        <w:t xml:space="preserve"> 2.1(c)</w:t>
      </w:r>
      <w:r w:rsidR="00381746">
        <w:t>, then the Initiating Holders may withdraw their request for registration</w:t>
      </w:r>
      <w:r w:rsidR="00787C05">
        <w:rPr>
          <w:lang w:val="en-US"/>
        </w:rPr>
        <w:t xml:space="preserve"> and such registration will not be counted as “effected” for purposes of this </w:t>
      </w:r>
      <w:r w:rsidR="00787C05">
        <w:rPr>
          <w:u w:val="single"/>
          <w:lang w:val="en-US"/>
        </w:rPr>
        <w:t xml:space="preserve">Subsection </w:t>
      </w:r>
      <w:r w:rsidR="00787C05">
        <w:rPr>
          <w:u w:val="single"/>
          <w:lang w:val="en-US"/>
        </w:rPr>
        <w:fldChar w:fldCharType="begin"/>
      </w:r>
      <w:r w:rsidR="00787C05">
        <w:rPr>
          <w:u w:val="single"/>
          <w:lang w:val="en-US"/>
        </w:rPr>
        <w:instrText xml:space="preserve"> REF _Ref474936418 \w \h </w:instrText>
      </w:r>
      <w:r w:rsidR="00787C05">
        <w:rPr>
          <w:u w:val="single"/>
          <w:lang w:val="en-US"/>
        </w:rPr>
      </w:r>
      <w:r w:rsidR="00787C05">
        <w:rPr>
          <w:u w:val="single"/>
          <w:lang w:val="en-US"/>
        </w:rPr>
        <w:fldChar w:fldCharType="separate"/>
      </w:r>
      <w:r w:rsidR="00787C05">
        <w:rPr>
          <w:u w:val="single"/>
          <w:lang w:val="en-US"/>
        </w:rPr>
        <w:t>2.1(d)</w:t>
      </w:r>
      <w:r w:rsidR="00787C05">
        <w:rPr>
          <w:u w:val="single"/>
          <w:lang w:val="en-US"/>
        </w:rPr>
        <w:fldChar w:fldCharType="end"/>
      </w:r>
      <w:r w:rsidR="00787C05">
        <w:rPr>
          <w:lang w:val="en-US"/>
        </w:rPr>
        <w:t>.</w:t>
      </w:r>
      <w:bookmarkStart w:id="201" w:name="_DV_M129"/>
      <w:bookmarkEnd w:id="195"/>
      <w:bookmarkEnd w:id="196"/>
      <w:bookmarkEnd w:id="197"/>
      <w:bookmarkEnd w:id="201"/>
    </w:p>
    <w:p w:rsidR="00B95ADB" w:rsidRDefault="00B95ADB">
      <w:pPr>
        <w:pStyle w:val="Heading2"/>
        <w:rPr>
          <w:vanish/>
          <w:specVanish/>
        </w:rPr>
      </w:pPr>
      <w:bookmarkStart w:id="202" w:name="_DV_M130"/>
      <w:bookmarkStart w:id="203" w:name="_Toc165866761"/>
      <w:bookmarkStart w:id="204" w:name="_Toc131593452"/>
      <w:bookmarkStart w:id="205" w:name="_Toc136067358"/>
      <w:bookmarkStart w:id="206" w:name="_Ref264905215"/>
      <w:bookmarkStart w:id="207" w:name="_Ref264905287"/>
      <w:bookmarkStart w:id="208" w:name="_Ref264905779"/>
      <w:bookmarkStart w:id="209" w:name="_Toc505091140"/>
      <w:bookmarkEnd w:id="202"/>
      <w:r>
        <w:t>Company Registration</w:t>
      </w:r>
      <w:bookmarkEnd w:id="209"/>
    </w:p>
    <w:p w:rsidR="00B95ADB" w:rsidRDefault="00B95ADB">
      <w:pPr>
        <w:pStyle w:val="Bod"/>
      </w:pPr>
      <w:r>
        <w:t xml:space="preserve">.  If the Company proposes to register (including, for this purpose, a registration effected by the Company for stockholders other than the Holders) any of its [Common Stock][securities] under the Securities Act in connection with the public offering of such securities solely for cash (other than in an Excluded Registration), the Company shall, at such time, promptly give each Holder notice of such registration.  Upon the request of each Holder given within twenty (20) days after such notice is given by the Company, the Company shall, subject to the provisions of </w:t>
      </w:r>
      <w:bookmarkStart w:id="210" w:name="_DV_M131"/>
      <w:bookmarkEnd w:id="203"/>
      <w:bookmarkEnd w:id="210"/>
      <w:r>
        <w:rPr>
          <w:u w:val="single"/>
        </w:rPr>
        <w:t xml:space="preserve">Subsection </w:t>
      </w:r>
      <w:r>
        <w:rPr>
          <w:u w:val="single"/>
        </w:rPr>
        <w:fldChar w:fldCharType="begin"/>
      </w:r>
      <w:r>
        <w:rPr>
          <w:u w:val="single"/>
        </w:rPr>
        <w:instrText xml:space="preserve"> REF _Ref264905208 \r \h </w:instrText>
      </w:r>
      <w:r>
        <w:rPr>
          <w:u w:val="single"/>
        </w:rPr>
      </w:r>
      <w:r>
        <w:rPr>
          <w:u w:val="single"/>
        </w:rPr>
        <w:instrText xml:space="preserve"> \* MERGEFORMAT </w:instrText>
      </w:r>
      <w:r>
        <w:rPr>
          <w:u w:val="single"/>
        </w:rPr>
        <w:fldChar w:fldCharType="separate"/>
      </w:r>
      <w:r w:rsidR="00222212">
        <w:rPr>
          <w:u w:val="single"/>
        </w:rPr>
        <w:t>2.3</w:t>
      </w:r>
      <w:r>
        <w:rPr>
          <w:u w:val="single"/>
        </w:rPr>
        <w:fldChar w:fldCharType="end"/>
      </w:r>
      <w:r>
        <w:t xml:space="preserve">, cause to be registered all of the Registrable Securities that each such Holder has requested to be included in such registration.  The Company shall have the right to terminate or withdraw any registration initiated by it under this </w:t>
      </w:r>
      <w:r>
        <w:rPr>
          <w:u w:val="single"/>
        </w:rPr>
        <w:t xml:space="preserve">Subsection </w:t>
      </w:r>
      <w:r>
        <w:rPr>
          <w:u w:val="single"/>
        </w:rPr>
        <w:fldChar w:fldCharType="begin"/>
      </w:r>
      <w:r>
        <w:rPr>
          <w:u w:val="single"/>
        </w:rPr>
        <w:instrText xml:space="preserve"> REF _Ref264905215 \r \h </w:instrText>
      </w:r>
      <w:r>
        <w:rPr>
          <w:u w:val="single"/>
        </w:rPr>
      </w:r>
      <w:r>
        <w:rPr>
          <w:u w:val="single"/>
        </w:rPr>
        <w:instrText xml:space="preserve"> \* MERGEFORMAT </w:instrText>
      </w:r>
      <w:r>
        <w:rPr>
          <w:u w:val="single"/>
        </w:rPr>
        <w:fldChar w:fldCharType="separate"/>
      </w:r>
      <w:r w:rsidR="00222212">
        <w:rPr>
          <w:u w:val="single"/>
        </w:rPr>
        <w:t>2.2</w:t>
      </w:r>
      <w:r>
        <w:rPr>
          <w:u w:val="single"/>
        </w:rPr>
        <w:fldChar w:fldCharType="end"/>
      </w:r>
      <w:r>
        <w:t xml:space="preserve"> before the effective date of such registration, whether or not any Holder has elected to include Registrable Securities in such registration.  The expenses (other than Selling Expenses) of such withdrawn registration shall be borne by the Company in accordance with </w:t>
      </w:r>
      <w:r>
        <w:rPr>
          <w:u w:val="single"/>
        </w:rPr>
        <w:t xml:space="preserve">Subsection </w:t>
      </w:r>
      <w:r>
        <w:rPr>
          <w:u w:val="single"/>
        </w:rPr>
        <w:fldChar w:fldCharType="begin"/>
      </w:r>
      <w:r>
        <w:rPr>
          <w:u w:val="single"/>
        </w:rPr>
        <w:instrText xml:space="preserve"> REF _Ref264905010 \r \h </w:instrText>
      </w:r>
      <w:r>
        <w:rPr>
          <w:u w:val="single"/>
        </w:rPr>
      </w:r>
      <w:r>
        <w:rPr>
          <w:u w:val="single"/>
        </w:rPr>
        <w:instrText xml:space="preserve"> \* MERGEFORMAT </w:instrText>
      </w:r>
      <w:r>
        <w:rPr>
          <w:u w:val="single"/>
        </w:rPr>
        <w:fldChar w:fldCharType="separate"/>
      </w:r>
      <w:r w:rsidR="00222212">
        <w:rPr>
          <w:u w:val="single"/>
        </w:rPr>
        <w:t>2.6</w:t>
      </w:r>
      <w:r>
        <w:rPr>
          <w:u w:val="single"/>
        </w:rPr>
        <w:fldChar w:fldCharType="end"/>
      </w:r>
      <w:r>
        <w:t>.</w:t>
      </w:r>
      <w:bookmarkEnd w:id="204"/>
      <w:bookmarkEnd w:id="205"/>
      <w:bookmarkEnd w:id="206"/>
      <w:bookmarkEnd w:id="207"/>
      <w:bookmarkEnd w:id="208"/>
    </w:p>
    <w:p w:rsidR="00B95ADB" w:rsidRDefault="00B95ADB">
      <w:pPr>
        <w:pStyle w:val="Heading2"/>
        <w:keepNext/>
        <w:rPr>
          <w:vanish/>
          <w:color w:val="000000"/>
          <w:szCs w:val="16"/>
          <w:specVanish/>
        </w:rPr>
      </w:pPr>
      <w:bookmarkStart w:id="211" w:name="_DV_M132"/>
      <w:bookmarkStart w:id="212" w:name="_Toc116180662"/>
      <w:bookmarkStart w:id="213" w:name="_Toc165866762"/>
      <w:bookmarkStart w:id="214" w:name="_Toc131593453"/>
      <w:bookmarkStart w:id="215" w:name="_Toc136067359"/>
      <w:bookmarkStart w:id="216" w:name="_Ref264905047"/>
      <w:bookmarkStart w:id="217" w:name="_Ref264905068"/>
      <w:bookmarkStart w:id="218" w:name="_Ref264905208"/>
      <w:bookmarkStart w:id="219" w:name="_Ref264905272"/>
      <w:bookmarkStart w:id="220" w:name="_Ref264905273"/>
      <w:bookmarkStart w:id="221" w:name="_Toc505091141"/>
      <w:bookmarkEnd w:id="211"/>
      <w:r>
        <w:t>Underwriting Requirements</w:t>
      </w:r>
      <w:bookmarkEnd w:id="221"/>
    </w:p>
    <w:p w:rsidR="00B95ADB" w:rsidRDefault="00B95ADB">
      <w:pPr>
        <w:pStyle w:val="Bod"/>
      </w:pPr>
      <w:r>
        <w:t>.</w:t>
      </w:r>
      <w:bookmarkStart w:id="222" w:name="_DV_M133"/>
      <w:bookmarkStart w:id="223" w:name="_DV_M134"/>
      <w:bookmarkEnd w:id="212"/>
      <w:bookmarkEnd w:id="213"/>
      <w:bookmarkEnd w:id="214"/>
      <w:bookmarkEnd w:id="215"/>
      <w:bookmarkEnd w:id="216"/>
      <w:bookmarkEnd w:id="217"/>
      <w:bookmarkEnd w:id="218"/>
      <w:bookmarkEnd w:id="219"/>
      <w:bookmarkEnd w:id="220"/>
      <w:bookmarkEnd w:id="222"/>
      <w:bookmarkEnd w:id="223"/>
    </w:p>
    <w:p w:rsidR="00B95ADB" w:rsidRDefault="00B95ADB">
      <w:pPr>
        <w:pStyle w:val="Heading3"/>
      </w:pPr>
      <w:bookmarkStart w:id="224" w:name="_DV_M135"/>
      <w:bookmarkStart w:id="225" w:name="_Toc136067360"/>
      <w:bookmarkStart w:id="226" w:name="_Ref264905338"/>
      <w:bookmarkEnd w:id="224"/>
      <w:r>
        <w:t xml:space="preserve">If, pursuant to </w:t>
      </w:r>
      <w:r>
        <w:rPr>
          <w:u w:val="single"/>
        </w:rPr>
        <w:t xml:space="preserve">Subsection </w:t>
      </w:r>
      <w:r>
        <w:rPr>
          <w:rStyle w:val="DeltaViewInsertion"/>
          <w:b w:val="0"/>
          <w:color w:val="000000"/>
          <w:szCs w:val="16"/>
          <w:u w:val="single"/>
        </w:rPr>
        <w:fldChar w:fldCharType="begin"/>
      </w:r>
      <w:r>
        <w:rPr>
          <w:u w:val="single"/>
        </w:rPr>
        <w:instrText xml:space="preserve"> REF _Ref264905240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2.1</w:t>
      </w:r>
      <w:r>
        <w:rPr>
          <w:rStyle w:val="DeltaViewInsertion"/>
          <w:b w:val="0"/>
          <w:color w:val="000000"/>
          <w:szCs w:val="16"/>
          <w:u w:val="single"/>
        </w:rPr>
        <w:fldChar w:fldCharType="end"/>
      </w:r>
      <w:r>
        <w:rPr>
          <w:rStyle w:val="DeltaViewInsertion"/>
          <w:b w:val="0"/>
          <w:color w:val="000000"/>
          <w:szCs w:val="16"/>
          <w:u w:val="none"/>
        </w:rPr>
        <w:t>,</w:t>
      </w:r>
      <w:r>
        <w:t xml:space="preserve"> the Initiating Holders</w:t>
      </w:r>
      <w:r>
        <w:rPr>
          <w:b/>
        </w:rPr>
        <w:t xml:space="preserve"> </w:t>
      </w:r>
      <w:r>
        <w:t xml:space="preserve">intend to distribute the Registrable Securities covered by their request by means of an underwriting, they shall so advise the Company as a part of their request made pursuant to </w:t>
      </w:r>
      <w:r>
        <w:rPr>
          <w:u w:val="single"/>
        </w:rPr>
        <w:t xml:space="preserve">Subsection </w:t>
      </w:r>
      <w:r>
        <w:rPr>
          <w:rStyle w:val="DeltaViewInsertion"/>
          <w:b w:val="0"/>
          <w:color w:val="000000"/>
          <w:szCs w:val="16"/>
          <w:u w:val="single"/>
        </w:rPr>
        <w:fldChar w:fldCharType="begin"/>
      </w:r>
      <w:r>
        <w:rPr>
          <w:u w:val="single"/>
        </w:rPr>
        <w:instrText xml:space="preserve"> REF _Ref264905240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2.1</w:t>
      </w:r>
      <w:r>
        <w:rPr>
          <w:rStyle w:val="DeltaViewInsertion"/>
          <w:b w:val="0"/>
          <w:color w:val="000000"/>
          <w:szCs w:val="16"/>
          <w:u w:val="single"/>
        </w:rPr>
        <w:fldChar w:fldCharType="end"/>
      </w:r>
      <w:r>
        <w:rPr>
          <w:rStyle w:val="DeltaViewInsertion"/>
          <w:b w:val="0"/>
          <w:color w:val="000000"/>
          <w:szCs w:val="16"/>
          <w:u w:val="none"/>
        </w:rPr>
        <w:t>,</w:t>
      </w:r>
      <w:r>
        <w:t xml:space="preserve"> and the Company shall include such information in the Demand Notice.  The underwriter</w:t>
      </w:r>
      <w:r>
        <w:rPr>
          <w:rStyle w:val="DeltaViewInsertion"/>
          <w:b w:val="0"/>
          <w:color w:val="000000"/>
          <w:szCs w:val="16"/>
          <w:u w:val="none"/>
        </w:rPr>
        <w:t>(s)</w:t>
      </w:r>
      <w:r>
        <w:t xml:space="preserve"> will be selected by the [</w:t>
      </w:r>
      <w:r w:rsidR="007830A6">
        <w:rPr>
          <w:lang w:val="en-US"/>
        </w:rPr>
        <w:t>[</w:t>
      </w:r>
      <w:r>
        <w:t>Company</w:t>
      </w:r>
      <w:r w:rsidR="00381746">
        <w:rPr>
          <w:lang w:val="en-US"/>
        </w:rPr>
        <w:t>][Board of Directors]</w:t>
      </w:r>
      <w:r>
        <w:t xml:space="preserve"> and shall be reasonably acceptable to a majority in interest of the Initiating Holders][</w:t>
      </w:r>
      <w:r>
        <w:rPr>
          <w:rStyle w:val="DeltaViewInsertion"/>
          <w:b w:val="0"/>
          <w:i/>
          <w:color w:val="000000"/>
          <w:szCs w:val="16"/>
          <w:u w:val="none"/>
        </w:rPr>
        <w:t xml:space="preserve">Alternative: </w:t>
      </w:r>
      <w:bookmarkStart w:id="227" w:name="_DV_M136"/>
      <w:bookmarkEnd w:id="227"/>
      <w:r>
        <w:t xml:space="preserve">Initiating Holders, subject only to the reasonable approval of the </w:t>
      </w:r>
      <w:r w:rsidR="007830A6">
        <w:rPr>
          <w:lang w:val="en-US"/>
        </w:rPr>
        <w:t>[</w:t>
      </w:r>
      <w:r>
        <w:t>Company]</w:t>
      </w:r>
      <w:r w:rsidR="007830A6" w:rsidRPr="007830A6">
        <w:rPr>
          <w:lang w:val="en-US"/>
        </w:rPr>
        <w:t xml:space="preserve"> </w:t>
      </w:r>
      <w:r w:rsidR="007830A6">
        <w:rPr>
          <w:lang w:val="en-US"/>
        </w:rPr>
        <w:t>[Board of Directors]]</w:t>
      </w:r>
      <w:r>
        <w:t xml:space="preserve">.  In such event, the right of any Holder to include such Holder’s Registrable Securities in such registration shall be conditioned upon such Holder’s participation in such underwriting and the inclusion of such Holder’s Registrable Securities in the underwriting to the extent provided herein.  All Holders proposing to distribute their securities through such underwriting shall (together with the Company as provided in </w:t>
      </w:r>
      <w:r>
        <w:rPr>
          <w:u w:val="single"/>
        </w:rPr>
        <w:t xml:space="preserve">Subsection </w:t>
      </w:r>
      <w:r>
        <w:rPr>
          <w:rStyle w:val="DeltaViewInsertion"/>
          <w:b w:val="0"/>
          <w:color w:val="000000"/>
          <w:szCs w:val="16"/>
          <w:u w:val="single"/>
        </w:rPr>
        <w:fldChar w:fldCharType="begin"/>
      </w:r>
      <w:r>
        <w:rPr>
          <w:u w:val="single"/>
        </w:rPr>
        <w:instrText xml:space="preserve"> REF _Ref264905262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2.4(e)</w:t>
      </w:r>
      <w:r>
        <w:rPr>
          <w:rStyle w:val="DeltaViewInsertion"/>
          <w:b w:val="0"/>
          <w:color w:val="000000"/>
          <w:szCs w:val="16"/>
          <w:u w:val="single"/>
        </w:rPr>
        <w:fldChar w:fldCharType="end"/>
      </w:r>
      <w:r>
        <w:t xml:space="preserve">) enter into an underwriting agreement in customary form with the underwriter(s) selected for such underwriting.  Notwithstanding any other provision of this </w:t>
      </w:r>
      <w:bookmarkStart w:id="228" w:name="_DV_M137"/>
      <w:bookmarkEnd w:id="228"/>
      <w:r>
        <w:rPr>
          <w:u w:val="single"/>
        </w:rPr>
        <w:t xml:space="preserve">Subsection </w:t>
      </w:r>
      <w:r>
        <w:rPr>
          <w:rStyle w:val="DeltaViewInsertion"/>
          <w:b w:val="0"/>
          <w:color w:val="000000"/>
          <w:szCs w:val="16"/>
          <w:u w:val="single"/>
        </w:rPr>
        <w:fldChar w:fldCharType="begin"/>
      </w:r>
      <w:r>
        <w:rPr>
          <w:u w:val="single"/>
        </w:rPr>
        <w:instrText xml:space="preserve"> REF _Ref264905272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2.3</w:t>
      </w:r>
      <w:r>
        <w:rPr>
          <w:rStyle w:val="DeltaViewInsertion"/>
          <w:b w:val="0"/>
          <w:color w:val="000000"/>
          <w:szCs w:val="16"/>
          <w:u w:val="single"/>
        </w:rPr>
        <w:fldChar w:fldCharType="end"/>
      </w:r>
      <w:r>
        <w:rPr>
          <w:rStyle w:val="DeltaViewInsertion"/>
          <w:b w:val="0"/>
          <w:color w:val="000000"/>
          <w:szCs w:val="16"/>
          <w:u w:val="none"/>
        </w:rPr>
        <w:t>,</w:t>
      </w:r>
      <w:r>
        <w:t xml:space="preserve"> if the [managing] underwriter(s) advise(s) the Initiating Holders in writing that marketing factors require a limitation on the number of shares to be underwritten, then the Initiating Holders shall so advise all Holders of Registrable Securities that otherwise would be underwritten pursuant hereto, and the number of Registrable Securities that may be included in the underwriting shall be allocated among </w:t>
      </w:r>
      <w:r>
        <w:rPr>
          <w:rStyle w:val="DeltaViewInsertion"/>
          <w:b w:val="0"/>
          <w:color w:val="000000"/>
          <w:szCs w:val="16"/>
          <w:u w:val="none"/>
        </w:rPr>
        <w:t>such</w:t>
      </w:r>
      <w:r>
        <w:t xml:space="preserve"> Holders of Registrable Securities, including the Initiating Holders, in proportion (as nearly as practicable) to the number of Registrable Securities owned by each Holder</w:t>
      </w:r>
      <w:r>
        <w:rPr>
          <w:rStyle w:val="DeltaViewInsertion"/>
          <w:b w:val="0"/>
          <w:color w:val="000000"/>
          <w:szCs w:val="16"/>
          <w:u w:val="none"/>
        </w:rPr>
        <w:t xml:space="preserve"> or in such other proportion as shall mutually be agreed to by all such selling Holders</w:t>
      </w:r>
      <w:r>
        <w:t xml:space="preserve">; </w:t>
      </w:r>
      <w:r>
        <w:rPr>
          <w:u w:val="single"/>
        </w:rPr>
        <w:t>provided</w:t>
      </w:r>
      <w:r>
        <w:t xml:space="preserve">, </w:t>
      </w:r>
      <w:r>
        <w:rPr>
          <w:u w:val="single"/>
        </w:rPr>
        <w:t>however</w:t>
      </w:r>
      <w:r>
        <w:t xml:space="preserve">, that the number of Registrable Securities held by the Holders to be included in such underwriting shall not be reduced unless all other securities are first entirely excluded from the underwriting.  </w:t>
      </w:r>
      <w:r>
        <w:rPr>
          <w:rStyle w:val="DeltaViewInsertion"/>
          <w:b w:val="0"/>
          <w:color w:val="000000"/>
          <w:szCs w:val="16"/>
          <w:u w:val="none"/>
        </w:rPr>
        <w:t>[</w:t>
      </w:r>
      <w:r>
        <w:t>To facilitate the allocation of shares in accordance with the above provisions, the Company or the underwriters may round the number of shares allocated to any Holder to the nearest one hundred (100) shares.</w:t>
      </w:r>
      <w:r>
        <w:rPr>
          <w:rStyle w:val="DeltaViewInsertion"/>
          <w:b w:val="0"/>
          <w:color w:val="000000"/>
          <w:szCs w:val="16"/>
          <w:u w:val="none"/>
        </w:rPr>
        <w:t>]</w:t>
      </w:r>
      <w:bookmarkStart w:id="229" w:name="_DV_M138"/>
      <w:bookmarkEnd w:id="225"/>
      <w:bookmarkEnd w:id="226"/>
      <w:bookmarkEnd w:id="229"/>
    </w:p>
    <w:p w:rsidR="00B95ADB" w:rsidRDefault="00B95ADB">
      <w:pPr>
        <w:pStyle w:val="Heading3"/>
      </w:pPr>
      <w:bookmarkStart w:id="230" w:name="_DV_M139"/>
      <w:bookmarkStart w:id="231" w:name="_Toc136067361"/>
      <w:bookmarkStart w:id="232" w:name="_Ref264905307"/>
      <w:bookmarkEnd w:id="230"/>
      <w:r>
        <w:t xml:space="preserve">In connection with any offering involving an underwriting of shares of the Company’s capital stock pursuant to </w:t>
      </w:r>
      <w:r>
        <w:rPr>
          <w:u w:val="single"/>
        </w:rPr>
        <w:t xml:space="preserve">Subsection </w:t>
      </w:r>
      <w:r>
        <w:rPr>
          <w:u w:val="single"/>
        </w:rPr>
        <w:fldChar w:fldCharType="begin"/>
      </w:r>
      <w:r>
        <w:rPr>
          <w:u w:val="single"/>
        </w:rPr>
        <w:instrText xml:space="preserve"> REF _Ref264905287 \r \h </w:instrText>
      </w:r>
      <w:r>
        <w:rPr>
          <w:u w:val="single"/>
        </w:rPr>
      </w:r>
      <w:r>
        <w:rPr>
          <w:u w:val="single"/>
        </w:rPr>
        <w:fldChar w:fldCharType="separate"/>
      </w:r>
      <w:r w:rsidR="00222212">
        <w:rPr>
          <w:u w:val="single"/>
        </w:rPr>
        <w:t>2.2</w:t>
      </w:r>
      <w:r>
        <w:rPr>
          <w:u w:val="single"/>
        </w:rPr>
        <w:fldChar w:fldCharType="end"/>
      </w:r>
      <w:r>
        <w:t xml:space="preserve">, the Company shall not be required to include any of the Holders’ Registrable Securities in such underwriting unless the Holders accept the terms of the underwriting as agreed upon between the Company and its underwriters, and then only in such quantity as the underwriters in their sole discretion determine will not jeopardize the success of the offering by the Company.  If the total number of securities, including Registrable Securities, requested by stockholders to be included in such offering exceeds the number of securities to be sold (other than by the Company) that the underwriters in their reasonable discretion determine is compatible with the success of the offering, then the Company shall be required to include in the offering only that number of such securities, including Registrable Securities, which the underwriters and the Company in their sole discretion determine will not jeopardize the success of the offering.  If the underwriters determine that less than all of the Registrable Securities requested to be registered can be included in such offering, then the Registrable Securities that are included in such offering shall be </w:t>
      </w:r>
      <w:r>
        <w:rPr>
          <w:rStyle w:val="DeltaViewInsertion"/>
          <w:b w:val="0"/>
          <w:color w:val="000000"/>
          <w:szCs w:val="16"/>
          <w:u w:val="none"/>
        </w:rPr>
        <w:t>allocated</w:t>
      </w:r>
      <w:r>
        <w:t xml:space="preserve"> among the selling Holders </w:t>
      </w:r>
      <w:r>
        <w:rPr>
          <w:rStyle w:val="DeltaViewInsertion"/>
          <w:b w:val="0"/>
          <w:color w:val="000000"/>
          <w:szCs w:val="16"/>
          <w:u w:val="none"/>
        </w:rPr>
        <w:t>in proportion (as nearly as practicable to)</w:t>
      </w:r>
      <w:r>
        <w:t xml:space="preserve"> the number of Registrable Securities </w:t>
      </w:r>
      <w:r>
        <w:rPr>
          <w:rStyle w:val="DeltaViewInsertion"/>
          <w:b w:val="0"/>
          <w:color w:val="000000"/>
          <w:szCs w:val="16"/>
          <w:u w:val="none"/>
        </w:rPr>
        <w:t>owned</w:t>
      </w:r>
      <w:r>
        <w:t xml:space="preserve"> by </w:t>
      </w:r>
      <w:r>
        <w:rPr>
          <w:rStyle w:val="DeltaViewInsertion"/>
          <w:b w:val="0"/>
          <w:color w:val="000000"/>
          <w:szCs w:val="16"/>
          <w:u w:val="none"/>
        </w:rPr>
        <w:t>each</w:t>
      </w:r>
      <w:r>
        <w:t xml:space="preserve"> selling </w:t>
      </w:r>
      <w:r>
        <w:rPr>
          <w:rStyle w:val="DeltaViewInsertion"/>
          <w:b w:val="0"/>
          <w:color w:val="000000"/>
          <w:szCs w:val="16"/>
          <w:u w:val="none"/>
        </w:rPr>
        <w:t>Holder</w:t>
      </w:r>
      <w:r>
        <w:t xml:space="preserve"> or in such other proportions as shall mutually be agreed to by all such selling Holders.  </w:t>
      </w:r>
      <w:r>
        <w:rPr>
          <w:rStyle w:val="DeltaViewInsertion"/>
          <w:b w:val="0"/>
          <w:color w:val="000000"/>
          <w:szCs w:val="16"/>
          <w:u w:val="none"/>
        </w:rPr>
        <w:t xml:space="preserve">[To facilitate the allocation of shares in accordance with the above provisions, the Company or the underwriters may round the number of shares allocated to any Holder to the nearest one hundred (100) shares.]  </w:t>
      </w:r>
      <w:r>
        <w:t>Notwithstanding the foregoing, in no event shall (i)</w:t>
      </w:r>
      <w:r>
        <w:rPr>
          <w:rStyle w:val="DeltaViewInsertion"/>
          <w:b w:val="0"/>
          <w:color w:val="000000"/>
          <w:szCs w:val="16"/>
          <w:u w:val="none"/>
        </w:rPr>
        <w:t xml:space="preserve"> the number of Registrable Securities included in the offering be reduced unless all other securities (other than securities to be sold by the Company) are first entirely excluded from the offering, [or</w:t>
      </w:r>
      <w:r>
        <w:t>]</w:t>
      </w:r>
      <w:r>
        <w:rPr>
          <w:rStyle w:val="DeltaViewInsertion"/>
          <w:b w:val="0"/>
          <w:color w:val="000000"/>
          <w:szCs w:val="16"/>
          <w:u w:val="none"/>
        </w:rPr>
        <w:t xml:space="preserve"> (ii)</w:t>
      </w:r>
      <w:r>
        <w:t xml:space="preserve"> the number of Registrable Securities included in the offering be reduced below [twenty-thirty] percent ([20-30]%) of the total number of securities included in such offering, unless such offering is the IPO, in which case the selling Holders may be excluded further if the underwriters make the determination described above and no other stockholder’s securities are included in such offering [or (</w:t>
      </w:r>
      <w:r>
        <w:rPr>
          <w:rStyle w:val="DeltaViewInsertion"/>
          <w:b w:val="0"/>
          <w:color w:val="000000"/>
          <w:szCs w:val="16"/>
          <w:u w:val="none"/>
        </w:rPr>
        <w:t>iii</w:t>
      </w:r>
      <w:r>
        <w:t>)  notwithstanding (</w:t>
      </w:r>
      <w:r>
        <w:rPr>
          <w:rStyle w:val="DeltaViewInsertion"/>
          <w:b w:val="0"/>
          <w:color w:val="000000"/>
          <w:szCs w:val="16"/>
          <w:u w:val="none"/>
        </w:rPr>
        <w:t>ii</w:t>
      </w:r>
      <w:r>
        <w:t xml:space="preserve">) above, any Registrable Securities </w:t>
      </w:r>
      <w:r>
        <w:rPr>
          <w:rStyle w:val="DeltaViewInsertion"/>
          <w:b w:val="0"/>
          <w:color w:val="000000"/>
          <w:szCs w:val="16"/>
          <w:u w:val="none"/>
        </w:rPr>
        <w:t>which are not Key Holder Registrable Securities</w:t>
      </w:r>
      <w:r>
        <w:t xml:space="preserve"> be excluded from such underwriting unless all </w:t>
      </w:r>
      <w:r>
        <w:rPr>
          <w:rStyle w:val="DeltaViewInsertion"/>
          <w:b w:val="0"/>
          <w:color w:val="000000"/>
          <w:szCs w:val="16"/>
          <w:u w:val="none"/>
        </w:rPr>
        <w:t xml:space="preserve">Key Holder </w:t>
      </w:r>
      <w:r>
        <w:t>Registrable Securities are first excluded from such offering.]</w:t>
      </w:r>
      <w:bookmarkStart w:id="233" w:name="_DV_M140"/>
      <w:bookmarkEnd w:id="233"/>
      <w:r>
        <w:rPr>
          <w:rStyle w:val="FootnoteReference"/>
        </w:rPr>
        <w:footnoteReference w:id="17"/>
      </w:r>
      <w:r>
        <w:t xml:space="preserve">  For purposes of the provision in this </w:t>
      </w:r>
      <w:r>
        <w:rPr>
          <w:u w:val="single"/>
        </w:rPr>
        <w:t>Subsection 2.3</w:t>
      </w:r>
      <w:r>
        <w:rPr>
          <w:rStyle w:val="DeltaViewInsertion"/>
          <w:b w:val="0"/>
          <w:color w:val="000000"/>
          <w:szCs w:val="16"/>
          <w:u w:val="single"/>
        </w:rPr>
        <w:fldChar w:fldCharType="begin"/>
      </w:r>
      <w:r>
        <w:rPr>
          <w:u w:val="single"/>
        </w:rPr>
        <w:instrText xml:space="preserve"> REF _Ref264905307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(b)</w:t>
      </w:r>
      <w:r>
        <w:rPr>
          <w:rStyle w:val="DeltaViewInsertion"/>
          <w:b w:val="0"/>
          <w:color w:val="000000"/>
          <w:szCs w:val="16"/>
          <w:u w:val="single"/>
        </w:rPr>
        <w:fldChar w:fldCharType="end"/>
      </w:r>
      <w:r>
        <w:t xml:space="preserve"> concerning apportionment, for any selling </w:t>
      </w:r>
      <w:r>
        <w:rPr>
          <w:rStyle w:val="DeltaViewInsertion"/>
          <w:b w:val="0"/>
          <w:color w:val="000000"/>
          <w:szCs w:val="16"/>
          <w:u w:val="none"/>
        </w:rPr>
        <w:t>Holder</w:t>
      </w:r>
      <w:r>
        <w:t xml:space="preserve"> that is a partnership, limited liability company, or corporation, the partners, members, retired partners, retired members, stockholders, and Affiliates of such Holder, or the estates and Immediate Family Members of any such partners, retired partners, members, and retired members and any trusts for the benefit of any of the foregoing Persons, shall be deemed to be a single “selling Holder,” and any pro rata reduction with respect to such “selling Holder” shall be based upon the aggregate number of Registrable Securities owned by all Persons included in such “selling Holder,” as defined in this sentence.</w:t>
      </w:r>
      <w:bookmarkEnd w:id="231"/>
      <w:bookmarkEnd w:id="232"/>
    </w:p>
    <w:p w:rsidR="00B95ADB" w:rsidRDefault="00B95ADB">
      <w:pPr>
        <w:pStyle w:val="Heading3"/>
      </w:pPr>
      <w:bookmarkStart w:id="234" w:name="_DV_M141"/>
      <w:bookmarkStart w:id="235" w:name="_Toc136067362"/>
      <w:bookmarkEnd w:id="234"/>
      <w:r>
        <w:t xml:space="preserve">[For purposes of </w:t>
      </w:r>
      <w:r>
        <w:rPr>
          <w:u w:val="single"/>
        </w:rPr>
        <w:t xml:space="preserve">Subsection </w:t>
      </w:r>
      <w:r>
        <w:rPr>
          <w:rStyle w:val="DeltaViewInsertion"/>
          <w:b w:val="0"/>
          <w:color w:val="000000"/>
          <w:szCs w:val="16"/>
          <w:u w:val="single"/>
        </w:rPr>
        <w:fldChar w:fldCharType="begin"/>
      </w:r>
      <w:r>
        <w:rPr>
          <w:u w:val="single"/>
        </w:rPr>
        <w:instrText xml:space="preserve"> REF _Ref264905329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2.1</w:t>
      </w:r>
      <w:r>
        <w:rPr>
          <w:rStyle w:val="DeltaViewInsertion"/>
          <w:b w:val="0"/>
          <w:color w:val="000000"/>
          <w:szCs w:val="16"/>
          <w:u w:val="single"/>
        </w:rPr>
        <w:fldChar w:fldCharType="end"/>
      </w:r>
      <w:r>
        <w:rPr>
          <w:rStyle w:val="DeltaViewInsertion"/>
          <w:b w:val="0"/>
          <w:color w:val="000000"/>
          <w:szCs w:val="16"/>
          <w:u w:val="none"/>
        </w:rPr>
        <w:t>,</w:t>
      </w:r>
      <w:r>
        <w:t xml:space="preserve"> a registration shall not be counted as “effected” if, as a result of an exercise of the underwriter’s cutback provisions in </w:t>
      </w:r>
      <w:r>
        <w:rPr>
          <w:u w:val="single"/>
        </w:rPr>
        <w:t>Subsection 2.3</w:t>
      </w:r>
      <w:r>
        <w:rPr>
          <w:rStyle w:val="DeltaViewInsertion"/>
          <w:b w:val="0"/>
          <w:color w:val="000000"/>
          <w:szCs w:val="16"/>
          <w:u w:val="single"/>
        </w:rPr>
        <w:fldChar w:fldCharType="begin"/>
      </w:r>
      <w:r>
        <w:rPr>
          <w:u w:val="single"/>
        </w:rPr>
        <w:instrText xml:space="preserve"> REF _Ref264905338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(a)</w:t>
      </w:r>
      <w:r>
        <w:rPr>
          <w:rStyle w:val="DeltaViewInsertion"/>
          <w:b w:val="0"/>
          <w:color w:val="000000"/>
          <w:szCs w:val="16"/>
          <w:u w:val="single"/>
        </w:rPr>
        <w:fldChar w:fldCharType="end"/>
      </w:r>
      <w:r>
        <w:t>, fewer than [fifty percent (50%)] of the total number of Registrable Securities that Holders have requested to be included in such registration statement are actually included.]</w:t>
      </w:r>
      <w:bookmarkEnd w:id="235"/>
    </w:p>
    <w:p w:rsidR="00B95ADB" w:rsidRDefault="00B95ADB">
      <w:pPr>
        <w:pStyle w:val="Heading2"/>
        <w:rPr>
          <w:vanish/>
          <w:specVanish/>
        </w:rPr>
      </w:pPr>
      <w:bookmarkStart w:id="236" w:name="_DV_M142"/>
      <w:bookmarkStart w:id="237" w:name="_Toc116180663"/>
      <w:bookmarkStart w:id="238" w:name="_Toc165866763"/>
      <w:bookmarkStart w:id="239" w:name="_Toc131593454"/>
      <w:bookmarkStart w:id="240" w:name="_Toc136067363"/>
      <w:bookmarkStart w:id="241" w:name="_Toc505091142"/>
      <w:bookmarkEnd w:id="236"/>
      <w:r>
        <w:t>Obligations of the Company</w:t>
      </w:r>
      <w:bookmarkEnd w:id="241"/>
    </w:p>
    <w:p w:rsidR="00B95ADB" w:rsidRDefault="00B95ADB">
      <w:pPr>
        <w:pStyle w:val="Bod"/>
      </w:pPr>
      <w:r>
        <w:t>.</w:t>
      </w:r>
      <w:bookmarkStart w:id="242" w:name="_DV_M143"/>
      <w:bookmarkEnd w:id="237"/>
      <w:bookmarkEnd w:id="238"/>
      <w:bookmarkEnd w:id="242"/>
      <w:r>
        <w:t xml:space="preserve">  Whenever required under this </w:t>
      </w:r>
      <w:r>
        <w:rPr>
          <w:u w:val="single"/>
        </w:rPr>
        <w:t xml:space="preserve">Section </w:t>
      </w:r>
      <w:r>
        <w:rPr>
          <w:u w:val="single"/>
        </w:rPr>
        <w:fldChar w:fldCharType="begin"/>
      </w:r>
      <w:r>
        <w:rPr>
          <w:u w:val="single"/>
        </w:rPr>
        <w:instrText xml:space="preserve"> REF _Ref264905351 \r \h </w:instrText>
      </w:r>
      <w:r>
        <w:rPr>
          <w:u w:val="single"/>
        </w:rPr>
      </w:r>
      <w:r>
        <w:rPr>
          <w:u w:val="single"/>
        </w:rPr>
        <w:fldChar w:fldCharType="separate"/>
      </w:r>
      <w:r w:rsidR="00222212">
        <w:rPr>
          <w:u w:val="single"/>
        </w:rPr>
        <w:t>2</w:t>
      </w:r>
      <w:r>
        <w:rPr>
          <w:u w:val="single"/>
        </w:rPr>
        <w:fldChar w:fldCharType="end"/>
      </w:r>
      <w:r>
        <w:t xml:space="preserve"> to effect the registration of any Registrable Securities, the Company shall, as expeditiously as reasonably possible:</w:t>
      </w:r>
      <w:bookmarkEnd w:id="239"/>
      <w:bookmarkEnd w:id="240"/>
      <w:r>
        <w:rPr>
          <w:rStyle w:val="FootnoteReference"/>
        </w:rPr>
        <w:footnoteReference w:id="18"/>
      </w:r>
    </w:p>
    <w:p w:rsidR="00B95ADB" w:rsidRDefault="00B95ADB">
      <w:pPr>
        <w:pStyle w:val="Heading3"/>
      </w:pPr>
      <w:bookmarkStart w:id="243" w:name="_DV_M144"/>
      <w:bookmarkStart w:id="244" w:name="_Toc136067364"/>
      <w:bookmarkEnd w:id="243"/>
      <w:r>
        <w:t>prepare and file with the SEC a registration statement with respect to such Registrable Securities and use its commercially reasonable efforts</w:t>
      </w:r>
      <w:bookmarkStart w:id="245" w:name="_DV_M145"/>
      <w:bookmarkEnd w:id="245"/>
      <w:r>
        <w:rPr>
          <w:rStyle w:val="FootnoteReference"/>
        </w:rPr>
        <w:footnoteReference w:id="19"/>
      </w:r>
      <w:r>
        <w:t xml:space="preserve"> to cause such registration statement to become effective and, upon the request of the Holders of a majority of the Registrable Securities registered thereunder, keep such registration statement effective for a period of up to one hundred twenty (120) days or, if earlier, until the distribution contemplated in the registration statement has been completed; </w:t>
      </w:r>
      <w:r>
        <w:rPr>
          <w:u w:val="single"/>
        </w:rPr>
        <w:t>provided</w:t>
      </w:r>
      <w:r>
        <w:t xml:space="preserve">, </w:t>
      </w:r>
      <w:r>
        <w:rPr>
          <w:u w:val="single"/>
        </w:rPr>
        <w:t>however</w:t>
      </w:r>
      <w:r>
        <w:t>, that (i) such one hundred twenty (120) day period shall be extended for a period of time equal to the period the Holder refrains, at the request of an underwriter of Common Stock (or other securities) of the Company, from selling any securities included in such registration[, and (ii) in the case of any registration of Registrable Securities on Form S-3 that are intended to be offered on a continuous or delayed basis, subject to compliance with applicable SEC rules, such one hundred twenty (120) day period shall be extended for up to [_______] days, if necessary, to keep the registration statement effective until all such Registrable Securities are sold];</w:t>
      </w:r>
      <w:bookmarkEnd w:id="244"/>
    </w:p>
    <w:p w:rsidR="00B95ADB" w:rsidRDefault="00B95ADB">
      <w:pPr>
        <w:pStyle w:val="Heading3"/>
      </w:pPr>
      <w:bookmarkStart w:id="246" w:name="_DV_M146"/>
      <w:bookmarkStart w:id="247" w:name="_Toc136067365"/>
      <w:bookmarkEnd w:id="246"/>
      <w:r>
        <w:t>prepare and file with the SEC such amendments and supplements to such registration statement, and the prospectus used in connection with such registration statement, as may be necessary to comply with the Securities Act in order to enable the disposition of all securities covered by such registration statement;</w:t>
      </w:r>
      <w:bookmarkStart w:id="248" w:name="_Toc136067366"/>
      <w:bookmarkEnd w:id="247"/>
    </w:p>
    <w:p w:rsidR="00B95ADB" w:rsidRDefault="00B95ADB">
      <w:pPr>
        <w:pStyle w:val="Heading3"/>
      </w:pPr>
      <w:bookmarkStart w:id="249" w:name="_DV_M147"/>
      <w:bookmarkEnd w:id="249"/>
      <w:r>
        <w:t>furnish to the selling Holders such numbers of copies of a prospectus, including a preliminary prospectus, as required by the Securities Act, and such other documents as the Holders may reasonably request in order to facilitate their disposition of their Registrable Securities;</w:t>
      </w:r>
      <w:bookmarkStart w:id="250" w:name="_Toc136067367"/>
      <w:bookmarkEnd w:id="248"/>
    </w:p>
    <w:p w:rsidR="00B95ADB" w:rsidRDefault="00B95ADB">
      <w:pPr>
        <w:pStyle w:val="Heading3"/>
      </w:pPr>
      <w:bookmarkStart w:id="251" w:name="_DV_M148"/>
      <w:bookmarkEnd w:id="251"/>
      <w:r>
        <w:t xml:space="preserve">use its commercially reasonable efforts to register and qualify the securities covered by such registration statement under such other securities or blue-sky laws of such jurisdictions as shall be reasonably requested by the selling Holders; </w:t>
      </w:r>
      <w:r>
        <w:rPr>
          <w:u w:val="single"/>
        </w:rPr>
        <w:t>provided</w:t>
      </w:r>
      <w:r>
        <w:t xml:space="preserve"> that the Company shall not be required to qualify to do business or to file a general consent to service of process in any such states or jurisdictions,</w:t>
      </w:r>
      <w:bookmarkStart w:id="252" w:name="_DV_M149"/>
      <w:bookmarkEnd w:id="252"/>
      <w:r>
        <w:rPr>
          <w:rStyle w:val="FootnoteReference"/>
        </w:rPr>
        <w:footnoteReference w:id="20"/>
      </w:r>
      <w:r>
        <w:t xml:space="preserve"> unless the Company is already subject to service in such jurisdiction and except as may be required by the Securities Act;</w:t>
      </w:r>
      <w:bookmarkStart w:id="253" w:name="_Toc136067368"/>
      <w:bookmarkEnd w:id="250"/>
    </w:p>
    <w:p w:rsidR="00B95ADB" w:rsidRDefault="00B95ADB">
      <w:pPr>
        <w:pStyle w:val="Heading3"/>
      </w:pPr>
      <w:bookmarkStart w:id="254" w:name="_DV_M150"/>
      <w:bookmarkStart w:id="255" w:name="_Ref264905262"/>
      <w:bookmarkEnd w:id="254"/>
      <w:r>
        <w:t>in the event of any underwritten public offering, enter into and perform its obligations under an underwriting agreement, in usual and customary form, with the underwriter</w:t>
      </w:r>
      <w:r>
        <w:rPr>
          <w:rStyle w:val="DeltaViewInsertion"/>
          <w:b w:val="0"/>
          <w:color w:val="000000"/>
          <w:szCs w:val="16"/>
          <w:u w:val="none"/>
        </w:rPr>
        <w:t>(s)</w:t>
      </w:r>
      <w:r>
        <w:t xml:space="preserve"> of such offering;</w:t>
      </w:r>
      <w:bookmarkStart w:id="256" w:name="_Toc136067369"/>
      <w:bookmarkEnd w:id="253"/>
      <w:bookmarkEnd w:id="255"/>
    </w:p>
    <w:p w:rsidR="00B95ADB" w:rsidRDefault="00B95ADB">
      <w:pPr>
        <w:pStyle w:val="Heading3"/>
      </w:pPr>
      <w:bookmarkStart w:id="257" w:name="_DV_M151"/>
      <w:bookmarkEnd w:id="257"/>
      <w:r>
        <w:t>use its commercially reasonable efforts to cause all such Registrable Securities covered by such registration statement to be listed on a national securities exchange or trading system and each securities exchange and trading system (if any) on which similar securities issued by the Company are then listed;</w:t>
      </w:r>
      <w:bookmarkStart w:id="258" w:name="_Toc136067370"/>
      <w:bookmarkEnd w:id="256"/>
    </w:p>
    <w:p w:rsidR="00B95ADB" w:rsidRDefault="00B95ADB">
      <w:pPr>
        <w:pStyle w:val="Heading3"/>
      </w:pPr>
      <w:bookmarkStart w:id="259" w:name="_DV_M152"/>
      <w:bookmarkEnd w:id="259"/>
      <w:r>
        <w:t>provide a transfer agent and registrar for all Registrable Securities registered pursuant to this Agreement and provide a CUSIP number for all such Registrable Securities, in each case not later than the effective date of such registration;</w:t>
      </w:r>
      <w:bookmarkStart w:id="260" w:name="_Toc136067371"/>
      <w:bookmarkEnd w:id="258"/>
    </w:p>
    <w:p w:rsidR="00B95ADB" w:rsidRDefault="00B95ADB">
      <w:pPr>
        <w:pStyle w:val="Heading3"/>
      </w:pPr>
      <w:bookmarkStart w:id="261" w:name="_DV_M153"/>
      <w:bookmarkEnd w:id="261"/>
      <w:r>
        <w:t>promptly make available for inspection by the selling Holders, any [managing] underwriter</w:t>
      </w:r>
      <w:r>
        <w:rPr>
          <w:rStyle w:val="DeltaViewInsertion"/>
          <w:b w:val="0"/>
          <w:color w:val="000000"/>
          <w:szCs w:val="16"/>
          <w:u w:val="none"/>
        </w:rPr>
        <w:t>(s)</w:t>
      </w:r>
      <w:r>
        <w:t xml:space="preserve"> participating in any disposition pursuant to such registration statement, and any attorney or accountant or other agent retained by any such underwriter or selected by the selling Holders, all financial and other records, pertinent corporate documents, and properties of the Company, and cause the Company’s officers, directors, employees, and independent accountants to supply all information reasonably requested by any such seller, underwriter, attorney, accountant, or agent</w:t>
      </w:r>
      <w:r>
        <w:rPr>
          <w:rStyle w:val="DeltaViewInsertion"/>
          <w:b w:val="0"/>
          <w:color w:val="000000"/>
          <w:szCs w:val="16"/>
          <w:u w:val="none"/>
        </w:rPr>
        <w:t>, in each case, as necessary or advisable to verify the accuracy of the information in such registration statement and to conduct appropriate due diligence</w:t>
      </w:r>
      <w:r>
        <w:t xml:space="preserve"> in connection </w:t>
      </w:r>
      <w:r>
        <w:rPr>
          <w:rStyle w:val="DeltaViewInsertion"/>
          <w:b w:val="0"/>
          <w:color w:val="000000"/>
          <w:szCs w:val="16"/>
          <w:u w:val="none"/>
        </w:rPr>
        <w:t>therewith</w:t>
      </w:r>
      <w:r>
        <w:t>;</w:t>
      </w:r>
      <w:bookmarkStart w:id="262" w:name="_Toc136067372"/>
      <w:bookmarkEnd w:id="260"/>
      <w:r>
        <w:rPr>
          <w:rStyle w:val="FootnoteReference"/>
        </w:rPr>
        <w:footnoteReference w:id="21"/>
      </w:r>
    </w:p>
    <w:p w:rsidR="00B95ADB" w:rsidRDefault="00B95ADB">
      <w:pPr>
        <w:pStyle w:val="Heading3"/>
      </w:pPr>
      <w:bookmarkStart w:id="263" w:name="_DV_M154"/>
      <w:bookmarkEnd w:id="263"/>
      <w:r>
        <w:t>notify each selling Holder, promptly after the Company receives notice thereof, of the time when such registration statement has been declared effective or a supplement to any prospectus forming a part of such registration statement has been filed; and</w:t>
      </w:r>
      <w:bookmarkStart w:id="264" w:name="_Toc136067373"/>
      <w:bookmarkEnd w:id="262"/>
    </w:p>
    <w:p w:rsidR="00B95ADB" w:rsidRDefault="00B95ADB">
      <w:pPr>
        <w:pStyle w:val="Heading3"/>
      </w:pPr>
      <w:bookmarkStart w:id="265" w:name="_DV_M155"/>
      <w:bookmarkEnd w:id="265"/>
      <w:r>
        <w:t xml:space="preserve">after such registration statement becomes effective, notify each selling Holder of any request by the SEC that the Company amend or supplement such registration statement or prospectus. </w:t>
      </w:r>
    </w:p>
    <w:p w:rsidR="00B95ADB" w:rsidRDefault="00B95ADB">
      <w:pPr>
        <w:pStyle w:val="Bod"/>
      </w:pPr>
      <w:r>
        <w:t>In addition, the Company shall ensure that, at all times after any registration statement covering a public offering of securities of the Company under the Securities Act shall have become effective, its insider trading policy shall provide that the Company’s directors may implement a trading program under Rule 10b5-1 of the Exchange Act.</w:t>
      </w:r>
    </w:p>
    <w:p w:rsidR="00B95ADB" w:rsidRDefault="00B95ADB">
      <w:pPr>
        <w:pStyle w:val="Heading2"/>
        <w:rPr>
          <w:vanish/>
          <w:specVanish/>
        </w:rPr>
      </w:pPr>
      <w:bookmarkStart w:id="266" w:name="_DV_M156"/>
      <w:bookmarkStart w:id="267" w:name="_Toc116180664"/>
      <w:bookmarkStart w:id="268" w:name="_Toc165866764"/>
      <w:bookmarkStart w:id="269" w:name="_Toc131593455"/>
      <w:bookmarkStart w:id="270" w:name="_Toc136067374"/>
      <w:bookmarkStart w:id="271" w:name="_Toc505091143"/>
      <w:bookmarkEnd w:id="264"/>
      <w:bookmarkEnd w:id="266"/>
      <w:r>
        <w:t>Furnish Information</w:t>
      </w:r>
      <w:bookmarkEnd w:id="271"/>
    </w:p>
    <w:p w:rsidR="00B95ADB" w:rsidRDefault="00B95ADB">
      <w:pPr>
        <w:pStyle w:val="Bod"/>
      </w:pPr>
      <w:r>
        <w:t xml:space="preserve">.  It shall be a condition precedent to the obligations of the Company to take any action pursuant to this </w:t>
      </w:r>
      <w:bookmarkStart w:id="272" w:name="_DV_M157"/>
      <w:bookmarkEnd w:id="267"/>
      <w:bookmarkEnd w:id="268"/>
      <w:bookmarkEnd w:id="272"/>
      <w:r>
        <w:rPr>
          <w:u w:val="single"/>
        </w:rPr>
        <w:t xml:space="preserve">Section </w:t>
      </w:r>
      <w:r>
        <w:rPr>
          <w:u w:val="single"/>
        </w:rPr>
        <w:fldChar w:fldCharType="begin"/>
      </w:r>
      <w:r>
        <w:rPr>
          <w:u w:val="single"/>
        </w:rPr>
        <w:instrText xml:space="preserve"> REF _Ref264905368 \r \h </w:instrText>
      </w:r>
      <w:r>
        <w:rPr>
          <w:u w:val="single"/>
        </w:rPr>
      </w:r>
      <w:r>
        <w:rPr>
          <w:u w:val="single"/>
        </w:rPr>
        <w:fldChar w:fldCharType="separate"/>
      </w:r>
      <w:r w:rsidR="00222212">
        <w:rPr>
          <w:u w:val="single"/>
        </w:rPr>
        <w:t>2</w:t>
      </w:r>
      <w:r>
        <w:rPr>
          <w:u w:val="single"/>
        </w:rPr>
        <w:fldChar w:fldCharType="end"/>
      </w:r>
      <w:r>
        <w:t xml:space="preserve"> with respect to the Registrable Securities of any selling Holder that such Holder shall furnish to the Company such information regarding itself, the Registrable Securities held by it, and the intended method of disposition of such securities as is reasonably required to effect the registration of such Holder’s Registrable Securities.</w:t>
      </w:r>
      <w:bookmarkStart w:id="273" w:name="_Toc116180665"/>
      <w:bookmarkStart w:id="274" w:name="_Toc131593456"/>
      <w:bookmarkStart w:id="275" w:name="_Toc136067375"/>
      <w:bookmarkEnd w:id="269"/>
      <w:bookmarkEnd w:id="270"/>
    </w:p>
    <w:p w:rsidR="00B95ADB" w:rsidRDefault="00B95ADB">
      <w:pPr>
        <w:pStyle w:val="Heading2"/>
        <w:rPr>
          <w:vanish/>
          <w:specVanish/>
        </w:rPr>
      </w:pPr>
      <w:bookmarkStart w:id="276" w:name="_DV_M158"/>
      <w:bookmarkStart w:id="277" w:name="_Toc165866765"/>
      <w:bookmarkStart w:id="278" w:name="_Ref264905010"/>
      <w:bookmarkStart w:id="279" w:name="_Toc505091144"/>
      <w:bookmarkEnd w:id="276"/>
      <w:r>
        <w:t>Expenses of Registration</w:t>
      </w:r>
      <w:bookmarkEnd w:id="279"/>
    </w:p>
    <w:p w:rsidR="00B95ADB" w:rsidRDefault="00B95ADB">
      <w:pPr>
        <w:pStyle w:val="Bod"/>
      </w:pPr>
      <w:r>
        <w:t xml:space="preserve">.  All expenses (other than Selling Expenses) incurred in connection with registrations, filings, or qualifications pursuant to </w:t>
      </w:r>
      <w:bookmarkStart w:id="280" w:name="_DV_M159"/>
      <w:bookmarkEnd w:id="273"/>
      <w:bookmarkEnd w:id="277"/>
      <w:bookmarkEnd w:id="280"/>
      <w:r>
        <w:rPr>
          <w:u w:val="single"/>
        </w:rPr>
        <w:t xml:space="preserve">Section </w:t>
      </w:r>
      <w:r>
        <w:rPr>
          <w:u w:val="single"/>
        </w:rPr>
        <w:fldChar w:fldCharType="begin"/>
      </w:r>
      <w:r>
        <w:rPr>
          <w:u w:val="single"/>
        </w:rPr>
        <w:instrText xml:space="preserve"> REF _Ref264905377 \r \h </w:instrText>
      </w:r>
      <w:r>
        <w:rPr>
          <w:u w:val="single"/>
        </w:rPr>
      </w:r>
      <w:r>
        <w:rPr>
          <w:u w:val="single"/>
        </w:rPr>
        <w:fldChar w:fldCharType="separate"/>
      </w:r>
      <w:r w:rsidR="00222212">
        <w:rPr>
          <w:u w:val="single"/>
        </w:rPr>
        <w:t>2</w:t>
      </w:r>
      <w:r>
        <w:rPr>
          <w:u w:val="single"/>
        </w:rPr>
        <w:fldChar w:fldCharType="end"/>
      </w:r>
      <w:r>
        <w:t>, including all registration, filing, and qualification fees; printers’ and accounting fees; fees and disbursements of counsel for the Company; and the reasonable fees and disbursements[, not to exceed $_____,] of one counsel for the selling Holders</w:t>
      </w:r>
      <w:r>
        <w:rPr>
          <w:rStyle w:val="DeltaViewInsertion"/>
          <w:color w:val="000000"/>
          <w:szCs w:val="16"/>
          <w:u w:val="none"/>
        </w:rPr>
        <w:t xml:space="preserve"> </w:t>
      </w:r>
      <w:r>
        <w:rPr>
          <w:rStyle w:val="DeltaViewInsertion"/>
          <w:b w:val="0"/>
          <w:color w:val="000000"/>
          <w:szCs w:val="16"/>
          <w:u w:val="none"/>
        </w:rPr>
        <w:t>(“</w:t>
      </w:r>
      <w:r>
        <w:rPr>
          <w:rStyle w:val="DeltaViewInsertion"/>
          <w:color w:val="000000"/>
          <w:szCs w:val="16"/>
          <w:u w:val="none"/>
        </w:rPr>
        <w:t>Selling Holder Counsel</w:t>
      </w:r>
      <w:r>
        <w:rPr>
          <w:rStyle w:val="DeltaViewInsertion"/>
          <w:b w:val="0"/>
          <w:color w:val="000000"/>
          <w:szCs w:val="16"/>
          <w:u w:val="none"/>
        </w:rPr>
        <w:t>”)</w:t>
      </w:r>
      <w:r>
        <w:t xml:space="preserve">, shall be borne and paid by the Company; </w:t>
      </w:r>
      <w:r>
        <w:rPr>
          <w:u w:val="single"/>
        </w:rPr>
        <w:t>provided</w:t>
      </w:r>
      <w:r>
        <w:t xml:space="preserve">, </w:t>
      </w:r>
      <w:r>
        <w:rPr>
          <w:u w:val="single"/>
        </w:rPr>
        <w:t>however</w:t>
      </w:r>
      <w:r>
        <w:t xml:space="preserve">, that the Company shall not be required to pay for any expenses of any registration proceeding begun pursuant to </w:t>
      </w:r>
      <w:r>
        <w:rPr>
          <w:u w:val="single"/>
        </w:rPr>
        <w:t xml:space="preserve">Subsection </w:t>
      </w:r>
      <w:r>
        <w:rPr>
          <w:u w:val="single"/>
        </w:rPr>
        <w:fldChar w:fldCharType="begin"/>
      </w:r>
      <w:r>
        <w:rPr>
          <w:u w:val="single"/>
        </w:rPr>
        <w:instrText xml:space="preserve"> REF _Ref264905390 \r \h </w:instrText>
      </w:r>
      <w:r>
        <w:rPr>
          <w:u w:val="single"/>
        </w:rPr>
      </w:r>
      <w:r>
        <w:rPr>
          <w:u w:val="single"/>
        </w:rPr>
        <w:instrText xml:space="preserve"> \* MERGEFORMAT </w:instrText>
      </w:r>
      <w:r>
        <w:rPr>
          <w:u w:val="single"/>
        </w:rPr>
        <w:fldChar w:fldCharType="separate"/>
      </w:r>
      <w:r w:rsidR="00222212">
        <w:rPr>
          <w:u w:val="single"/>
        </w:rPr>
        <w:t>2.1</w:t>
      </w:r>
      <w:r>
        <w:rPr>
          <w:u w:val="single"/>
        </w:rPr>
        <w:fldChar w:fldCharType="end"/>
      </w:r>
      <w:r>
        <w:t xml:space="preserve"> if the registration request is subsequently withdrawn at the request of the Holders of a majority of the Registrable Securities to be registered (in which case all selling Holders shall bear such expenses pro rata based upon the number of Registrable Securities that were to be included in the withdrawn registration), unless the Holders of a majority of the Registrable Securities agree to forfeit their right to one registration pursuant to </w:t>
      </w:r>
      <w:r>
        <w:rPr>
          <w:u w:val="single"/>
        </w:rPr>
        <w:t xml:space="preserve">Subsections </w:t>
      </w:r>
      <w:bookmarkStart w:id="281" w:name="_DV_M160"/>
      <w:bookmarkEnd w:id="281"/>
      <w:r>
        <w:rPr>
          <w:u w:val="single"/>
        </w:rPr>
        <w:fldChar w:fldCharType="begin"/>
      </w:r>
      <w:r>
        <w:rPr>
          <w:u w:val="single"/>
        </w:rPr>
        <w:instrText xml:space="preserve"> REF _Ref264905399 \r \h </w:instrText>
      </w:r>
      <w:r>
        <w:rPr>
          <w:u w:val="single"/>
        </w:rPr>
      </w:r>
      <w:r>
        <w:rPr>
          <w:u w:val="single"/>
        </w:rPr>
        <w:instrText xml:space="preserve"> \* MERGEFORMAT </w:instrText>
      </w:r>
      <w:r>
        <w:rPr>
          <w:u w:val="single"/>
        </w:rPr>
        <w:fldChar w:fldCharType="separate"/>
      </w:r>
      <w:r w:rsidR="00222212">
        <w:rPr>
          <w:u w:val="single"/>
        </w:rPr>
        <w:t>2.1(a)</w:t>
      </w:r>
      <w:r>
        <w:rPr>
          <w:u w:val="single"/>
        </w:rPr>
        <w:fldChar w:fldCharType="end"/>
      </w:r>
      <w:r>
        <w:t xml:space="preserve"> or </w:t>
      </w:r>
      <w:r>
        <w:rPr>
          <w:rStyle w:val="DeltaViewInsertion"/>
          <w:b w:val="0"/>
          <w:color w:val="000000"/>
          <w:szCs w:val="16"/>
          <w:u w:val="single"/>
        </w:rPr>
        <w:fldChar w:fldCharType="begin"/>
      </w:r>
      <w:r>
        <w:rPr>
          <w:u w:val="single"/>
        </w:rPr>
        <w:instrText xml:space="preserve"> REF _Ref264905413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2.1(b)</w:t>
      </w:r>
      <w:r>
        <w:rPr>
          <w:rStyle w:val="DeltaViewInsertion"/>
          <w:b w:val="0"/>
          <w:color w:val="000000"/>
          <w:szCs w:val="16"/>
          <w:u w:val="single"/>
        </w:rPr>
        <w:fldChar w:fldCharType="end"/>
      </w:r>
      <w:r>
        <w:rPr>
          <w:rStyle w:val="DeltaViewInsertion"/>
          <w:b w:val="0"/>
          <w:color w:val="000000"/>
          <w:szCs w:val="16"/>
          <w:u w:val="none"/>
        </w:rPr>
        <w:t>,</w:t>
      </w:r>
      <w:r>
        <w:t xml:space="preserve"> as the case may be[; </w:t>
      </w:r>
      <w:r>
        <w:rPr>
          <w:u w:val="single"/>
        </w:rPr>
        <w:t>provided</w:t>
      </w:r>
      <w:r>
        <w:t xml:space="preserve"> </w:t>
      </w:r>
      <w:r>
        <w:rPr>
          <w:u w:val="single"/>
        </w:rPr>
        <w:t>further</w:t>
      </w:r>
      <w:r>
        <w:t xml:space="preserve"> that if, at the time of such withdrawal, the Holders shall have learned of a material adverse change in the condition, business, or prospects of the Company from that known to the Holders at the time of their request and have withdrawn the request with reasonable promptness after learning of such information] then the Holders shall not be required to pay any of such expenses and shall not forfeit their right to one registration pursuant to </w:t>
      </w:r>
      <w:r>
        <w:rPr>
          <w:u w:val="single"/>
        </w:rPr>
        <w:t xml:space="preserve">Subsections </w:t>
      </w:r>
      <w:r>
        <w:rPr>
          <w:u w:val="single"/>
        </w:rPr>
        <w:fldChar w:fldCharType="begin"/>
      </w:r>
      <w:r>
        <w:rPr>
          <w:u w:val="single"/>
        </w:rPr>
        <w:instrText xml:space="preserve"> REF _Ref264905399 \r \h </w:instrText>
      </w:r>
      <w:r>
        <w:rPr>
          <w:u w:val="single"/>
        </w:rPr>
      </w:r>
      <w:r>
        <w:rPr>
          <w:u w:val="single"/>
        </w:rPr>
        <w:instrText xml:space="preserve"> \* MERGEFORMAT </w:instrText>
      </w:r>
      <w:r>
        <w:rPr>
          <w:u w:val="single"/>
        </w:rPr>
        <w:fldChar w:fldCharType="separate"/>
      </w:r>
      <w:r w:rsidR="00222212">
        <w:rPr>
          <w:u w:val="single"/>
        </w:rPr>
        <w:t>2.1(a)</w:t>
      </w:r>
      <w:r>
        <w:rPr>
          <w:u w:val="single"/>
        </w:rPr>
        <w:fldChar w:fldCharType="end"/>
      </w:r>
      <w:r>
        <w:t xml:space="preserve"> or </w:t>
      </w:r>
      <w:r>
        <w:rPr>
          <w:rStyle w:val="DeltaViewInsertion"/>
          <w:b w:val="0"/>
          <w:color w:val="000000"/>
          <w:szCs w:val="16"/>
          <w:u w:val="single"/>
        </w:rPr>
        <w:fldChar w:fldCharType="begin"/>
      </w:r>
      <w:r>
        <w:rPr>
          <w:u w:val="single"/>
        </w:rPr>
        <w:instrText xml:space="preserve"> REF _Ref264905413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2.1(b)</w:t>
      </w:r>
      <w:r>
        <w:rPr>
          <w:rStyle w:val="DeltaViewInsertion"/>
          <w:b w:val="0"/>
          <w:color w:val="000000"/>
          <w:szCs w:val="16"/>
          <w:u w:val="single"/>
        </w:rPr>
        <w:fldChar w:fldCharType="end"/>
      </w:r>
      <w:r>
        <w:t xml:space="preserve">].  All Selling Expenses relating to Registrable Securities registered pursuant to this </w:t>
      </w:r>
      <w:r>
        <w:rPr>
          <w:u w:val="single"/>
        </w:rPr>
        <w:t xml:space="preserve">Section </w:t>
      </w:r>
      <w:r>
        <w:rPr>
          <w:u w:val="single"/>
        </w:rPr>
        <w:fldChar w:fldCharType="begin"/>
      </w:r>
      <w:r>
        <w:rPr>
          <w:u w:val="single"/>
        </w:rPr>
        <w:instrText xml:space="preserve"> REF _Ref264905437 \r \h </w:instrText>
      </w:r>
      <w:r>
        <w:rPr>
          <w:u w:val="single"/>
        </w:rPr>
      </w:r>
      <w:r>
        <w:rPr>
          <w:u w:val="single"/>
        </w:rPr>
        <w:fldChar w:fldCharType="separate"/>
      </w:r>
      <w:r w:rsidR="00222212">
        <w:rPr>
          <w:u w:val="single"/>
        </w:rPr>
        <w:t>2</w:t>
      </w:r>
      <w:r>
        <w:rPr>
          <w:u w:val="single"/>
        </w:rPr>
        <w:fldChar w:fldCharType="end"/>
      </w:r>
      <w:r>
        <w:t xml:space="preserve"> shall be borne and paid by the Holders pro rata on the basis of the number of Registrable Securities registered on their behalf.</w:t>
      </w:r>
      <w:bookmarkStart w:id="282" w:name="_DV_M162"/>
      <w:bookmarkEnd w:id="274"/>
      <w:bookmarkEnd w:id="275"/>
      <w:bookmarkEnd w:id="278"/>
      <w:bookmarkEnd w:id="282"/>
      <w:r>
        <w:t xml:space="preserve"> </w:t>
      </w:r>
    </w:p>
    <w:p w:rsidR="00B95ADB" w:rsidRDefault="00B95ADB">
      <w:pPr>
        <w:pStyle w:val="Heading2"/>
        <w:rPr>
          <w:vanish/>
          <w:specVanish/>
        </w:rPr>
      </w:pPr>
      <w:bookmarkStart w:id="283" w:name="_DV_M163"/>
      <w:bookmarkStart w:id="284" w:name="_Toc116180666"/>
      <w:bookmarkStart w:id="285" w:name="_Toc165866766"/>
      <w:bookmarkStart w:id="286" w:name="_Toc131593457"/>
      <w:bookmarkStart w:id="287" w:name="_Toc136067376"/>
      <w:bookmarkStart w:id="288" w:name="_Toc505091145"/>
      <w:bookmarkEnd w:id="283"/>
      <w:r>
        <w:t>Delay of Registration</w:t>
      </w:r>
      <w:bookmarkEnd w:id="288"/>
    </w:p>
    <w:p w:rsidR="00B95ADB" w:rsidRDefault="00B95ADB">
      <w:pPr>
        <w:pStyle w:val="Bod"/>
      </w:pPr>
      <w:r>
        <w:t xml:space="preserve">.  No Holder shall have any right to obtain or seek an injunction restraining or otherwise delaying any registration pursuant to this Agreement as the result of any controversy that might arise with respect to the interpretation or implementation of this </w:t>
      </w:r>
      <w:bookmarkStart w:id="289" w:name="_DV_M164"/>
      <w:bookmarkEnd w:id="284"/>
      <w:bookmarkEnd w:id="285"/>
      <w:bookmarkEnd w:id="289"/>
      <w:r>
        <w:rPr>
          <w:u w:val="single"/>
        </w:rPr>
        <w:t xml:space="preserve">Section </w:t>
      </w:r>
      <w:r w:rsidR="00AB4844">
        <w:rPr>
          <w:u w:val="single"/>
        </w:rPr>
        <w:fldChar w:fldCharType="begin"/>
      </w:r>
      <w:r w:rsidR="00AB4844">
        <w:rPr>
          <w:u w:val="single"/>
        </w:rPr>
        <w:instrText xml:space="preserve"> REF _Ref431298335 \w \h </w:instrText>
      </w:r>
      <w:r w:rsidR="00AB4844">
        <w:rPr>
          <w:u w:val="single"/>
        </w:rPr>
      </w:r>
      <w:r w:rsidR="00AB4844">
        <w:rPr>
          <w:u w:val="single"/>
        </w:rPr>
        <w:fldChar w:fldCharType="separate"/>
      </w:r>
      <w:r w:rsidR="00222212">
        <w:rPr>
          <w:u w:val="single"/>
        </w:rPr>
        <w:t>2</w:t>
      </w:r>
      <w:r w:rsidR="00AB4844">
        <w:rPr>
          <w:u w:val="single"/>
        </w:rPr>
        <w:fldChar w:fldCharType="end"/>
      </w:r>
      <w:r>
        <w:t>.</w:t>
      </w:r>
      <w:bookmarkEnd w:id="286"/>
      <w:bookmarkEnd w:id="287"/>
    </w:p>
    <w:p w:rsidR="00B95ADB" w:rsidRDefault="00B95ADB">
      <w:pPr>
        <w:pStyle w:val="Heading2"/>
        <w:rPr>
          <w:vanish/>
          <w:specVanish/>
        </w:rPr>
      </w:pPr>
      <w:bookmarkStart w:id="290" w:name="_DV_M165"/>
      <w:bookmarkStart w:id="291" w:name="_Toc116180667"/>
      <w:bookmarkStart w:id="292" w:name="_Toc165866767"/>
      <w:bookmarkStart w:id="293" w:name="_Toc131593458"/>
      <w:bookmarkStart w:id="294" w:name="_Toc136067377"/>
      <w:bookmarkStart w:id="295" w:name="_Ref264905516"/>
      <w:bookmarkStart w:id="296" w:name="_Ref264905523"/>
      <w:bookmarkStart w:id="297" w:name="_Ref264905529"/>
      <w:bookmarkStart w:id="298" w:name="_Ref264905543"/>
      <w:bookmarkStart w:id="299" w:name="_Ref264905554"/>
      <w:bookmarkStart w:id="300" w:name="_Ref264905564"/>
      <w:bookmarkStart w:id="301" w:name="_Ref264905570"/>
      <w:bookmarkStart w:id="302" w:name="_Ref264905608"/>
      <w:bookmarkStart w:id="303" w:name="_Toc505091146"/>
      <w:bookmarkEnd w:id="290"/>
      <w:r>
        <w:t>Indemnification</w:t>
      </w:r>
      <w:bookmarkEnd w:id="303"/>
    </w:p>
    <w:p w:rsidR="00B95ADB" w:rsidRDefault="00B95ADB">
      <w:pPr>
        <w:pStyle w:val="Bod"/>
      </w:pPr>
      <w:r>
        <w:t>.</w:t>
      </w:r>
      <w:bookmarkStart w:id="304" w:name="_DV_M167"/>
      <w:bookmarkEnd w:id="291"/>
      <w:bookmarkEnd w:id="292"/>
      <w:bookmarkEnd w:id="304"/>
      <w:r>
        <w:rPr>
          <w:rStyle w:val="FootnoteReference"/>
        </w:rPr>
        <w:footnoteReference w:id="22"/>
      </w:r>
      <w:r>
        <w:t xml:space="preserve">  If any Registrable Securities are included in a registration statement under this </w:t>
      </w:r>
      <w:r>
        <w:rPr>
          <w:u w:val="single"/>
        </w:rPr>
        <w:t xml:space="preserve">Section </w:t>
      </w:r>
      <w:r>
        <w:rPr>
          <w:u w:val="single"/>
        </w:rPr>
        <w:fldChar w:fldCharType="begin"/>
      </w:r>
      <w:r>
        <w:rPr>
          <w:u w:val="single"/>
        </w:rPr>
        <w:instrText xml:space="preserve"> REF _Ref264905444 \r \h </w:instrText>
      </w:r>
      <w:r>
        <w:rPr>
          <w:u w:val="single"/>
        </w:rPr>
      </w:r>
      <w:r>
        <w:rPr>
          <w:u w:val="single"/>
        </w:rPr>
        <w:fldChar w:fldCharType="separate"/>
      </w:r>
      <w:r w:rsidR="00222212">
        <w:rPr>
          <w:u w:val="single"/>
        </w:rPr>
        <w:t>2</w:t>
      </w:r>
      <w:r>
        <w:rPr>
          <w:u w:val="single"/>
        </w:rPr>
        <w:fldChar w:fldCharType="end"/>
      </w:r>
      <w:r>
        <w:t>:</w:t>
      </w:r>
      <w:bookmarkEnd w:id="293"/>
      <w:bookmarkEnd w:id="294"/>
      <w:bookmarkEnd w:id="295"/>
      <w:bookmarkEnd w:id="296"/>
      <w:bookmarkEnd w:id="297"/>
      <w:bookmarkEnd w:id="298"/>
      <w:bookmarkEnd w:id="299"/>
      <w:bookmarkEnd w:id="300"/>
      <w:bookmarkEnd w:id="301"/>
      <w:bookmarkEnd w:id="302"/>
    </w:p>
    <w:p w:rsidR="00B95ADB" w:rsidRDefault="00B95ADB">
      <w:pPr>
        <w:pStyle w:val="Heading3"/>
      </w:pPr>
      <w:bookmarkStart w:id="306" w:name="_DV_M168"/>
      <w:bookmarkStart w:id="307" w:name="_Toc136067378"/>
      <w:bookmarkStart w:id="308" w:name="_Ref264905460"/>
      <w:bookmarkEnd w:id="306"/>
      <w:r>
        <w:t>To the extent permitted by law, the Company will indemnify and hold harmless each selling Holder, and the partners, members, officers, directors, and stockholders of each such Holder; legal counsel and accountants for each such Holder; any underwriter (as defined in the Securities Act) for each such Holder; and each Person, if any, who controls such Holder or underwriter within the meaning of the Securities Act or the Exchange Act, against any Damages, and the Company will pay to each such Holder, underwriter, controlling Person, or other aforementioned Person any legal or other expenses reasonably incurred thereby in connection with investigating or defending any</w:t>
      </w:r>
      <w:r>
        <w:rPr>
          <w:rStyle w:val="DeltaViewInsertion"/>
          <w:b w:val="0"/>
          <w:color w:val="000000"/>
          <w:szCs w:val="16"/>
          <w:u w:val="none"/>
        </w:rPr>
        <w:t xml:space="preserve"> claim or</w:t>
      </w:r>
      <w:r>
        <w:t xml:space="preserve"> proceeding from which Damages may result, as such expenses are incurred; </w:t>
      </w:r>
      <w:r>
        <w:rPr>
          <w:u w:val="single"/>
        </w:rPr>
        <w:t>provided</w:t>
      </w:r>
      <w:r>
        <w:t xml:space="preserve">, </w:t>
      </w:r>
      <w:r>
        <w:rPr>
          <w:u w:val="single"/>
        </w:rPr>
        <w:t>however</w:t>
      </w:r>
      <w:r>
        <w:t xml:space="preserve">, that the indemnity agreement contained in this </w:t>
      </w:r>
      <w:r>
        <w:rPr>
          <w:u w:val="single"/>
        </w:rPr>
        <w:t xml:space="preserve">Subsection </w:t>
      </w:r>
      <w:bookmarkStart w:id="309" w:name="_DV_M169"/>
      <w:bookmarkEnd w:id="309"/>
      <w:r>
        <w:rPr>
          <w:u w:val="single"/>
        </w:rPr>
        <w:t>2.8</w:t>
      </w:r>
      <w:r>
        <w:rPr>
          <w:rStyle w:val="DeltaViewInsertion"/>
          <w:b w:val="0"/>
          <w:color w:val="000000"/>
          <w:szCs w:val="16"/>
          <w:u w:val="single"/>
        </w:rPr>
        <w:fldChar w:fldCharType="begin"/>
      </w:r>
      <w:r>
        <w:rPr>
          <w:u w:val="single"/>
        </w:rPr>
        <w:instrText xml:space="preserve"> REF _Ref264905460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(a)</w:t>
      </w:r>
      <w:r>
        <w:rPr>
          <w:rStyle w:val="DeltaViewInsertion"/>
          <w:b w:val="0"/>
          <w:color w:val="000000"/>
          <w:szCs w:val="16"/>
          <w:u w:val="single"/>
        </w:rPr>
        <w:fldChar w:fldCharType="end"/>
      </w:r>
      <w:r>
        <w:t xml:space="preserve"> shall not apply to amounts paid in settlement of any such </w:t>
      </w:r>
      <w:r>
        <w:rPr>
          <w:rStyle w:val="DeltaViewInsertion"/>
          <w:b w:val="0"/>
          <w:color w:val="000000"/>
          <w:szCs w:val="16"/>
          <w:u w:val="none"/>
        </w:rPr>
        <w:t>claim</w:t>
      </w:r>
      <w:r>
        <w:t xml:space="preserve"> or proceeding if such settlement is effected without the consent of the Company, which consent shall not be unreasonably withheld, nor shall the Company be liable for any Damages to the extent that they arise out of or are based upon actions or omissions made in reliance upon and in conformity with written information furnished by or on behalf of any such Holder, underwriter, controlling Person, or other aforementioned Person expressly for use in connection with such registration.</w:t>
      </w:r>
      <w:bookmarkStart w:id="310" w:name="_Toc136067379"/>
      <w:bookmarkEnd w:id="307"/>
      <w:bookmarkEnd w:id="308"/>
    </w:p>
    <w:p w:rsidR="00B95ADB" w:rsidRDefault="00B95ADB">
      <w:pPr>
        <w:pStyle w:val="Heading3"/>
      </w:pPr>
      <w:bookmarkStart w:id="311" w:name="_DV_M170"/>
      <w:bookmarkStart w:id="312" w:name="_Ref264905478"/>
      <w:bookmarkEnd w:id="311"/>
      <w:r>
        <w:t>To the extent permitted by law, each selling Holder, severally and not jointly, will indemnify and hold harmless the Company, and each of its directors, each of its officers who has signed the registration statement, each Person (if any), who controls the Company within the meaning of the Securities Act, legal counsel and accountants for the Company, any underwriter (as defined in the Securities Act), any other Holder selling securities in such registration statement, and any controlling Person of any such underwriter or other Holder, against any Damages, in each case only to the extent that such Damages arise out of or are based upon actions or omissions made in reliance upon and in conformity with written information furnished by or on behalf of such selling Holder expressly for use in connection with such registration; and each such selling Holder will pay to the Company and each other aforementioned Person any legal or other expenses reasonably incurred thereby in connection with investigating or defending any</w:t>
      </w:r>
      <w:r>
        <w:rPr>
          <w:rStyle w:val="DeltaViewInsertion"/>
          <w:b w:val="0"/>
          <w:color w:val="000000"/>
          <w:szCs w:val="16"/>
          <w:u w:val="none"/>
        </w:rPr>
        <w:t xml:space="preserve"> claim or</w:t>
      </w:r>
      <w:r>
        <w:t xml:space="preserve"> proceeding from which Damages may result, as such expenses are incurred; </w:t>
      </w:r>
      <w:r>
        <w:rPr>
          <w:u w:val="single"/>
        </w:rPr>
        <w:t>provided</w:t>
      </w:r>
      <w:r>
        <w:t xml:space="preserve">, </w:t>
      </w:r>
      <w:r>
        <w:rPr>
          <w:u w:val="single"/>
        </w:rPr>
        <w:t>however</w:t>
      </w:r>
      <w:r>
        <w:t xml:space="preserve">, that the indemnity agreement contained in this </w:t>
      </w:r>
      <w:r>
        <w:rPr>
          <w:u w:val="single"/>
        </w:rPr>
        <w:t xml:space="preserve">Subsection </w:t>
      </w:r>
      <w:bookmarkStart w:id="313" w:name="_DV_M171"/>
      <w:bookmarkEnd w:id="313"/>
      <w:r>
        <w:rPr>
          <w:u w:val="single"/>
        </w:rPr>
        <w:t>2.8</w:t>
      </w:r>
      <w:r>
        <w:rPr>
          <w:rStyle w:val="DeltaViewInsertion"/>
          <w:b w:val="0"/>
          <w:color w:val="000000"/>
          <w:szCs w:val="16"/>
          <w:u w:val="single"/>
        </w:rPr>
        <w:fldChar w:fldCharType="begin"/>
      </w:r>
      <w:r>
        <w:rPr>
          <w:u w:val="single"/>
        </w:rPr>
        <w:instrText xml:space="preserve"> REF _Ref264905478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(b)</w:t>
      </w:r>
      <w:r>
        <w:rPr>
          <w:rStyle w:val="DeltaViewInsertion"/>
          <w:b w:val="0"/>
          <w:color w:val="000000"/>
          <w:szCs w:val="16"/>
          <w:u w:val="single"/>
        </w:rPr>
        <w:fldChar w:fldCharType="end"/>
      </w:r>
      <w:r>
        <w:t xml:space="preserve"> shall not apply to amounts paid in settlement of any such </w:t>
      </w:r>
      <w:r>
        <w:rPr>
          <w:rStyle w:val="DeltaViewInsertion"/>
          <w:b w:val="0"/>
          <w:color w:val="000000"/>
          <w:szCs w:val="16"/>
          <w:u w:val="none"/>
        </w:rPr>
        <w:t>claim</w:t>
      </w:r>
      <w:r>
        <w:t xml:space="preserve"> or proceeding if such settlement is effected without the consent of the Holder, which consent shall not be unreasonably withheld; and </w:t>
      </w:r>
      <w:r>
        <w:rPr>
          <w:u w:val="single"/>
        </w:rPr>
        <w:t>provided</w:t>
      </w:r>
      <w:r>
        <w:t xml:space="preserve"> </w:t>
      </w:r>
      <w:r>
        <w:rPr>
          <w:u w:val="single"/>
        </w:rPr>
        <w:t>further</w:t>
      </w:r>
      <w:r>
        <w:t xml:space="preserve"> that in no event shall the aggregate amounts payable by any Holder by way of indemnity or contribution under </w:t>
      </w:r>
      <w:r>
        <w:rPr>
          <w:u w:val="single"/>
        </w:rPr>
        <w:t>Subsections 2.8</w:t>
      </w:r>
      <w:r>
        <w:rPr>
          <w:rStyle w:val="DeltaViewInsertion"/>
          <w:b w:val="0"/>
          <w:color w:val="000000"/>
          <w:szCs w:val="16"/>
          <w:u w:val="single"/>
        </w:rPr>
        <w:fldChar w:fldCharType="begin"/>
      </w:r>
      <w:r>
        <w:rPr>
          <w:u w:val="single"/>
        </w:rPr>
        <w:instrText xml:space="preserve"> REF _Ref264905478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(b)</w:t>
      </w:r>
      <w:r>
        <w:rPr>
          <w:rStyle w:val="DeltaViewInsertion"/>
          <w:b w:val="0"/>
          <w:color w:val="000000"/>
          <w:szCs w:val="16"/>
          <w:u w:val="single"/>
        </w:rPr>
        <w:fldChar w:fldCharType="end"/>
      </w:r>
      <w:r>
        <w:t xml:space="preserve"> and </w:t>
      </w:r>
      <w:r>
        <w:rPr>
          <w:u w:val="single"/>
        </w:rPr>
        <w:t>2.8</w:t>
      </w:r>
      <w:r>
        <w:rPr>
          <w:u w:val="single"/>
        </w:rPr>
        <w:fldChar w:fldCharType="begin"/>
      </w:r>
      <w:r>
        <w:rPr>
          <w:u w:val="single"/>
        </w:rPr>
        <w:instrText xml:space="preserve"> REF _Ref264905501 \r \h </w:instrText>
      </w:r>
      <w:r>
        <w:rPr>
          <w:u w:val="single"/>
        </w:rPr>
      </w:r>
      <w:r>
        <w:rPr>
          <w:u w:val="single"/>
        </w:rPr>
        <w:instrText xml:space="preserve"> \* MERGEFORMAT </w:instrText>
      </w:r>
      <w:r>
        <w:rPr>
          <w:u w:val="single"/>
        </w:rPr>
        <w:fldChar w:fldCharType="separate"/>
      </w:r>
      <w:r w:rsidR="00222212">
        <w:rPr>
          <w:u w:val="single"/>
        </w:rPr>
        <w:t>(d)</w:t>
      </w:r>
      <w:r>
        <w:rPr>
          <w:u w:val="single"/>
        </w:rPr>
        <w:fldChar w:fldCharType="end"/>
      </w:r>
      <w:r>
        <w:t xml:space="preserve"> exceed the proceeds from the offering </w:t>
      </w:r>
      <w:r>
        <w:rPr>
          <w:rStyle w:val="DeltaViewInsertion"/>
          <w:b w:val="0"/>
          <w:color w:val="000000"/>
          <w:szCs w:val="16"/>
          <w:u w:val="none"/>
        </w:rPr>
        <w:t xml:space="preserve">received by such Holder </w:t>
      </w:r>
      <w:r>
        <w:t>(net of any Selling Expenses</w:t>
      </w:r>
      <w:r>
        <w:rPr>
          <w:rStyle w:val="DeltaViewInsertion"/>
          <w:b w:val="0"/>
          <w:color w:val="000000"/>
          <w:szCs w:val="16"/>
          <w:u w:val="none"/>
        </w:rPr>
        <w:t xml:space="preserve"> paid by such Holder</w:t>
      </w:r>
      <w:r>
        <w:t>), except in the case of fraud or willful misconduct by such Holder.</w:t>
      </w:r>
      <w:bookmarkStart w:id="314" w:name="_Toc136067380"/>
      <w:bookmarkEnd w:id="310"/>
      <w:bookmarkEnd w:id="312"/>
    </w:p>
    <w:p w:rsidR="00B95ADB" w:rsidRDefault="00B95ADB">
      <w:pPr>
        <w:pStyle w:val="Heading3"/>
      </w:pPr>
      <w:bookmarkStart w:id="315" w:name="_DV_M172"/>
      <w:bookmarkEnd w:id="315"/>
      <w:r>
        <w:t xml:space="preserve">Promptly after receipt by an indemnified party under this </w:t>
      </w:r>
      <w:r>
        <w:rPr>
          <w:u w:val="single"/>
        </w:rPr>
        <w:t xml:space="preserve">Subsection </w:t>
      </w:r>
      <w:r>
        <w:rPr>
          <w:rStyle w:val="DeltaViewInsertion"/>
          <w:b w:val="0"/>
          <w:color w:val="000000"/>
          <w:szCs w:val="16"/>
          <w:u w:val="single"/>
        </w:rPr>
        <w:fldChar w:fldCharType="begin"/>
      </w:r>
      <w:r>
        <w:rPr>
          <w:u w:val="single"/>
        </w:rPr>
        <w:instrText xml:space="preserve"> REF _Ref264905516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2.8</w:t>
      </w:r>
      <w:r>
        <w:rPr>
          <w:rStyle w:val="DeltaViewInsertion"/>
          <w:b w:val="0"/>
          <w:color w:val="000000"/>
          <w:szCs w:val="16"/>
          <w:u w:val="single"/>
        </w:rPr>
        <w:fldChar w:fldCharType="end"/>
      </w:r>
      <w:r>
        <w:rPr>
          <w:b/>
        </w:rPr>
        <w:t xml:space="preserve"> </w:t>
      </w:r>
      <w:r>
        <w:t xml:space="preserve">of notice of the commencement of any action (including any governmental action) for which a party may be entitled to indemnification hereunder, such indemnified party will, if a claim in respect thereof is to be made against any indemnifying party under this </w:t>
      </w:r>
      <w:r>
        <w:rPr>
          <w:u w:val="single"/>
        </w:rPr>
        <w:t xml:space="preserve">Subsection </w:t>
      </w:r>
      <w:r>
        <w:rPr>
          <w:rStyle w:val="DeltaViewInsertion"/>
          <w:b w:val="0"/>
          <w:color w:val="000000"/>
          <w:szCs w:val="16"/>
          <w:u w:val="single"/>
        </w:rPr>
        <w:fldChar w:fldCharType="begin"/>
      </w:r>
      <w:r>
        <w:rPr>
          <w:u w:val="single"/>
        </w:rPr>
        <w:instrText xml:space="preserve"> REF _Ref264905523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2.8</w:t>
      </w:r>
      <w:r>
        <w:rPr>
          <w:rStyle w:val="DeltaViewInsertion"/>
          <w:b w:val="0"/>
          <w:color w:val="000000"/>
          <w:szCs w:val="16"/>
          <w:u w:val="single"/>
        </w:rPr>
        <w:fldChar w:fldCharType="end"/>
      </w:r>
      <w:r>
        <w:rPr>
          <w:rStyle w:val="DeltaViewInsertion"/>
          <w:b w:val="0"/>
          <w:color w:val="000000"/>
          <w:szCs w:val="16"/>
          <w:u w:val="none"/>
        </w:rPr>
        <w:t>,</w:t>
      </w:r>
      <w:r>
        <w:t xml:space="preserve"> give the indemnifying party notice of the commencement thereof.  The indemnifying party shall have the right to participate in such action and, to the extent the indemnifying party so desires, participate jointly with any other indemnifying party to which notice has been given, and to assume the defense thereof with counsel mutually satisfactory to the parties; </w:t>
      </w:r>
      <w:r>
        <w:rPr>
          <w:u w:val="single"/>
        </w:rPr>
        <w:t>provided</w:t>
      </w:r>
      <w:r>
        <w:t xml:space="preserve">, </w:t>
      </w:r>
      <w:r>
        <w:rPr>
          <w:u w:val="single"/>
        </w:rPr>
        <w:t>however</w:t>
      </w:r>
      <w:r>
        <w:t xml:space="preserve">, that an indemnified party (together with all other indemnified parties that may be represented without conflict by one counsel) shall have the right to retain one  separate counsel, with the fees and expenses to be paid by the indemnifying party, if representation of such indemnified party by the counsel retained by the indemnifying party would be inappropriate due to actual or potential differing interests between such indemnified party and any other party represented by such counsel in such action.  [The failure to give notice to the indemnifying party within a reasonable time of the commencement of any such action shall relieve such indemnifying party of any liability to the indemnified party under this </w:t>
      </w:r>
      <w:r>
        <w:rPr>
          <w:u w:val="single"/>
        </w:rPr>
        <w:t xml:space="preserve">Subsection </w:t>
      </w:r>
      <w:r>
        <w:rPr>
          <w:rStyle w:val="DeltaViewInsertion"/>
          <w:b w:val="0"/>
          <w:color w:val="000000"/>
          <w:szCs w:val="16"/>
          <w:u w:val="single"/>
        </w:rPr>
        <w:fldChar w:fldCharType="begin"/>
      </w:r>
      <w:r>
        <w:rPr>
          <w:u w:val="single"/>
        </w:rPr>
        <w:instrText xml:space="preserve"> REF _Ref264905529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2.8</w:t>
      </w:r>
      <w:r>
        <w:rPr>
          <w:rStyle w:val="DeltaViewInsertion"/>
          <w:b w:val="0"/>
          <w:color w:val="000000"/>
          <w:szCs w:val="16"/>
          <w:u w:val="single"/>
        </w:rPr>
        <w:fldChar w:fldCharType="end"/>
      </w:r>
      <w:r>
        <w:rPr>
          <w:rStyle w:val="DeltaViewInsertion"/>
          <w:b w:val="0"/>
          <w:color w:val="000000"/>
          <w:szCs w:val="16"/>
          <w:u w:val="none"/>
        </w:rPr>
        <w:t>,</w:t>
      </w:r>
      <w:r>
        <w:t xml:space="preserve"> to the extent that such failure materially prejudices the indemnifying party’s ability to defend such action.  The failure to give notice to the indemnifying party will not relieve it of any liability that it may have to any indemnified party otherwise than under this </w:t>
      </w:r>
      <w:r>
        <w:rPr>
          <w:u w:val="single"/>
        </w:rPr>
        <w:t xml:space="preserve">Subsection </w:t>
      </w:r>
      <w:r>
        <w:rPr>
          <w:rStyle w:val="DeltaViewInsertion"/>
          <w:b w:val="0"/>
          <w:color w:val="000000"/>
          <w:szCs w:val="16"/>
          <w:u w:val="single"/>
        </w:rPr>
        <w:fldChar w:fldCharType="begin"/>
      </w:r>
      <w:r>
        <w:rPr>
          <w:u w:val="single"/>
        </w:rPr>
        <w:instrText xml:space="preserve"> REF _Ref264905543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2.8</w:t>
      </w:r>
      <w:r>
        <w:rPr>
          <w:rStyle w:val="DeltaViewInsertion"/>
          <w:b w:val="0"/>
          <w:color w:val="000000"/>
          <w:szCs w:val="16"/>
          <w:u w:val="single"/>
        </w:rPr>
        <w:fldChar w:fldCharType="end"/>
      </w:r>
      <w:r>
        <w:rPr>
          <w:rStyle w:val="DeltaViewInsertion"/>
          <w:b w:val="0"/>
          <w:color w:val="000000"/>
          <w:szCs w:val="16"/>
          <w:u w:val="none"/>
        </w:rPr>
        <w:t>.</w:t>
      </w:r>
      <w:r>
        <w:t>]</w:t>
      </w:r>
      <w:bookmarkStart w:id="316" w:name="_Toc136067381"/>
      <w:bookmarkEnd w:id="314"/>
    </w:p>
    <w:p w:rsidR="00B95ADB" w:rsidRDefault="00B95ADB">
      <w:pPr>
        <w:pStyle w:val="Heading3"/>
      </w:pPr>
      <w:bookmarkStart w:id="317" w:name="_DV_M173"/>
      <w:bookmarkStart w:id="318" w:name="_DV_M174"/>
      <w:bookmarkStart w:id="319" w:name="_Toc136067382"/>
      <w:bookmarkStart w:id="320" w:name="_Ref264905501"/>
      <w:bookmarkStart w:id="321" w:name="_Ref264905583"/>
      <w:bookmarkEnd w:id="316"/>
      <w:bookmarkEnd w:id="317"/>
      <w:bookmarkEnd w:id="318"/>
      <w:r>
        <w:t xml:space="preserve">To provide for just and equitable contribution to joint liability under the Securities Act in any case in which either: (i) any party otherwise entitled to indemnification hereunder makes a claim for indemnification pursuant to this </w:t>
      </w:r>
      <w:r>
        <w:rPr>
          <w:u w:val="single"/>
        </w:rPr>
        <w:t xml:space="preserve">Subsection </w:t>
      </w:r>
      <w:r>
        <w:rPr>
          <w:rStyle w:val="DeltaViewInsertion"/>
          <w:b w:val="0"/>
          <w:color w:val="000000"/>
          <w:szCs w:val="16"/>
          <w:u w:val="single"/>
        </w:rPr>
        <w:fldChar w:fldCharType="begin"/>
      </w:r>
      <w:r>
        <w:rPr>
          <w:u w:val="single"/>
        </w:rPr>
        <w:instrText xml:space="preserve"> REF _Ref264905554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2.8</w:t>
      </w:r>
      <w:r>
        <w:rPr>
          <w:rStyle w:val="DeltaViewInsertion"/>
          <w:b w:val="0"/>
          <w:color w:val="000000"/>
          <w:szCs w:val="16"/>
          <w:u w:val="single"/>
        </w:rPr>
        <w:fldChar w:fldCharType="end"/>
      </w:r>
      <w:r>
        <w:t xml:space="preserve"> but it is judicially determined (by the entry of a final judgment or decree by a court of competent jurisdiction and the expiration of time to appeal or the denial of the last right of appeal) that such indemnification may not be enforced in such case, notwithstanding the fact that this </w:t>
      </w:r>
      <w:r>
        <w:rPr>
          <w:u w:val="single"/>
        </w:rPr>
        <w:t xml:space="preserve">Subsection </w:t>
      </w:r>
      <w:r>
        <w:rPr>
          <w:rStyle w:val="DeltaViewInsertion"/>
          <w:b w:val="0"/>
          <w:color w:val="000000"/>
          <w:szCs w:val="16"/>
          <w:u w:val="single"/>
        </w:rPr>
        <w:fldChar w:fldCharType="begin"/>
      </w:r>
      <w:r>
        <w:rPr>
          <w:u w:val="single"/>
        </w:rPr>
        <w:instrText xml:space="preserve"> REF _Ref264905564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2.8</w:t>
      </w:r>
      <w:r>
        <w:rPr>
          <w:rStyle w:val="DeltaViewInsertion"/>
          <w:b w:val="0"/>
          <w:color w:val="000000"/>
          <w:szCs w:val="16"/>
          <w:u w:val="single"/>
        </w:rPr>
        <w:fldChar w:fldCharType="end"/>
      </w:r>
      <w:r>
        <w:t xml:space="preserve"> provides for indemnification in such case, or (ii) contribution under the Securities Act may be required on the part of any party hereto for which indemnification is provided under this </w:t>
      </w:r>
      <w:r>
        <w:rPr>
          <w:u w:val="single"/>
        </w:rPr>
        <w:t xml:space="preserve">Subsection </w:t>
      </w:r>
      <w:r>
        <w:rPr>
          <w:rStyle w:val="DeltaViewInsertion"/>
          <w:b w:val="0"/>
          <w:color w:val="000000"/>
          <w:szCs w:val="16"/>
          <w:u w:val="single"/>
        </w:rPr>
        <w:fldChar w:fldCharType="begin"/>
      </w:r>
      <w:r>
        <w:rPr>
          <w:u w:val="single"/>
        </w:rPr>
        <w:instrText xml:space="preserve"> REF _Ref264905570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2.8</w:t>
      </w:r>
      <w:r>
        <w:rPr>
          <w:rStyle w:val="DeltaViewInsertion"/>
          <w:b w:val="0"/>
          <w:color w:val="000000"/>
          <w:szCs w:val="16"/>
          <w:u w:val="single"/>
        </w:rPr>
        <w:fldChar w:fldCharType="end"/>
      </w:r>
      <w:r>
        <w:rPr>
          <w:rStyle w:val="DeltaViewInsertion"/>
          <w:b w:val="0"/>
          <w:color w:val="000000"/>
          <w:szCs w:val="16"/>
          <w:u w:val="none"/>
        </w:rPr>
        <w:t>,</w:t>
      </w:r>
      <w:r>
        <w:t xml:space="preserve"> then, and in each such case, such parties will contribute to the aggregate losses, claims, damages, liabilities, or expenses to which they may be subject (after contribution from others) in such proportion as is appropriate to reflect the relative fault of each of</w:t>
      </w:r>
      <w:r>
        <w:rPr>
          <w:rStyle w:val="DeltaViewInsertion"/>
          <w:b w:val="0"/>
          <w:color w:val="000000"/>
          <w:szCs w:val="16"/>
          <w:u w:val="none"/>
        </w:rPr>
        <w:t xml:space="preserve"> the</w:t>
      </w:r>
      <w:r>
        <w:t xml:space="preserve"> indemnifying party and the indemnified party in connection with the statements, omissions, or other actions that resulted in such loss, claim, damage, liability, or expense, as well as to reflect any other relevant equitable considerations.  The relative fault of the indemnifying party and of the indemnified party shall be determined by reference to, among other things, whether the untrue or allegedly untrue statement of a material fact, or the omission or alleged omission of a material fact, relates to information supplied by the indemnifying party or by the indemnified party and the parties’ relative intent, knowledge, access to information, and opportunity to correct or prevent such statement or omission; </w:t>
      </w:r>
      <w:r>
        <w:rPr>
          <w:u w:val="single"/>
        </w:rPr>
        <w:t>provided</w:t>
      </w:r>
      <w:r>
        <w:t xml:space="preserve">, </w:t>
      </w:r>
      <w:r>
        <w:rPr>
          <w:u w:val="single"/>
        </w:rPr>
        <w:t>however</w:t>
      </w:r>
      <w:r>
        <w:t xml:space="preserve">, that, in any such case (x) no Holder will be required to contribute any amount in excess of the public offering price of all such Registrable Securities offered and sold by such Holder pursuant to such registration statement, and (y) no Person guilty of fraudulent misrepresentation (within the meaning of Section 11(f) of the Securities Act) will be entitled to contribution from any Person who was not guilty of such fraudulent misrepresentation; and </w:t>
      </w:r>
      <w:r>
        <w:rPr>
          <w:u w:val="single"/>
        </w:rPr>
        <w:t>provided</w:t>
      </w:r>
      <w:r>
        <w:t xml:space="preserve"> </w:t>
      </w:r>
      <w:r>
        <w:rPr>
          <w:u w:val="single"/>
        </w:rPr>
        <w:t>further</w:t>
      </w:r>
      <w:r>
        <w:t xml:space="preserve"> that in no event shall a Holder’s liability pursuant to this </w:t>
      </w:r>
      <w:r>
        <w:rPr>
          <w:u w:val="single"/>
        </w:rPr>
        <w:t>Subsection 2.8</w:t>
      </w:r>
      <w:r>
        <w:rPr>
          <w:rStyle w:val="DeltaViewInsertion"/>
          <w:b w:val="0"/>
          <w:color w:val="000000"/>
          <w:szCs w:val="16"/>
          <w:u w:val="single"/>
        </w:rPr>
        <w:fldChar w:fldCharType="begin"/>
      </w:r>
      <w:r>
        <w:rPr>
          <w:u w:val="single"/>
        </w:rPr>
        <w:instrText xml:space="preserve"> REF _Ref264905583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(d)</w:t>
      </w:r>
      <w:r>
        <w:rPr>
          <w:rStyle w:val="DeltaViewInsertion"/>
          <w:b w:val="0"/>
          <w:color w:val="000000"/>
          <w:szCs w:val="16"/>
          <w:u w:val="single"/>
        </w:rPr>
        <w:fldChar w:fldCharType="end"/>
      </w:r>
      <w:r>
        <w:t xml:space="preserve">, when combined with the amounts paid or payable by such Holder pursuant to </w:t>
      </w:r>
      <w:bookmarkStart w:id="322" w:name="_DV_M175"/>
      <w:bookmarkEnd w:id="322"/>
      <w:r>
        <w:rPr>
          <w:u w:val="single"/>
        </w:rPr>
        <w:t>Subsection 2.8</w:t>
      </w:r>
      <w:r>
        <w:rPr>
          <w:rStyle w:val="DeltaViewInsertion"/>
          <w:b w:val="0"/>
          <w:color w:val="000000"/>
          <w:szCs w:val="16"/>
          <w:u w:val="single"/>
        </w:rPr>
        <w:fldChar w:fldCharType="begin"/>
      </w:r>
      <w:r>
        <w:rPr>
          <w:u w:val="single"/>
        </w:rPr>
        <w:instrText xml:space="preserve"> REF _Ref264905478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(b)</w:t>
      </w:r>
      <w:r>
        <w:rPr>
          <w:rStyle w:val="DeltaViewInsertion"/>
          <w:b w:val="0"/>
          <w:color w:val="000000"/>
          <w:szCs w:val="16"/>
          <w:u w:val="single"/>
        </w:rPr>
        <w:fldChar w:fldCharType="end"/>
      </w:r>
      <w:r>
        <w:t xml:space="preserve">, exceed the proceeds from the offering </w:t>
      </w:r>
      <w:r>
        <w:rPr>
          <w:rStyle w:val="DeltaViewInsertion"/>
          <w:b w:val="0"/>
          <w:color w:val="000000"/>
          <w:szCs w:val="16"/>
          <w:u w:val="none"/>
        </w:rPr>
        <w:t xml:space="preserve">received by such Holder </w:t>
      </w:r>
      <w:r>
        <w:t>(net of any Selling Expenses</w:t>
      </w:r>
      <w:bookmarkStart w:id="323" w:name="_DV_M176"/>
      <w:bookmarkEnd w:id="323"/>
      <w:r>
        <w:t xml:space="preserve"> </w:t>
      </w:r>
      <w:r>
        <w:rPr>
          <w:rStyle w:val="DeltaViewInsertion"/>
          <w:b w:val="0"/>
          <w:color w:val="000000"/>
          <w:szCs w:val="16"/>
          <w:u w:val="none"/>
        </w:rPr>
        <w:t>paid</w:t>
      </w:r>
      <w:r>
        <w:t xml:space="preserve"> by such Holder</w:t>
      </w:r>
      <w:r>
        <w:rPr>
          <w:rStyle w:val="DeltaViewInsertion"/>
          <w:b w:val="0"/>
          <w:color w:val="000000"/>
          <w:szCs w:val="16"/>
          <w:u w:val="none"/>
        </w:rPr>
        <w:t>)</w:t>
      </w:r>
      <w:r>
        <w:t>, except in the case of willful misconduct or fraud by such Holder.</w:t>
      </w:r>
      <w:bookmarkStart w:id="324" w:name="_Toc136067383"/>
      <w:bookmarkEnd w:id="319"/>
      <w:bookmarkEnd w:id="320"/>
      <w:bookmarkEnd w:id="321"/>
    </w:p>
    <w:p w:rsidR="00B95ADB" w:rsidRDefault="00B95ADB">
      <w:pPr>
        <w:pStyle w:val="Heading3"/>
      </w:pPr>
      <w:bookmarkStart w:id="325" w:name="_DV_M177"/>
      <w:bookmarkEnd w:id="325"/>
      <w:r>
        <w:t>[Notwithstanding the foregoing, to the extent that the provisions on indemnification and contribution contained in the underwriting agreement entered into in connection with the underwritten public offering are in conflict with the foregoing provisions, the provisions in the underwriting agreement shall control.]</w:t>
      </w:r>
      <w:bookmarkStart w:id="326" w:name="_Toc136067384"/>
      <w:bookmarkEnd w:id="324"/>
    </w:p>
    <w:p w:rsidR="00B95ADB" w:rsidRDefault="00B95ADB">
      <w:pPr>
        <w:pStyle w:val="Heading3"/>
      </w:pPr>
      <w:bookmarkStart w:id="327" w:name="_DV_M178"/>
      <w:bookmarkEnd w:id="327"/>
      <w:r>
        <w:t xml:space="preserve">Unless otherwise superseded by an underwriting agreement entered into in connection with the underwritten public offering, the obligations of the Company and Holders under this </w:t>
      </w:r>
      <w:r>
        <w:rPr>
          <w:u w:val="single"/>
        </w:rPr>
        <w:t xml:space="preserve">Subsection </w:t>
      </w:r>
      <w:r>
        <w:rPr>
          <w:rStyle w:val="DeltaViewInsertion"/>
          <w:b w:val="0"/>
          <w:color w:val="000000"/>
          <w:szCs w:val="16"/>
          <w:u w:val="single"/>
        </w:rPr>
        <w:fldChar w:fldCharType="begin"/>
      </w:r>
      <w:r>
        <w:rPr>
          <w:u w:val="single"/>
        </w:rPr>
        <w:instrText xml:space="preserve"> REF _Ref264905608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2.8</w:t>
      </w:r>
      <w:r>
        <w:rPr>
          <w:rStyle w:val="DeltaViewInsertion"/>
          <w:b w:val="0"/>
          <w:color w:val="000000"/>
          <w:szCs w:val="16"/>
          <w:u w:val="single"/>
        </w:rPr>
        <w:fldChar w:fldCharType="end"/>
      </w:r>
      <w:r>
        <w:t xml:space="preserve"> shall survive the completion of any offering of Registrable Securities in a registration under this </w:t>
      </w:r>
      <w:r>
        <w:rPr>
          <w:u w:val="single"/>
        </w:rPr>
        <w:t xml:space="preserve">Section </w:t>
      </w:r>
      <w:r>
        <w:rPr>
          <w:u w:val="single"/>
        </w:rPr>
        <w:fldChar w:fldCharType="begin"/>
      </w:r>
      <w:r>
        <w:rPr>
          <w:u w:val="single"/>
        </w:rPr>
        <w:instrText xml:space="preserve"> REF _Ref264905620 \r \h </w:instrText>
      </w:r>
      <w:r>
        <w:rPr>
          <w:u w:val="single"/>
        </w:rPr>
      </w:r>
      <w:r>
        <w:rPr>
          <w:u w:val="single"/>
        </w:rPr>
        <w:fldChar w:fldCharType="separate"/>
      </w:r>
      <w:r w:rsidR="00222212">
        <w:rPr>
          <w:u w:val="single"/>
        </w:rPr>
        <w:t>2</w:t>
      </w:r>
      <w:r>
        <w:rPr>
          <w:u w:val="single"/>
        </w:rPr>
        <w:fldChar w:fldCharType="end"/>
      </w:r>
      <w:r>
        <w:t>, and otherwise shall survive the termination of this Agreement.</w:t>
      </w:r>
      <w:bookmarkStart w:id="328" w:name="_DV_M179"/>
      <w:bookmarkEnd w:id="326"/>
      <w:bookmarkEnd w:id="328"/>
      <w:r>
        <w:t xml:space="preserve"> </w:t>
      </w:r>
    </w:p>
    <w:p w:rsidR="00B95ADB" w:rsidRDefault="00B95ADB">
      <w:pPr>
        <w:pStyle w:val="Heading2"/>
        <w:rPr>
          <w:vanish/>
          <w:specVanish/>
        </w:rPr>
      </w:pPr>
      <w:bookmarkStart w:id="329" w:name="_DV_M180"/>
      <w:bookmarkStart w:id="330" w:name="_Toc116180668"/>
      <w:bookmarkStart w:id="331" w:name="_Toc165866768"/>
      <w:bookmarkStart w:id="332" w:name="_Toc131593459"/>
      <w:bookmarkStart w:id="333" w:name="_Toc136067385"/>
      <w:bookmarkStart w:id="334" w:name="_Toc505091147"/>
      <w:bookmarkEnd w:id="329"/>
      <w:r>
        <w:t>Reports Under Exchange Act</w:t>
      </w:r>
      <w:bookmarkEnd w:id="334"/>
    </w:p>
    <w:p w:rsidR="00B95ADB" w:rsidRDefault="00B95ADB">
      <w:pPr>
        <w:pStyle w:val="Bod"/>
      </w:pPr>
      <w:r>
        <w:t>.  With a view to making available to the Holders the benefits of SEC Rule 144 and any other rule or regulation of the SEC that may at any time permit a Holder to sell securities of the Company to the public without registration or pursuant to a registration on Form S</w:t>
      </w:r>
      <w:r>
        <w:noBreakHyphen/>
        <w:t>3, the Company shall:</w:t>
      </w:r>
      <w:bookmarkStart w:id="335" w:name="_DV_M181"/>
      <w:bookmarkEnd w:id="330"/>
      <w:bookmarkEnd w:id="331"/>
      <w:bookmarkEnd w:id="332"/>
      <w:bookmarkEnd w:id="333"/>
      <w:bookmarkEnd w:id="335"/>
    </w:p>
    <w:p w:rsidR="00B95ADB" w:rsidRDefault="00B95ADB">
      <w:pPr>
        <w:pStyle w:val="Heading3"/>
      </w:pPr>
      <w:bookmarkStart w:id="336" w:name="_DV_M182"/>
      <w:bookmarkStart w:id="337" w:name="_Toc136067386"/>
      <w:bookmarkEnd w:id="336"/>
      <w:r>
        <w:t xml:space="preserve">make and keep </w:t>
      </w:r>
      <w:r>
        <w:rPr>
          <w:rStyle w:val="DeltaViewInsertion"/>
          <w:b w:val="0"/>
          <w:color w:val="000000"/>
          <w:szCs w:val="16"/>
          <w:u w:val="none"/>
        </w:rPr>
        <w:t xml:space="preserve">available adequate current </w:t>
      </w:r>
      <w:r>
        <w:t>public information, as those terms are understood and defined in SEC Rule 144, at all times after the effective date of the registration statement filed by the Company for the IPO;</w:t>
      </w:r>
      <w:bookmarkStart w:id="338" w:name="_Toc136067387"/>
      <w:bookmarkEnd w:id="337"/>
    </w:p>
    <w:p w:rsidR="00B95ADB" w:rsidRDefault="00B95ADB">
      <w:pPr>
        <w:pStyle w:val="Heading3"/>
      </w:pPr>
      <w:bookmarkStart w:id="339" w:name="_DV_M183"/>
      <w:bookmarkEnd w:id="339"/>
      <w:r>
        <w:t>use commercially reasonable efforts to file with the SEC in a timely manner all reports and other documents required of the Company under the Securities Act and the Exchange Act (at any time after the Company has become subject to such reporting requirements); and</w:t>
      </w:r>
      <w:bookmarkStart w:id="340" w:name="_Toc136067388"/>
      <w:bookmarkEnd w:id="338"/>
    </w:p>
    <w:p w:rsidR="00B95ADB" w:rsidRDefault="00B95ADB">
      <w:pPr>
        <w:pStyle w:val="Heading3"/>
      </w:pPr>
      <w:bookmarkStart w:id="341" w:name="_DV_M184"/>
      <w:bookmarkEnd w:id="341"/>
      <w:r>
        <w:t xml:space="preserve">furnish to any Holder, so long as the Holder owns any Registrable Securities, forthwith upon request (i) </w:t>
      </w:r>
      <w:r>
        <w:rPr>
          <w:rStyle w:val="DeltaViewInsertion"/>
          <w:b w:val="0"/>
          <w:color w:val="000000"/>
          <w:szCs w:val="16"/>
          <w:u w:val="none"/>
        </w:rPr>
        <w:t xml:space="preserve">to the extent accurate, </w:t>
      </w:r>
      <w:r>
        <w:t>a written statement by the Company that it has complied with the reporting requirements of SEC Rule 144 (at any time after ninety (90) days after the effective date of the registration statement filed by the Company for the IPO), the Securities Act, and the Exchange Act (at any time after the Company has become subject to such reporting requirements), or that it qualifies as a registrant whose securities may be resold pursuant to Form S</w:t>
      </w:r>
      <w:r>
        <w:noBreakHyphen/>
        <w:t xml:space="preserve">3 (at any time after the Company so qualifies); </w:t>
      </w:r>
      <w:bookmarkStart w:id="342" w:name="_DV_C45"/>
      <w:r>
        <w:rPr>
          <w:rStyle w:val="DeltaViewInsertion"/>
          <w:b w:val="0"/>
          <w:color w:val="000000"/>
          <w:szCs w:val="16"/>
          <w:u w:val="none"/>
        </w:rPr>
        <w:t>[</w:t>
      </w:r>
      <w:bookmarkStart w:id="343" w:name="_DV_M185"/>
      <w:bookmarkEnd w:id="342"/>
      <w:bookmarkEnd w:id="343"/>
      <w:r>
        <w:t>(ii) a copy of the most recent annual or quarterly report of the Company and such other reports and documents so filed by the Company;</w:t>
      </w:r>
      <w:bookmarkStart w:id="344" w:name="_DV_M186"/>
      <w:bookmarkEnd w:id="344"/>
      <w:r>
        <w:rPr>
          <w:rStyle w:val="FootnoteReference"/>
        </w:rPr>
        <w:footnoteReference w:id="23"/>
      </w:r>
      <w:r>
        <w:rPr>
          <w:lang w:val="en-US"/>
        </w:rPr>
        <w:t>]</w:t>
      </w:r>
      <w:r>
        <w:t xml:space="preserve"> and (iii) such other information as may be reasonably requested in availing any Holder of any rule or regulation of the SEC that permits the selling of any such securities without registration (at any time after the Company has become subject to the reporting requirements under the Exchange Act) or pursuant to Form S</w:t>
      </w:r>
      <w:r>
        <w:noBreakHyphen/>
        <w:t>3 (at any time after the Company so qualifies to use such form).</w:t>
      </w:r>
      <w:bookmarkEnd w:id="340"/>
    </w:p>
    <w:p w:rsidR="00B95ADB" w:rsidRDefault="00B95ADB">
      <w:pPr>
        <w:pStyle w:val="Heading2"/>
        <w:rPr>
          <w:vanish/>
          <w:color w:val="000000"/>
          <w:szCs w:val="16"/>
          <w:u w:val="none"/>
          <w:specVanish/>
        </w:rPr>
      </w:pPr>
      <w:bookmarkStart w:id="347" w:name="_DV_M187"/>
      <w:bookmarkStart w:id="348" w:name="_Toc116180669"/>
      <w:bookmarkStart w:id="349" w:name="_Toc165866769"/>
      <w:bookmarkStart w:id="350" w:name="_Toc131593460"/>
      <w:bookmarkStart w:id="351" w:name="_Toc136067389"/>
      <w:bookmarkStart w:id="352" w:name="_Ref264904865"/>
      <w:bookmarkStart w:id="353" w:name="_Toc505091148"/>
      <w:bookmarkEnd w:id="347"/>
      <w:r>
        <w:t>Limitations on Subsequent Registration Rights</w:t>
      </w:r>
      <w:bookmarkEnd w:id="353"/>
    </w:p>
    <w:p w:rsidR="00B95ADB" w:rsidRDefault="00B95ADB">
      <w:pPr>
        <w:pStyle w:val="Bod"/>
        <w:rPr>
          <w:rStyle w:val="DeltaViewInsertion"/>
          <w:b w:val="0"/>
          <w:color w:val="000000"/>
          <w:szCs w:val="16"/>
          <w:u w:val="none"/>
        </w:rPr>
      </w:pPr>
      <w:r>
        <w:t>.  From and after the date of this Agreement, the Company shall not, without the prior written consent of the Holders of [</w:t>
      </w:r>
      <w:r w:rsidR="007830A6" w:rsidRPr="00463812">
        <w:rPr>
          <w:i/>
        </w:rPr>
        <w:t>specify percentage</w:t>
      </w:r>
      <w:r w:rsidR="007830A6">
        <w:t xml:space="preserve">] </w:t>
      </w:r>
      <w:r>
        <w:t xml:space="preserve">of the Registrable Securities then outstanding, enter into any agreement with any holder or prospective holder of any securities of the Company that would </w:t>
      </w:r>
      <w:r w:rsidR="007830A6">
        <w:t xml:space="preserve">[(i) </w:t>
      </w:r>
      <w:r>
        <w:t xml:space="preserve">provide to such holder </w:t>
      </w:r>
      <w:r w:rsidR="007830A6">
        <w:t xml:space="preserve">or prospective holder </w:t>
      </w:r>
      <w:r>
        <w:t>the right to include securities in any registration on other than either a pro rata basis with respect to the Registrable Securities or on a subordinate basis after all Holders have had the opportunity to include in the registration and offering all shares of Registrable Securities that they wish to so include][</w:t>
      </w:r>
      <w:r w:rsidR="007830A6">
        <w:t xml:space="preserve">(i) </w:t>
      </w:r>
      <w:r>
        <w:t xml:space="preserve">allow such holder or prospective holder  to include such securities in any registration unless, under the terms of such agreement, such holder or prospective holder may include such securities in any such registration only to the extent that the inclusion of such securities will not reduce the number of the Registrable Securities of the Holders that are included]; [or (ii) allow such holder or prospective holder to initiate a demand for registration of any securities held by such holder or prospective holder]; </w:t>
      </w:r>
      <w:bookmarkStart w:id="354" w:name="_DV_M188"/>
      <w:bookmarkEnd w:id="348"/>
      <w:bookmarkEnd w:id="349"/>
      <w:bookmarkEnd w:id="354"/>
      <w:r>
        <w:rPr>
          <w:u w:val="single"/>
        </w:rPr>
        <w:t>provided</w:t>
      </w:r>
      <w:r>
        <w:t xml:space="preserve"> that this limitation shall not apply to</w:t>
      </w:r>
      <w:r w:rsidR="007830A6">
        <w:t xml:space="preserve"> Registrable Securities acquired by</w:t>
      </w:r>
      <w:r>
        <w:t xml:space="preserve"> any </w:t>
      </w:r>
      <w:r>
        <w:rPr>
          <w:rStyle w:val="DeltaViewInsertion"/>
          <w:b w:val="0"/>
          <w:color w:val="000000"/>
          <w:szCs w:val="16"/>
          <w:u w:val="none"/>
        </w:rPr>
        <w:t>additional</w:t>
      </w:r>
      <w:r>
        <w:t xml:space="preserve"> Investor </w:t>
      </w:r>
      <w:r w:rsidR="007830A6">
        <w:t xml:space="preserve">that </w:t>
      </w:r>
      <w:r>
        <w:t xml:space="preserve">becomes a party to this Agreement in accordance with </w:t>
      </w:r>
      <w:r>
        <w:rPr>
          <w:u w:val="single"/>
        </w:rPr>
        <w:t>Subsection</w:t>
      </w:r>
      <w:r>
        <w:rPr>
          <w:rStyle w:val="DeltaViewInsertion"/>
          <w:b w:val="0"/>
          <w:color w:val="000000"/>
          <w:szCs w:val="16"/>
          <w:u w:val="single"/>
        </w:rPr>
        <w:t xml:space="preserve"> </w:t>
      </w:r>
      <w:r w:rsidR="00AB4844">
        <w:rPr>
          <w:rStyle w:val="DeltaViewInsertion"/>
          <w:b w:val="0"/>
          <w:color w:val="000000"/>
          <w:szCs w:val="16"/>
          <w:u w:val="single"/>
        </w:rPr>
        <w:fldChar w:fldCharType="begin"/>
      </w:r>
      <w:r w:rsidR="00AB4844">
        <w:rPr>
          <w:rStyle w:val="DeltaViewInsertion"/>
          <w:b w:val="0"/>
          <w:color w:val="000000"/>
          <w:szCs w:val="16"/>
          <w:u w:val="single"/>
        </w:rPr>
        <w:instrText xml:space="preserve"> REF _Ref431298388 \w \h </w:instrText>
      </w:r>
      <w:r w:rsidR="00AB4844">
        <w:rPr>
          <w:rStyle w:val="DeltaViewInsertion"/>
          <w:b w:val="0"/>
          <w:color w:val="000000"/>
          <w:szCs w:val="16"/>
          <w:u w:val="single"/>
        </w:rPr>
      </w:r>
      <w:r w:rsidR="00AB4844">
        <w:rPr>
          <w:rStyle w:val="DeltaViewInsertion"/>
          <w:b w:val="0"/>
          <w:color w:val="000000"/>
          <w:szCs w:val="16"/>
          <w:u w:val="single"/>
        </w:rPr>
        <w:fldChar w:fldCharType="separate"/>
      </w:r>
      <w:r w:rsidR="00222212">
        <w:rPr>
          <w:rStyle w:val="DeltaViewInsertion"/>
          <w:b w:val="0"/>
          <w:color w:val="000000"/>
          <w:szCs w:val="16"/>
          <w:u w:val="single"/>
        </w:rPr>
        <w:t>6.9</w:t>
      </w:r>
      <w:r w:rsidR="00AB4844">
        <w:rPr>
          <w:rStyle w:val="DeltaViewInsertion"/>
          <w:b w:val="0"/>
          <w:color w:val="000000"/>
          <w:szCs w:val="16"/>
          <w:u w:val="single"/>
        </w:rPr>
        <w:fldChar w:fldCharType="end"/>
      </w:r>
      <w:r>
        <w:rPr>
          <w:rStyle w:val="DeltaViewInsertion"/>
          <w:b w:val="0"/>
          <w:color w:val="000000"/>
          <w:szCs w:val="16"/>
          <w:u w:val="none"/>
        </w:rPr>
        <w:t>.</w:t>
      </w:r>
      <w:bookmarkStart w:id="355" w:name="_Toc116180670"/>
      <w:bookmarkStart w:id="356" w:name="_Toc131593461"/>
      <w:bookmarkStart w:id="357" w:name="_Toc136067390"/>
      <w:bookmarkEnd w:id="350"/>
      <w:bookmarkEnd w:id="351"/>
      <w:bookmarkEnd w:id="352"/>
      <w:r>
        <w:rPr>
          <w:rStyle w:val="FootnoteReference"/>
          <w:color w:val="000000"/>
        </w:rPr>
        <w:footnoteReference w:id="24"/>
      </w:r>
    </w:p>
    <w:p w:rsidR="00B95ADB" w:rsidRDefault="00B95ADB">
      <w:pPr>
        <w:pStyle w:val="Heading2"/>
        <w:rPr>
          <w:vanish/>
          <w:specVanish/>
        </w:rPr>
      </w:pPr>
      <w:bookmarkStart w:id="358" w:name="_DV_M190"/>
      <w:bookmarkStart w:id="359" w:name="_Toc165866770"/>
      <w:bookmarkStart w:id="360" w:name="_Ref264905643"/>
      <w:bookmarkStart w:id="361" w:name="_Ref431386093"/>
      <w:bookmarkStart w:id="362" w:name="_Toc505091149"/>
      <w:bookmarkEnd w:id="358"/>
      <w:r>
        <w:t>“Market Stand</w:t>
      </w:r>
      <w:r>
        <w:noBreakHyphen/>
        <w:t>off” Agreement</w:t>
      </w:r>
      <w:bookmarkEnd w:id="361"/>
      <w:bookmarkEnd w:id="362"/>
    </w:p>
    <w:p w:rsidR="00B95ADB" w:rsidRDefault="00B95ADB">
      <w:pPr>
        <w:pStyle w:val="Bod"/>
      </w:pPr>
      <w:r>
        <w:t>.</w:t>
      </w:r>
      <w:bookmarkStart w:id="363" w:name="_DV_M192"/>
      <w:bookmarkEnd w:id="355"/>
      <w:bookmarkEnd w:id="359"/>
      <w:bookmarkEnd w:id="363"/>
      <w:r>
        <w:rPr>
          <w:rStyle w:val="FootnoteReference"/>
        </w:rPr>
        <w:footnoteReference w:id="25"/>
      </w:r>
      <w:r>
        <w:t xml:space="preserve">  Each Holder hereby agrees that it will not, without the prior written consent of the managing underwriter, during the period commencing on the date of the final prospectus relating to the </w:t>
      </w:r>
      <w:r>
        <w:rPr>
          <w:rStyle w:val="DeltaViewInsertion"/>
          <w:b w:val="0"/>
          <w:color w:val="000000"/>
          <w:szCs w:val="16"/>
          <w:u w:val="none"/>
        </w:rPr>
        <w:t>registration by the Company [for its own behalf] of shares of its Common Stock or any other equity securities under</w:t>
      </w:r>
      <w:r>
        <w:t xml:space="preserve"> the</w:t>
      </w:r>
      <w:r>
        <w:rPr>
          <w:rStyle w:val="DeltaViewInsertion"/>
          <w:b w:val="0"/>
          <w:color w:val="000000"/>
          <w:szCs w:val="16"/>
          <w:u w:val="none"/>
        </w:rPr>
        <w:t xml:space="preserve"> Securities Act on a</w:t>
      </w:r>
      <w:r>
        <w:rPr>
          <w:b/>
        </w:rPr>
        <w:t xml:space="preserve"> </w:t>
      </w:r>
      <w:r>
        <w:t xml:space="preserve">registration statement </w:t>
      </w:r>
      <w:r>
        <w:rPr>
          <w:rStyle w:val="DeltaViewInsertion"/>
          <w:b w:val="0"/>
          <w:color w:val="000000"/>
          <w:szCs w:val="16"/>
          <w:u w:val="none"/>
        </w:rPr>
        <w:t>on Form S</w:t>
      </w:r>
      <w:bookmarkStart w:id="365" w:name="_DV_C58"/>
      <w:r>
        <w:rPr>
          <w:rStyle w:val="DeltaViewInsertion"/>
          <w:b w:val="0"/>
          <w:color w:val="000000"/>
          <w:szCs w:val="16"/>
          <w:u w:val="none"/>
        </w:rPr>
        <w:t>-1 or Form S-3],</w:t>
      </w:r>
      <w:bookmarkStart w:id="366" w:name="_DV_M194"/>
      <w:bookmarkEnd w:id="365"/>
      <w:bookmarkEnd w:id="366"/>
      <w:r>
        <w:rPr>
          <w:rStyle w:val="FootnoteReference"/>
          <w:color w:val="000000"/>
        </w:rPr>
        <w:footnoteReference w:id="26"/>
      </w:r>
      <w:r>
        <w:t xml:space="preserve"> </w:t>
      </w:r>
      <w:r>
        <w:rPr>
          <w:rStyle w:val="DeltaViewInsertion"/>
          <w:b w:val="0"/>
          <w:color w:val="000000"/>
          <w:szCs w:val="16"/>
          <w:u w:val="none"/>
        </w:rPr>
        <w:t>and ending on the date specified by the Company and the managing underwriter (such period not to exceed one hundred eighty (180) days in the case of the IPO[,</w:t>
      </w:r>
      <w:bookmarkStart w:id="368" w:name="_DV_C62"/>
      <w:r>
        <w:rPr>
          <w:rStyle w:val="DeltaViewInsertion"/>
          <w:b w:val="0"/>
          <w:color w:val="000000"/>
          <w:szCs w:val="16"/>
          <w:u w:val="none"/>
        </w:rPr>
        <w:t xml:space="preserve"> or such other period as may be requested by the Company or an underwriter to accommodate regulatory restrictions on (1) the publication or other distribution of research reports, and (2) analyst recommendations and opinions, including, but not limited to, the restrictions contained in FINRA Rule 2711(f)(4) or NYSE Rule 472(f)(4), or any successor provisions or amendments thereto)],</w:t>
      </w:r>
      <w:bookmarkStart w:id="369" w:name="_DV_M198"/>
      <w:bookmarkEnd w:id="368"/>
      <w:bookmarkEnd w:id="369"/>
      <w:r>
        <w:rPr>
          <w:rStyle w:val="FootnoteReference"/>
          <w:color w:val="000000"/>
        </w:rPr>
        <w:footnoteReference w:id="27"/>
      </w:r>
      <w:r>
        <w:rPr>
          <w:rStyle w:val="DeltaViewInsertion"/>
          <w:b w:val="0"/>
          <w:color w:val="000000"/>
          <w:szCs w:val="16"/>
          <w:u w:val="none"/>
        </w:rPr>
        <w:t xml:space="preserve"> [or ninety (90) days in the case of any registration other than the IPO[,</w:t>
      </w:r>
      <w:bookmarkStart w:id="372" w:name="_DV_C71"/>
      <w:r>
        <w:rPr>
          <w:rStyle w:val="DeltaViewInsertion"/>
          <w:b w:val="0"/>
          <w:color w:val="000000"/>
          <w:szCs w:val="16"/>
          <w:u w:val="none"/>
        </w:rPr>
        <w:t xml:space="preserve"> or such other period as may be requested by the Company or an underwriter to accommodate regulatory restrictions on (1) the publication or other distribution of research reports and (2) analyst recommendations and opinions, including, but not limited to, the restrictions contained in FINRA Rule 2711(f)(4) or NYSE Rule 472(f)(4), or any successor provisions or amendments thereto)]</w:t>
      </w:r>
      <w:bookmarkStart w:id="373" w:name="_DV_M201"/>
      <w:bookmarkEnd w:id="372"/>
      <w:bookmarkEnd w:id="373"/>
      <w:r>
        <w:rPr>
          <w:rStyle w:val="DeltaViewInsertion"/>
          <w:b w:val="0"/>
          <w:color w:val="000000"/>
          <w:szCs w:val="16"/>
          <w:u w:val="none"/>
        </w:rPr>
        <w:t xml:space="preserve">, </w:t>
      </w:r>
      <w:r>
        <w:t xml:space="preserve">(i) lend; offer; pledge; sell; contract to sell; sell any option or contract to purchase; purchase any option or contract to sell; grant any option, right, or warrant to purchase; or otherwise transfer or dispose of, directly or indirectly, any shares of Common Stock or any securities convertible into or exercisable or exchangeable </w:t>
      </w:r>
      <w:r>
        <w:rPr>
          <w:rStyle w:val="DeltaViewInsertion"/>
          <w:b w:val="0"/>
          <w:color w:val="000000"/>
          <w:szCs w:val="16"/>
          <w:u w:val="none"/>
        </w:rPr>
        <w:t xml:space="preserve">(directly or indirectly) </w:t>
      </w:r>
      <w:r>
        <w:t>for Common Stock [(whether such shares or any such securities are then owned by the Holder or are thereafter acquired)] [</w:t>
      </w:r>
      <w:r>
        <w:rPr>
          <w:rStyle w:val="DeltaViewInsertion"/>
          <w:b w:val="0"/>
          <w:i/>
          <w:color w:val="000000"/>
          <w:szCs w:val="16"/>
          <w:u w:val="none"/>
        </w:rPr>
        <w:t xml:space="preserve">Alternative: </w:t>
      </w:r>
      <w:bookmarkStart w:id="374" w:name="_DV_M202"/>
      <w:bookmarkEnd w:id="374"/>
      <w:r>
        <w:t>held immediately</w:t>
      </w:r>
      <w:r>
        <w:rPr>
          <w:b/>
        </w:rPr>
        <w:t xml:space="preserve"> </w:t>
      </w:r>
      <w:r>
        <w:t>before the effective date of the registration statement for such offering]</w:t>
      </w:r>
      <w:bookmarkStart w:id="375" w:name="_DV_M204"/>
      <w:bookmarkEnd w:id="375"/>
      <w:r>
        <w:rPr>
          <w:rStyle w:val="FootnoteReference"/>
        </w:rPr>
        <w:footnoteReference w:id="28"/>
      </w:r>
      <w:r>
        <w:rPr>
          <w:b/>
        </w:rPr>
        <w:t xml:space="preserve"> </w:t>
      </w:r>
      <w:r>
        <w:t xml:space="preserve">or (ii) enter into any swap or other arrangement that transfers to another, in whole or in part, any of the economic consequences of ownership of </w:t>
      </w:r>
      <w:r>
        <w:rPr>
          <w:rStyle w:val="DeltaViewInsertion"/>
          <w:b w:val="0"/>
          <w:color w:val="000000"/>
          <w:szCs w:val="16"/>
          <w:u w:val="none"/>
        </w:rPr>
        <w:t>such securities</w:t>
      </w:r>
      <w:r>
        <w:t xml:space="preserve">, whether any such transaction described in clause (i) or (ii) above is to be settled by delivery of Common Stock or other securities, in cash, or otherwise.  The foregoing provisions of this </w:t>
      </w:r>
      <w:r>
        <w:rPr>
          <w:u w:val="single"/>
        </w:rPr>
        <w:t xml:space="preserve">Subsection </w:t>
      </w:r>
      <w:r>
        <w:rPr>
          <w:rStyle w:val="DeltaViewInsertion"/>
          <w:b w:val="0"/>
          <w:color w:val="000000"/>
          <w:szCs w:val="16"/>
          <w:u w:val="single"/>
        </w:rPr>
        <w:fldChar w:fldCharType="begin"/>
      </w:r>
      <w:r>
        <w:rPr>
          <w:u w:val="single"/>
        </w:rPr>
        <w:instrText xml:space="preserve"> REF _Ref264905643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2.11</w:t>
      </w:r>
      <w:r>
        <w:rPr>
          <w:rStyle w:val="DeltaViewInsertion"/>
          <w:b w:val="0"/>
          <w:color w:val="000000"/>
          <w:szCs w:val="16"/>
          <w:u w:val="single"/>
        </w:rPr>
        <w:fldChar w:fldCharType="end"/>
      </w:r>
      <w:r>
        <w:rPr>
          <w:b/>
        </w:rPr>
        <w:t xml:space="preserve"> </w:t>
      </w:r>
      <w:r>
        <w:rPr>
          <w:rStyle w:val="DeltaViewInsertion"/>
          <w:b w:val="0"/>
          <w:color w:val="000000"/>
          <w:szCs w:val="16"/>
          <w:u w:val="none"/>
        </w:rPr>
        <w:t>[</w:t>
      </w:r>
      <w:r>
        <w:t>shall apply only to the IPO,</w:t>
      </w:r>
      <w:r>
        <w:rPr>
          <w:rStyle w:val="DeltaViewInsertion"/>
          <w:b w:val="0"/>
          <w:color w:val="000000"/>
          <w:szCs w:val="16"/>
          <w:u w:val="none"/>
        </w:rPr>
        <w:t>]</w:t>
      </w:r>
      <w:r>
        <w:t xml:space="preserve"> shall not apply to the sale of any shares to an underwriter pursuant to an underwriting agreement, </w:t>
      </w:r>
      <w:bookmarkStart w:id="377" w:name="_DV_C76"/>
      <w:r>
        <w:rPr>
          <w:rStyle w:val="DeltaViewInsertion"/>
          <w:b w:val="0"/>
          <w:color w:val="000000"/>
          <w:szCs w:val="16"/>
          <w:u w:val="none"/>
        </w:rPr>
        <w:t xml:space="preserve">[or the transfer of any shares to any trust for the direct or indirect benefit of the Holder or the immediate family of the Holder, </w:t>
      </w:r>
      <w:r>
        <w:rPr>
          <w:rStyle w:val="DeltaViewInsertion"/>
          <w:b w:val="0"/>
          <w:color w:val="000000"/>
          <w:szCs w:val="16"/>
          <w:u w:val="single"/>
        </w:rPr>
        <w:t>provided</w:t>
      </w:r>
      <w:r>
        <w:rPr>
          <w:rStyle w:val="DeltaViewInsertion"/>
          <w:b w:val="0"/>
          <w:color w:val="000000"/>
          <w:szCs w:val="16"/>
          <w:u w:val="none"/>
        </w:rPr>
        <w:t xml:space="preserve"> that the trustee of the trust agrees to be bound in writing by the restrictions set forth herein, and </w:t>
      </w:r>
      <w:r>
        <w:rPr>
          <w:rStyle w:val="DeltaViewInsertion"/>
          <w:b w:val="0"/>
          <w:color w:val="000000"/>
          <w:szCs w:val="16"/>
          <w:u w:val="single"/>
        </w:rPr>
        <w:t>provided</w:t>
      </w:r>
      <w:r>
        <w:rPr>
          <w:rStyle w:val="DeltaViewInsertion"/>
          <w:b w:val="0"/>
          <w:color w:val="000000"/>
          <w:szCs w:val="16"/>
          <w:u w:val="none"/>
        </w:rPr>
        <w:t xml:space="preserve"> </w:t>
      </w:r>
      <w:r>
        <w:rPr>
          <w:rStyle w:val="DeltaViewInsertion"/>
          <w:b w:val="0"/>
          <w:color w:val="000000"/>
          <w:szCs w:val="16"/>
          <w:u w:val="single"/>
        </w:rPr>
        <w:t>further</w:t>
      </w:r>
      <w:r>
        <w:rPr>
          <w:rStyle w:val="DeltaViewInsertion"/>
          <w:b w:val="0"/>
          <w:color w:val="000000"/>
          <w:szCs w:val="16"/>
          <w:u w:val="none"/>
        </w:rPr>
        <w:t xml:space="preserve"> that any such transfer shall not involve a disposition for value,]</w:t>
      </w:r>
      <w:r>
        <w:rPr>
          <w:rStyle w:val="DeltaViewInsertion"/>
          <w:b w:val="0"/>
          <w:color w:val="000000"/>
          <w:sz w:val="22"/>
          <w:szCs w:val="22"/>
          <w:u w:val="none"/>
        </w:rPr>
        <w:t xml:space="preserve"> </w:t>
      </w:r>
      <w:bookmarkStart w:id="378" w:name="_DV_M205"/>
      <w:bookmarkEnd w:id="377"/>
      <w:bookmarkEnd w:id="378"/>
      <w:r>
        <w:rPr>
          <w:szCs w:val="22"/>
        </w:rPr>
        <w:t>and shall be applicable to the Holders only if all officers and directors are subject to the same restrictions [and the Company uses commercially reasonable efforts to obtain a similar agreement from all stockholders individually owning more than [one - five] percent ([1-5]%) of the Company’s outstanding Common Stock (after giving effect to conversion into Common Stock of all outstanding [Series A] Preferred Stock)</w:t>
      </w:r>
      <w:bookmarkStart w:id="379" w:name="_DV_M207"/>
      <w:bookmarkEnd w:id="379"/>
      <w:r>
        <w:rPr>
          <w:rStyle w:val="FootnoteReference"/>
        </w:rPr>
        <w:footnoteReference w:id="29"/>
      </w:r>
      <w:r>
        <w:t xml:space="preserve">].  The underwriters in connection with </w:t>
      </w:r>
      <w:r>
        <w:rPr>
          <w:rStyle w:val="DeltaViewInsertion"/>
          <w:b w:val="0"/>
          <w:color w:val="000000"/>
          <w:szCs w:val="16"/>
          <w:u w:val="none"/>
        </w:rPr>
        <w:t>such</w:t>
      </w:r>
      <w:r>
        <w:t xml:space="preserve"> </w:t>
      </w:r>
      <w:r>
        <w:rPr>
          <w:rStyle w:val="DeltaViewInsertion"/>
          <w:b w:val="0"/>
          <w:color w:val="000000"/>
          <w:szCs w:val="16"/>
          <w:u w:val="none"/>
        </w:rPr>
        <w:t>registration</w:t>
      </w:r>
      <w:r>
        <w:t xml:space="preserve"> are intended third</w:t>
      </w:r>
      <w:r>
        <w:noBreakHyphen/>
        <w:t xml:space="preserve">party beneficiaries of this </w:t>
      </w:r>
      <w:r>
        <w:rPr>
          <w:u w:val="single"/>
        </w:rPr>
        <w:t xml:space="preserve">Subsection </w:t>
      </w:r>
      <w:r>
        <w:rPr>
          <w:rStyle w:val="DeltaViewInsertion"/>
          <w:b w:val="0"/>
          <w:color w:val="000000"/>
          <w:szCs w:val="16"/>
          <w:u w:val="single"/>
        </w:rPr>
        <w:fldChar w:fldCharType="begin"/>
      </w:r>
      <w:r>
        <w:rPr>
          <w:u w:val="single"/>
        </w:rPr>
        <w:instrText xml:space="preserve"> REF _Ref264905643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2.11</w:t>
      </w:r>
      <w:r>
        <w:rPr>
          <w:rStyle w:val="DeltaViewInsertion"/>
          <w:b w:val="0"/>
          <w:color w:val="000000"/>
          <w:szCs w:val="16"/>
          <w:u w:val="single"/>
        </w:rPr>
        <w:fldChar w:fldCharType="end"/>
      </w:r>
      <w:r>
        <w:t xml:space="preserve"> and shall have the right, power and authority to enforce the provisions hereof as though they were a party hereto.  Each Holder further agrees to execute such agreements as may be reasonably requested by the underwriters in </w:t>
      </w:r>
      <w:r>
        <w:rPr>
          <w:rStyle w:val="DeltaViewInsertion"/>
          <w:b w:val="0"/>
          <w:color w:val="000000"/>
          <w:szCs w:val="16"/>
          <w:u w:val="none"/>
        </w:rPr>
        <w:t>connection with such registration</w:t>
      </w:r>
      <w:r>
        <w:t xml:space="preserve"> that are consistent with this </w:t>
      </w:r>
      <w:r>
        <w:rPr>
          <w:u w:val="single"/>
        </w:rPr>
        <w:t xml:space="preserve">Subsection </w:t>
      </w:r>
      <w:r>
        <w:rPr>
          <w:rStyle w:val="DeltaViewInsertion"/>
          <w:b w:val="0"/>
          <w:color w:val="000000"/>
          <w:szCs w:val="16"/>
          <w:u w:val="single"/>
        </w:rPr>
        <w:fldChar w:fldCharType="begin"/>
      </w:r>
      <w:r>
        <w:rPr>
          <w:u w:val="single"/>
        </w:rPr>
        <w:instrText xml:space="preserve"> REF _Ref264905643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2.11</w:t>
      </w:r>
      <w:r>
        <w:rPr>
          <w:rStyle w:val="DeltaViewInsertion"/>
          <w:b w:val="0"/>
          <w:color w:val="000000"/>
          <w:szCs w:val="16"/>
          <w:u w:val="single"/>
        </w:rPr>
        <w:fldChar w:fldCharType="end"/>
      </w:r>
      <w:r>
        <w:t xml:space="preserve"> or that are necessary to give further effect thereto.  [Any discretionary waiver or termination of the restrictions of any or all of such agreements by the Company or the underwriters shall apply pro rata to all </w:t>
      </w:r>
      <w:r w:rsidR="007830A6">
        <w:t xml:space="preserve">Company stockholders that are </w:t>
      </w:r>
      <w:r>
        <w:t>subject to such agreements, based on the number of shares subject to such agreements[, except that, notwithstanding the foregoing, the Company and the underwriters may, in their sole discretion, waive or terminate these restrictions with respect to up to [______(  )] shares of the Common Stock].]</w:t>
      </w:r>
      <w:bookmarkStart w:id="382" w:name="_DV_M209"/>
      <w:bookmarkStart w:id="383" w:name="_Toc116180672"/>
      <w:bookmarkStart w:id="384" w:name="_Toc131593462"/>
      <w:bookmarkStart w:id="385" w:name="_Toc136067391"/>
      <w:bookmarkEnd w:id="356"/>
      <w:bookmarkEnd w:id="357"/>
      <w:bookmarkEnd w:id="360"/>
      <w:bookmarkEnd w:id="382"/>
      <w:r>
        <w:rPr>
          <w:rStyle w:val="FootnoteReference"/>
        </w:rPr>
        <w:footnoteReference w:id="30"/>
      </w:r>
    </w:p>
    <w:p w:rsidR="00B95ADB" w:rsidRDefault="00B95ADB">
      <w:pPr>
        <w:pStyle w:val="Heading2"/>
        <w:keepNext/>
        <w:rPr>
          <w:vanish/>
          <w:color w:val="000000"/>
          <w:szCs w:val="16"/>
          <w:specVanish/>
        </w:rPr>
      </w:pPr>
      <w:bookmarkStart w:id="389" w:name="_DV_M210"/>
      <w:bookmarkStart w:id="390" w:name="_Toc165866771"/>
      <w:bookmarkStart w:id="391" w:name="_Ref264905704"/>
      <w:bookmarkStart w:id="392" w:name="_Ref264905717"/>
      <w:bookmarkStart w:id="393" w:name="_Toc505091150"/>
      <w:bookmarkEnd w:id="389"/>
      <w:r>
        <w:t>Restrictions on Transfer</w:t>
      </w:r>
      <w:bookmarkEnd w:id="393"/>
    </w:p>
    <w:p w:rsidR="00B95ADB" w:rsidRDefault="00B95ADB">
      <w:pPr>
        <w:pStyle w:val="Bod"/>
      </w:pPr>
      <w:r>
        <w:t>.</w:t>
      </w:r>
      <w:bookmarkStart w:id="394" w:name="_DV_M212"/>
      <w:bookmarkEnd w:id="383"/>
      <w:bookmarkEnd w:id="384"/>
      <w:bookmarkEnd w:id="385"/>
      <w:bookmarkEnd w:id="390"/>
      <w:bookmarkEnd w:id="391"/>
      <w:bookmarkEnd w:id="392"/>
      <w:bookmarkEnd w:id="394"/>
      <w:r>
        <w:rPr>
          <w:rStyle w:val="FootnoteReference"/>
        </w:rPr>
        <w:footnoteReference w:id="31"/>
      </w:r>
    </w:p>
    <w:p w:rsidR="00B95ADB" w:rsidRDefault="00B95ADB">
      <w:pPr>
        <w:pStyle w:val="Heading3"/>
      </w:pPr>
      <w:bookmarkStart w:id="396" w:name="_DV_M213"/>
      <w:bookmarkStart w:id="397" w:name="_Toc136067392"/>
      <w:bookmarkEnd w:id="396"/>
      <w:r>
        <w:t>The [Series A] Preferred Stock and the Registrable Securities shall not be sold, pledged, or otherwise transferred, and the Company shall not recognize and shall issue stop-transfer instructions to its transfer agent with respect to any such sale, pledge, or transfer, except upon the conditions specified in this Agreement, which conditions are intended to ensure compliance with the provisions of the Securities Act.  A transferring Holder will cause any proposed purchaser, pledgee, or transferee of the [Series A] [Preferred Stock] and the Registrable Securities held by such Holder to agree to take and hold such securities subject to the provisions and upon the conditions specified in this Agreement.</w:t>
      </w:r>
      <w:bookmarkStart w:id="398" w:name="_Toc136067393"/>
      <w:bookmarkEnd w:id="397"/>
    </w:p>
    <w:p w:rsidR="00B95ADB" w:rsidRDefault="00B95ADB">
      <w:pPr>
        <w:pStyle w:val="Heading3"/>
      </w:pPr>
      <w:bookmarkStart w:id="399" w:name="_DV_M214"/>
      <w:bookmarkStart w:id="400" w:name="_Ref264904994"/>
      <w:bookmarkEnd w:id="399"/>
      <w:r>
        <w:t>Each certificate</w:t>
      </w:r>
      <w:r>
        <w:rPr>
          <w:lang w:val="en-US"/>
        </w:rPr>
        <w:t>,</w:t>
      </w:r>
      <w:r>
        <w:t xml:space="preserve"> </w:t>
      </w:r>
      <w:r>
        <w:rPr>
          <w:rStyle w:val="DeltaViewInsertion"/>
          <w:b w:val="0"/>
          <w:color w:val="000000"/>
          <w:szCs w:val="16"/>
          <w:u w:val="none"/>
        </w:rPr>
        <w:t>instrument</w:t>
      </w:r>
      <w:r>
        <w:rPr>
          <w:rStyle w:val="DeltaViewInsertion"/>
          <w:b w:val="0"/>
          <w:color w:val="000000"/>
          <w:szCs w:val="16"/>
          <w:u w:val="none"/>
          <w:lang w:val="en-US"/>
        </w:rPr>
        <w:t>, or book entry</w:t>
      </w:r>
      <w:r>
        <w:rPr>
          <w:rStyle w:val="DeltaViewInsertion"/>
          <w:b w:val="0"/>
          <w:color w:val="000000"/>
          <w:szCs w:val="16"/>
          <w:u w:val="none"/>
        </w:rPr>
        <w:t xml:space="preserve"> </w:t>
      </w:r>
      <w:r>
        <w:t xml:space="preserve">representing (i) the [Series A] Preferred Stock, (ii) the Registrable Securities, and (iii) any other securities issued in respect of the securities referenced in clauses (i) and (ii), upon any stock split, stock dividend, recapitalization, merger, consolidation, or similar event, shall (unless otherwise permitted by the provisions of </w:t>
      </w:r>
      <w:r>
        <w:rPr>
          <w:u w:val="single"/>
        </w:rPr>
        <w:t>Subsection 2.12</w:t>
      </w:r>
      <w:r>
        <w:rPr>
          <w:rStyle w:val="DeltaViewInsertion"/>
          <w:b w:val="0"/>
          <w:color w:val="000000"/>
          <w:szCs w:val="16"/>
          <w:u w:val="single"/>
        </w:rPr>
        <w:fldChar w:fldCharType="begin"/>
      </w:r>
      <w:r>
        <w:rPr>
          <w:u w:val="single"/>
        </w:rPr>
        <w:instrText xml:space="preserve"> REF _Ref264905690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(c)</w:t>
      </w:r>
      <w:r>
        <w:rPr>
          <w:rStyle w:val="DeltaViewInsertion"/>
          <w:b w:val="0"/>
          <w:color w:val="000000"/>
          <w:szCs w:val="16"/>
          <w:u w:val="single"/>
        </w:rPr>
        <w:fldChar w:fldCharType="end"/>
      </w:r>
      <w:r>
        <w:t xml:space="preserve">) be </w:t>
      </w:r>
      <w:r>
        <w:rPr>
          <w:lang w:val="en-US"/>
        </w:rPr>
        <w:t>notated</w:t>
      </w:r>
      <w:r>
        <w:t xml:space="preserve"> with a legend </w:t>
      </w:r>
      <w:r>
        <w:rPr>
          <w:rStyle w:val="DeltaViewInsertion"/>
          <w:b w:val="0"/>
          <w:color w:val="000000"/>
          <w:szCs w:val="16"/>
          <w:u w:val="none"/>
        </w:rPr>
        <w:t xml:space="preserve">substantially </w:t>
      </w:r>
      <w:r>
        <w:t>in the following form:</w:t>
      </w:r>
      <w:bookmarkEnd w:id="398"/>
      <w:bookmarkEnd w:id="400"/>
    </w:p>
    <w:p w:rsidR="00B95ADB" w:rsidRDefault="00B95ADB">
      <w:pPr>
        <w:pStyle w:val="Legend"/>
      </w:pPr>
      <w:bookmarkStart w:id="401" w:name="_DV_M215"/>
      <w:bookmarkEnd w:id="401"/>
      <w:r>
        <w:t xml:space="preserve">THE </w:t>
      </w:r>
      <w:r>
        <w:rPr>
          <w:rStyle w:val="DeltaViewInsertion"/>
          <w:b w:val="0"/>
          <w:u w:val="none"/>
        </w:rPr>
        <w:t>SECURITIES</w:t>
      </w:r>
      <w:r>
        <w:t xml:space="preserve"> REPRESENTED </w:t>
      </w:r>
      <w:r>
        <w:rPr>
          <w:rStyle w:val="DeltaViewInsertion"/>
          <w:b w:val="0"/>
          <w:u w:val="none"/>
        </w:rPr>
        <w:t>HEREBY</w:t>
      </w:r>
      <w:r>
        <w:t xml:space="preserve"> HAVE BEEN ACQUIRED FOR INVESTMENT AND HAVE NOT BEEN REGISTERED UNDER THE SECURITIES ACT OF 1933.  SUCH SHARES MAY NOT BE SOLD, PLEDGED, OR TRANSFERRED IN THE ABSENCE OF SUCH REGISTRATION OR A VALID EXEMPTION FROM THE REGISTRATION AND PROSPECTUS DELIVERY REQUIREMENTS OF SAID ACT.</w:t>
      </w:r>
      <w:bookmarkStart w:id="402" w:name="_DV_M216"/>
      <w:bookmarkEnd w:id="402"/>
    </w:p>
    <w:p w:rsidR="00B95ADB" w:rsidRDefault="00B95ADB">
      <w:pPr>
        <w:pStyle w:val="Legend"/>
      </w:pPr>
      <w:r>
        <w:t xml:space="preserve">THE </w:t>
      </w:r>
      <w:r>
        <w:rPr>
          <w:rStyle w:val="DeltaViewInsertion"/>
          <w:b w:val="0"/>
          <w:u w:val="none"/>
        </w:rPr>
        <w:t>SECURITIES</w:t>
      </w:r>
      <w:r>
        <w:t xml:space="preserve"> REPRESENTED </w:t>
      </w:r>
      <w:r>
        <w:rPr>
          <w:rStyle w:val="DeltaViewInsertion"/>
          <w:b w:val="0"/>
          <w:u w:val="none"/>
        </w:rPr>
        <w:t>HEREBY</w:t>
      </w:r>
      <w:r>
        <w:t xml:space="preserve"> MAY BE TRANSFERRED ONLY IN ACCORDANCE WITH THE TERMS OF AN AGREEMENT BETWEEN THE COMPANY AND THE STOCKHOLDER, A COPY OF WHICH IS ON FILE WITH THE SECRETARY OF THE COMPANY.</w:t>
      </w:r>
    </w:p>
    <w:p w:rsidR="00B95ADB" w:rsidRDefault="00B95ADB">
      <w:pPr>
        <w:pStyle w:val="Bod"/>
      </w:pPr>
      <w:bookmarkStart w:id="403" w:name="_DV_M217"/>
      <w:bookmarkEnd w:id="403"/>
      <w:r>
        <w:t xml:space="preserve">The Holders consent to the Company making a notation in its records and giving instructions to any transfer agent of the Restricted Securities in order to implement the restrictions on transfer set forth in this </w:t>
      </w:r>
      <w:r>
        <w:rPr>
          <w:u w:val="single"/>
        </w:rPr>
        <w:t xml:space="preserve">Subsection </w:t>
      </w:r>
      <w:r>
        <w:rPr>
          <w:rStyle w:val="DeltaViewInsertion"/>
          <w:b w:val="0"/>
          <w:color w:val="000000"/>
          <w:szCs w:val="16"/>
          <w:u w:val="single"/>
        </w:rPr>
        <w:fldChar w:fldCharType="begin"/>
      </w:r>
      <w:r>
        <w:rPr>
          <w:u w:val="single"/>
        </w:rPr>
        <w:instrText xml:space="preserve"> REF _Ref264905704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2.12</w:t>
      </w:r>
      <w:r>
        <w:rPr>
          <w:rStyle w:val="DeltaViewInsertion"/>
          <w:b w:val="0"/>
          <w:color w:val="000000"/>
          <w:szCs w:val="16"/>
          <w:u w:val="single"/>
        </w:rPr>
        <w:fldChar w:fldCharType="end"/>
      </w:r>
      <w:r>
        <w:rPr>
          <w:rStyle w:val="DeltaViewInsertion"/>
          <w:b w:val="0"/>
          <w:color w:val="000000"/>
          <w:szCs w:val="16"/>
          <w:u w:val="none"/>
        </w:rPr>
        <w:t>.</w:t>
      </w:r>
    </w:p>
    <w:p w:rsidR="00B95ADB" w:rsidRDefault="00B95ADB">
      <w:pPr>
        <w:pStyle w:val="Heading3"/>
      </w:pPr>
      <w:bookmarkStart w:id="404" w:name="_DV_M218"/>
      <w:bookmarkStart w:id="405" w:name="_Toc136067394"/>
      <w:bookmarkStart w:id="406" w:name="_Ref264905690"/>
      <w:bookmarkStart w:id="407" w:name="_Ref264906364"/>
      <w:bookmarkEnd w:id="404"/>
      <w:r>
        <w:t xml:space="preserve">The holder of </w:t>
      </w:r>
      <w:r>
        <w:rPr>
          <w:lang w:val="en-US"/>
        </w:rPr>
        <w:t>such</w:t>
      </w:r>
      <w:r>
        <w:t xml:space="preserve"> Restricted Securities, by acceptance </w:t>
      </w:r>
      <w:r>
        <w:rPr>
          <w:lang w:val="en-US"/>
        </w:rPr>
        <w:t xml:space="preserve">of ownership </w:t>
      </w:r>
      <w:r>
        <w:t xml:space="preserve">thereof, agrees to comply in all respects with the provisions of this </w:t>
      </w:r>
      <w:r>
        <w:rPr>
          <w:u w:val="single"/>
        </w:rPr>
        <w:t xml:space="preserve">Section </w:t>
      </w:r>
      <w:r>
        <w:rPr>
          <w:u w:val="single"/>
        </w:rPr>
        <w:fldChar w:fldCharType="begin"/>
      </w:r>
      <w:r>
        <w:rPr>
          <w:u w:val="single"/>
        </w:rPr>
        <w:instrText xml:space="preserve"> REF _Ref264905735 \r \h </w:instrText>
      </w:r>
      <w:r>
        <w:rPr>
          <w:u w:val="single"/>
        </w:rPr>
      </w:r>
      <w:r>
        <w:rPr>
          <w:u w:val="single"/>
        </w:rPr>
        <w:fldChar w:fldCharType="separate"/>
      </w:r>
      <w:r w:rsidR="00222212">
        <w:rPr>
          <w:u w:val="single"/>
        </w:rPr>
        <w:t>2</w:t>
      </w:r>
      <w:r>
        <w:rPr>
          <w:u w:val="single"/>
        </w:rPr>
        <w:fldChar w:fldCharType="end"/>
      </w:r>
      <w:r>
        <w:t xml:space="preserve">.  Before any proposed sale, pledge, or transfer of any Restricted Securities, unless there is in effect a registration statement under the Securities Act covering the proposed transaction, the Holder thereof shall give notice to the Company of such Holder’s intention to effect such sale, pledge, or transfer.  Each such notice shall describe the manner and circumstances of the proposed sale, pledge, or transfer in sufficient detail and, if reasonably requested by the Company, shall be accompanied at such Holder’s expense by either (i) a written opinion of legal counsel who shall, and whose legal opinion shall, be reasonably satisfactory to the Company, addressed to the Company, to the effect that the proposed transaction may be effected without registration under the Securities Act; (ii) a “no action” letter from the SEC to the effect that the proposed  sale, pledge, or transfer of such Restricted Securities without registration will not result in a recommendation by the staff of the SEC that action be taken with respect thereto; or (iii) any other evidence reasonably satisfactory to counsel to the Company to the effect that the proposed sale, pledge, or transfer of the Restricted Securities may be effected without registration under the Securities Act, whereupon the Holder of such Restricted Securities shall be entitled to sell, pledge, or transfer such Restricted Securities in accordance with the terms of the notice given by the Holder to the Company.  The Company will not require such a legal opinion or “no action” letter (x) in any transaction in compliance with </w:t>
      </w:r>
      <w:r>
        <w:rPr>
          <w:rStyle w:val="DeltaViewInsertion"/>
          <w:b w:val="0"/>
          <w:color w:val="000000"/>
          <w:szCs w:val="16"/>
          <w:u w:val="none"/>
        </w:rPr>
        <w:t xml:space="preserve">SEC </w:t>
      </w:r>
      <w:r>
        <w:t xml:space="preserve">Rule 144; or (y) in any transaction in which such Holder distributes Restricted Securities to an Affiliate of such Holder for no consideration; </w:t>
      </w:r>
      <w:r>
        <w:rPr>
          <w:u w:val="single"/>
        </w:rPr>
        <w:t>provided</w:t>
      </w:r>
      <w:r>
        <w:t xml:space="preserve"> that each transferee agrees in writing to be subject to the terms of this </w:t>
      </w:r>
      <w:r>
        <w:rPr>
          <w:u w:val="single"/>
        </w:rPr>
        <w:t xml:space="preserve">Subsection </w:t>
      </w:r>
      <w:r>
        <w:rPr>
          <w:rStyle w:val="DeltaViewInsertion"/>
          <w:b w:val="0"/>
          <w:color w:val="000000"/>
          <w:szCs w:val="16"/>
          <w:u w:val="single"/>
        </w:rPr>
        <w:fldChar w:fldCharType="begin"/>
      </w:r>
      <w:r>
        <w:rPr>
          <w:u w:val="single"/>
        </w:rPr>
        <w:instrText xml:space="preserve"> REF _Ref264905717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2.12</w:t>
      </w:r>
      <w:r>
        <w:rPr>
          <w:rStyle w:val="DeltaViewInsertion"/>
          <w:b w:val="0"/>
          <w:color w:val="000000"/>
          <w:szCs w:val="16"/>
          <w:u w:val="single"/>
        </w:rPr>
        <w:fldChar w:fldCharType="end"/>
      </w:r>
      <w:r>
        <w:rPr>
          <w:rStyle w:val="DeltaViewInsertion"/>
          <w:b w:val="0"/>
          <w:color w:val="000000"/>
          <w:szCs w:val="16"/>
          <w:u w:val="none"/>
        </w:rPr>
        <w:t>.</w:t>
      </w:r>
      <w:r>
        <w:t xml:space="preserve">  Each certificate</w:t>
      </w:r>
      <w:r>
        <w:rPr>
          <w:lang w:val="en-US"/>
        </w:rPr>
        <w:t>,</w:t>
      </w:r>
      <w:r>
        <w:t xml:space="preserve"> </w:t>
      </w:r>
      <w:r>
        <w:rPr>
          <w:rStyle w:val="DeltaViewInsertion"/>
          <w:b w:val="0"/>
          <w:color w:val="000000"/>
          <w:szCs w:val="16"/>
          <w:u w:val="none"/>
        </w:rPr>
        <w:t>instrument</w:t>
      </w:r>
      <w:r>
        <w:rPr>
          <w:rStyle w:val="DeltaViewInsertion"/>
          <w:b w:val="0"/>
          <w:color w:val="000000"/>
          <w:szCs w:val="16"/>
          <w:u w:val="none"/>
          <w:lang w:val="en-US"/>
        </w:rPr>
        <w:t>, or book entry</w:t>
      </w:r>
      <w:r>
        <w:rPr>
          <w:rStyle w:val="DeltaViewInsertion"/>
          <w:b w:val="0"/>
          <w:color w:val="000000"/>
          <w:szCs w:val="16"/>
          <w:u w:val="none"/>
        </w:rPr>
        <w:t xml:space="preserve"> </w:t>
      </w:r>
      <w:r>
        <w:rPr>
          <w:lang w:val="en-US"/>
        </w:rPr>
        <w:t>representing</w:t>
      </w:r>
      <w:r>
        <w:t xml:space="preserve"> the Restricted Securities transferred as above provided shall </w:t>
      </w:r>
      <w:r>
        <w:rPr>
          <w:lang w:val="en-US"/>
        </w:rPr>
        <w:t>be notated with</w:t>
      </w:r>
      <w:r>
        <w:t xml:space="preserve">, except if such transfer is made pursuant to </w:t>
      </w:r>
      <w:r>
        <w:rPr>
          <w:rStyle w:val="DeltaViewInsertion"/>
          <w:b w:val="0"/>
          <w:color w:val="000000"/>
          <w:szCs w:val="16"/>
          <w:u w:val="none"/>
        </w:rPr>
        <w:t xml:space="preserve">SEC </w:t>
      </w:r>
      <w:r>
        <w:t xml:space="preserve">Rule 144, the appropriate restrictive legend set forth in </w:t>
      </w:r>
      <w:r>
        <w:rPr>
          <w:u w:val="single"/>
        </w:rPr>
        <w:t>Subsection 2.12</w:t>
      </w:r>
      <w:r>
        <w:rPr>
          <w:rStyle w:val="DeltaViewInsertion"/>
          <w:b w:val="0"/>
          <w:color w:val="000000"/>
          <w:szCs w:val="16"/>
          <w:u w:val="single"/>
        </w:rPr>
        <w:fldChar w:fldCharType="begin"/>
      </w:r>
      <w:r>
        <w:rPr>
          <w:u w:val="single"/>
        </w:rPr>
        <w:instrText xml:space="preserve"> REF _Ref264904994 \r \h </w:instrText>
      </w:r>
      <w:r>
        <w:rPr>
          <w:rStyle w:val="DeltaViewInsertion"/>
          <w:b w:val="0"/>
          <w:color w:val="000000"/>
          <w:szCs w:val="16"/>
          <w:u w:val="single"/>
        </w:rPr>
      </w:r>
      <w:r>
        <w:rPr>
          <w:rStyle w:val="DeltaViewInsertion"/>
          <w:b w:val="0"/>
          <w:color w:val="000000"/>
          <w:szCs w:val="16"/>
          <w:u w:val="single"/>
        </w:rPr>
        <w:fldChar w:fldCharType="separate"/>
      </w:r>
      <w:r w:rsidR="00222212">
        <w:rPr>
          <w:u w:val="single"/>
        </w:rPr>
        <w:t>(b)</w:t>
      </w:r>
      <w:r>
        <w:rPr>
          <w:rStyle w:val="DeltaViewInsertion"/>
          <w:b w:val="0"/>
          <w:color w:val="000000"/>
          <w:szCs w:val="16"/>
          <w:u w:val="single"/>
        </w:rPr>
        <w:fldChar w:fldCharType="end"/>
      </w:r>
      <w:r>
        <w:t xml:space="preserve">, except that such certificate </w:t>
      </w:r>
      <w:r>
        <w:rPr>
          <w:lang w:val="en-US"/>
        </w:rPr>
        <w:t xml:space="preserve">instrument, or book entry </w:t>
      </w:r>
      <w:r>
        <w:t xml:space="preserve">shall not </w:t>
      </w:r>
      <w:r>
        <w:rPr>
          <w:lang w:val="en-US"/>
        </w:rPr>
        <w:t>be notated with</w:t>
      </w:r>
      <w:r>
        <w:t xml:space="preserve"> such restrictive legend if, in the opinion of counsel for such Holder and the Company, such legend is not required in order to establish compliance with any provisions of the Securities Act.</w:t>
      </w:r>
      <w:bookmarkEnd w:id="405"/>
      <w:bookmarkEnd w:id="406"/>
      <w:bookmarkEnd w:id="407"/>
    </w:p>
    <w:p w:rsidR="00B95ADB" w:rsidRDefault="00B95ADB">
      <w:pPr>
        <w:pStyle w:val="Heading2"/>
        <w:rPr>
          <w:vanish/>
          <w:specVanish/>
        </w:rPr>
      </w:pPr>
      <w:bookmarkStart w:id="408" w:name="_DV_M220"/>
      <w:bookmarkStart w:id="409" w:name="_Toc116180673"/>
      <w:bookmarkStart w:id="410" w:name="_Toc165866772"/>
      <w:bookmarkStart w:id="411" w:name="_Toc131593463"/>
      <w:bookmarkStart w:id="412" w:name="_Toc136067395"/>
      <w:bookmarkStart w:id="413" w:name="_Ref264904982"/>
      <w:bookmarkStart w:id="414" w:name="_Toc505091151"/>
      <w:bookmarkEnd w:id="408"/>
      <w:r>
        <w:t>Termination of Registration Rights</w:t>
      </w:r>
      <w:bookmarkEnd w:id="414"/>
    </w:p>
    <w:p w:rsidR="00B95ADB" w:rsidRDefault="00B95ADB">
      <w:pPr>
        <w:pStyle w:val="Bod"/>
      </w:pPr>
      <w:r>
        <w:t>.</w:t>
      </w:r>
      <w:bookmarkStart w:id="415" w:name="_DV_M221"/>
      <w:bookmarkEnd w:id="415"/>
      <w:r>
        <w:t xml:space="preserve">  The right of any Holder to request registration or inclusion of Registrable Securities in any registration pursuant to </w:t>
      </w:r>
      <w:bookmarkStart w:id="416" w:name="_DV_M222"/>
      <w:bookmarkEnd w:id="409"/>
      <w:bookmarkEnd w:id="410"/>
      <w:bookmarkEnd w:id="416"/>
      <w:r>
        <w:rPr>
          <w:u w:val="single"/>
        </w:rPr>
        <w:t xml:space="preserve">Subsections </w:t>
      </w:r>
      <w:r>
        <w:rPr>
          <w:rStyle w:val="DeltaViewInsertion"/>
          <w:b w:val="0"/>
          <w:color w:val="000000"/>
          <w:szCs w:val="16"/>
          <w:u w:val="single"/>
        </w:rPr>
        <w:fldChar w:fldCharType="begin"/>
      </w:r>
      <w:r>
        <w:rPr>
          <w:u w:val="single"/>
        </w:rPr>
        <w:instrText xml:space="preserve"> REF _Ref264905772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2.1</w:t>
      </w:r>
      <w:r>
        <w:rPr>
          <w:rStyle w:val="DeltaViewInsertion"/>
          <w:b w:val="0"/>
          <w:color w:val="000000"/>
          <w:szCs w:val="16"/>
          <w:u w:val="single"/>
        </w:rPr>
        <w:fldChar w:fldCharType="end"/>
      </w:r>
      <w:r>
        <w:t xml:space="preserve"> or </w:t>
      </w:r>
      <w:r>
        <w:rPr>
          <w:rStyle w:val="DeltaViewInsertion"/>
          <w:b w:val="0"/>
          <w:color w:val="000000"/>
          <w:szCs w:val="16"/>
          <w:u w:val="single"/>
        </w:rPr>
        <w:fldChar w:fldCharType="begin"/>
      </w:r>
      <w:r>
        <w:rPr>
          <w:u w:val="single"/>
        </w:rPr>
        <w:instrText xml:space="preserve"> REF _Ref264905779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2.2</w:t>
      </w:r>
      <w:r>
        <w:rPr>
          <w:rStyle w:val="DeltaViewInsertion"/>
          <w:b w:val="0"/>
          <w:color w:val="000000"/>
          <w:szCs w:val="16"/>
          <w:u w:val="single"/>
        </w:rPr>
        <w:fldChar w:fldCharType="end"/>
      </w:r>
      <w:r>
        <w:t xml:space="preserve"> shall terminate upon </w:t>
      </w:r>
      <w:r>
        <w:rPr>
          <w:rStyle w:val="DeltaViewInsertion"/>
          <w:b w:val="0"/>
          <w:color w:val="000000"/>
          <w:szCs w:val="16"/>
          <w:u w:val="none"/>
        </w:rPr>
        <w:t>[</w:t>
      </w:r>
      <w:r>
        <w:t xml:space="preserve">the </w:t>
      </w:r>
      <w:r>
        <w:rPr>
          <w:rStyle w:val="DeltaViewInsertion"/>
          <w:b w:val="0"/>
          <w:color w:val="000000"/>
          <w:szCs w:val="16"/>
          <w:u w:val="none"/>
        </w:rPr>
        <w:t>earliest to occur</w:t>
      </w:r>
      <w:r>
        <w:t xml:space="preserve"> of</w:t>
      </w:r>
      <w:r>
        <w:rPr>
          <w:rStyle w:val="DeltaViewInsertion"/>
          <w:b w:val="0"/>
          <w:color w:val="000000"/>
          <w:szCs w:val="16"/>
          <w:u w:val="none"/>
        </w:rPr>
        <w:t>]</w:t>
      </w:r>
      <w:r>
        <w:t>:</w:t>
      </w:r>
      <w:bookmarkEnd w:id="411"/>
      <w:bookmarkEnd w:id="412"/>
      <w:bookmarkEnd w:id="413"/>
    </w:p>
    <w:p w:rsidR="00B95ADB" w:rsidRDefault="00B95ADB">
      <w:pPr>
        <w:pStyle w:val="Heading3"/>
      </w:pPr>
      <w:bookmarkStart w:id="417" w:name="_DV_M223"/>
      <w:bookmarkStart w:id="418" w:name="_Toc136067396"/>
      <w:bookmarkEnd w:id="417"/>
      <w:r>
        <w:t>[the closing of a Deemed Liquidation Event, as such term is defined in the Certificate of Incorporation;]</w:t>
      </w:r>
      <w:bookmarkStart w:id="419" w:name="_Toc136067397"/>
      <w:bookmarkEnd w:id="418"/>
    </w:p>
    <w:p w:rsidR="00B95ADB" w:rsidRDefault="00B95ADB">
      <w:pPr>
        <w:pStyle w:val="Heading3"/>
        <w:rPr>
          <w:rStyle w:val="DeltaViewInsertion"/>
          <w:b w:val="0"/>
          <w:color w:val="000000"/>
          <w:szCs w:val="16"/>
          <w:u w:val="none"/>
        </w:rPr>
      </w:pPr>
      <w:bookmarkStart w:id="420" w:name="_DV_M224"/>
      <w:bookmarkEnd w:id="420"/>
      <w:r>
        <w:rPr>
          <w:rStyle w:val="DeltaViewInsertion"/>
          <w:b w:val="0"/>
          <w:color w:val="000000"/>
          <w:szCs w:val="16"/>
          <w:u w:val="none"/>
        </w:rPr>
        <w:t>[</w:t>
      </w:r>
      <w:bookmarkStart w:id="421" w:name="_DV_C93"/>
      <w:r>
        <w:rPr>
          <w:rStyle w:val="DeltaViewInsertion"/>
          <w:b w:val="0"/>
          <w:color w:val="000000"/>
          <w:szCs w:val="16"/>
          <w:u w:val="none"/>
        </w:rPr>
        <w:t xml:space="preserve">such time </w:t>
      </w:r>
      <w:r w:rsidR="007830A6">
        <w:rPr>
          <w:rStyle w:val="DeltaViewInsertion"/>
          <w:b w:val="0"/>
          <w:color w:val="000000"/>
          <w:szCs w:val="16"/>
          <w:u w:val="none"/>
          <w:lang w:val="en-US"/>
        </w:rPr>
        <w:t xml:space="preserve">after consummation of the IPO </w:t>
      </w:r>
      <w:r>
        <w:rPr>
          <w:rStyle w:val="DeltaViewInsertion"/>
          <w:b w:val="0"/>
          <w:color w:val="000000"/>
          <w:szCs w:val="16"/>
          <w:u w:val="none"/>
        </w:rPr>
        <w:t>as Rule 144 or another similar exemption under the Securities Act is available for the sale of</w:t>
      </w:r>
      <w:bookmarkEnd w:id="421"/>
      <w:r>
        <w:rPr>
          <w:b/>
        </w:rPr>
        <w:t xml:space="preserve"> </w:t>
      </w:r>
      <w:r>
        <w:t xml:space="preserve">all of such Holder’s </w:t>
      </w:r>
      <w:bookmarkStart w:id="422" w:name="_DV_C96"/>
      <w:r>
        <w:rPr>
          <w:rStyle w:val="DeltaViewInsertion"/>
          <w:b w:val="0"/>
          <w:color w:val="000000"/>
          <w:szCs w:val="16"/>
          <w:u w:val="none"/>
        </w:rPr>
        <w:t>shares without limitation during a three-month period without registration</w:t>
      </w:r>
      <w:r w:rsidR="003416EE">
        <w:rPr>
          <w:rStyle w:val="DeltaViewInsertion"/>
          <w:b w:val="0"/>
          <w:color w:val="000000"/>
          <w:szCs w:val="16"/>
          <w:u w:val="none"/>
          <w:lang w:val="en-US"/>
        </w:rPr>
        <w:t>;]</w:t>
      </w:r>
      <w:r w:rsidR="007830A6">
        <w:rPr>
          <w:rStyle w:val="DeltaViewInsertion"/>
          <w:b w:val="0"/>
          <w:color w:val="000000"/>
          <w:szCs w:val="16"/>
          <w:u w:val="none"/>
          <w:lang w:val="en-US"/>
        </w:rPr>
        <w:t xml:space="preserve"> </w:t>
      </w:r>
      <w:bookmarkEnd w:id="419"/>
      <w:bookmarkEnd w:id="422"/>
      <w:r w:rsidR="003416EE">
        <w:rPr>
          <w:rStyle w:val="DeltaViewInsertion"/>
          <w:b w:val="0"/>
          <w:color w:val="000000"/>
          <w:szCs w:val="16"/>
          <w:u w:val="none"/>
          <w:lang w:val="en-US"/>
        </w:rPr>
        <w:t xml:space="preserve"> </w:t>
      </w:r>
    </w:p>
    <w:p w:rsidR="00B95ADB" w:rsidRDefault="00B95ADB">
      <w:pPr>
        <w:pStyle w:val="Heading3"/>
      </w:pPr>
      <w:bookmarkStart w:id="423" w:name="_DV_M225"/>
      <w:bookmarkEnd w:id="423"/>
      <w:r>
        <w:rPr>
          <w:rStyle w:val="DeltaViewInsertion"/>
          <w:b w:val="0"/>
          <w:color w:val="000000"/>
          <w:szCs w:val="16"/>
          <w:u w:val="none"/>
        </w:rPr>
        <w:t>the [__________] anniversary of the [IPO][</w:t>
      </w:r>
      <w:r>
        <w:rPr>
          <w:rStyle w:val="DeltaViewInsertion"/>
          <w:b w:val="0"/>
          <w:i/>
          <w:color w:val="000000"/>
          <w:szCs w:val="16"/>
          <w:u w:val="none"/>
        </w:rPr>
        <w:t>Alternative</w:t>
      </w:r>
      <w:r>
        <w:rPr>
          <w:rStyle w:val="DeltaViewInsertion"/>
          <w:b w:val="0"/>
          <w:color w:val="000000"/>
          <w:szCs w:val="16"/>
          <w:u w:val="none"/>
        </w:rPr>
        <w:t>: date of this Agreement].</w:t>
      </w:r>
    </w:p>
    <w:p w:rsidR="00B95ADB" w:rsidRDefault="00B95ADB">
      <w:pPr>
        <w:pStyle w:val="Heading1"/>
        <w:keepNext/>
        <w:rPr>
          <w:vanish/>
          <w:color w:val="000000"/>
          <w:szCs w:val="16"/>
          <w:specVanish/>
        </w:rPr>
      </w:pPr>
      <w:bookmarkStart w:id="424" w:name="_DV_M226"/>
      <w:bookmarkStart w:id="425" w:name="_Toc116180674"/>
      <w:bookmarkStart w:id="426" w:name="_Toc165866773"/>
      <w:bookmarkStart w:id="427" w:name="_Toc131593464"/>
      <w:bookmarkStart w:id="428" w:name="_Toc136067398"/>
      <w:bookmarkStart w:id="429" w:name="_Toc505091152"/>
      <w:bookmarkEnd w:id="424"/>
      <w:r>
        <w:t>Information and Observer Rights</w:t>
      </w:r>
      <w:bookmarkEnd w:id="429"/>
    </w:p>
    <w:p w:rsidR="00B95ADB" w:rsidRDefault="00B95ADB">
      <w:pPr>
        <w:pStyle w:val="Bod"/>
      </w:pPr>
      <w:r>
        <w:t>.</w:t>
      </w:r>
      <w:bookmarkStart w:id="430" w:name="_DV_M227"/>
      <w:bookmarkEnd w:id="425"/>
      <w:bookmarkEnd w:id="426"/>
      <w:bookmarkEnd w:id="427"/>
      <w:bookmarkEnd w:id="428"/>
      <w:bookmarkEnd w:id="430"/>
    </w:p>
    <w:p w:rsidR="00B95ADB" w:rsidRDefault="00B95ADB">
      <w:pPr>
        <w:pStyle w:val="Heading2"/>
        <w:rPr>
          <w:vanish/>
          <w:specVanish/>
        </w:rPr>
      </w:pPr>
      <w:bookmarkStart w:id="431" w:name="_DV_M228"/>
      <w:bookmarkStart w:id="432" w:name="_Toc165866774"/>
      <w:bookmarkStart w:id="433" w:name="_Toc116180675"/>
      <w:bookmarkStart w:id="434" w:name="_Toc131593465"/>
      <w:bookmarkStart w:id="435" w:name="_Toc136067399"/>
      <w:bookmarkStart w:id="436" w:name="_Ref264904881"/>
      <w:bookmarkStart w:id="437" w:name="_Ref264905944"/>
      <w:bookmarkStart w:id="438" w:name="_Ref264906011"/>
      <w:bookmarkStart w:id="439" w:name="_Ref431298634"/>
      <w:bookmarkStart w:id="440" w:name="_Ref431386174"/>
      <w:bookmarkStart w:id="441" w:name="_Toc505091153"/>
      <w:bookmarkEnd w:id="431"/>
      <w:r>
        <w:t>Delivery of Financial Statements</w:t>
      </w:r>
      <w:bookmarkEnd w:id="439"/>
      <w:bookmarkEnd w:id="440"/>
      <w:bookmarkEnd w:id="441"/>
    </w:p>
    <w:p w:rsidR="00B95ADB" w:rsidRDefault="00B95ADB">
      <w:pPr>
        <w:pStyle w:val="Bod"/>
      </w:pPr>
      <w:r>
        <w:t xml:space="preserve">. </w:t>
      </w:r>
      <w:bookmarkStart w:id="442" w:name="_DV_M229"/>
      <w:bookmarkEnd w:id="432"/>
      <w:bookmarkEnd w:id="442"/>
      <w:r>
        <w:t xml:space="preserve"> The Company shall deliver to each Major Investor</w:t>
      </w:r>
      <w:bookmarkStart w:id="443" w:name="_DV_M231"/>
      <w:bookmarkEnd w:id="443"/>
      <w:r>
        <w:rPr>
          <w:rStyle w:val="FootnoteReference"/>
        </w:rPr>
        <w:footnoteReference w:id="32"/>
      </w:r>
      <w:r>
        <w:t xml:space="preserve">[, </w:t>
      </w:r>
      <w:r>
        <w:rPr>
          <w:u w:val="single"/>
        </w:rPr>
        <w:t>provided</w:t>
      </w:r>
      <w:r>
        <w:t xml:space="preserve"> that the Board of Directors has not reasonably determined that such Major Investor is a competitor of the Company</w:t>
      </w:r>
      <w:bookmarkStart w:id="445" w:name="_DV_M233"/>
      <w:bookmarkEnd w:id="445"/>
      <w:r>
        <w:rPr>
          <w:rStyle w:val="FootnoteReference"/>
        </w:rPr>
        <w:footnoteReference w:id="33"/>
      </w:r>
      <w:r>
        <w:t>]:</w:t>
      </w:r>
      <w:bookmarkEnd w:id="433"/>
      <w:bookmarkEnd w:id="434"/>
      <w:bookmarkEnd w:id="435"/>
      <w:bookmarkEnd w:id="436"/>
      <w:bookmarkEnd w:id="437"/>
      <w:bookmarkEnd w:id="438"/>
    </w:p>
    <w:p w:rsidR="00B95ADB" w:rsidRDefault="00B95ADB">
      <w:pPr>
        <w:pStyle w:val="Heading3"/>
      </w:pPr>
      <w:bookmarkStart w:id="447" w:name="_DV_M234"/>
      <w:bookmarkStart w:id="448" w:name="_Toc136067400"/>
      <w:bookmarkStart w:id="449" w:name="_Ref264905869"/>
      <w:bookmarkEnd w:id="447"/>
      <w:r>
        <w:t xml:space="preserve">as soon as practicable, but in any event within [ninety - one hundred twenty (90-120)] days after the end of each fiscal year of the Company (i) a balance sheet as of the end of such year, (ii) statements of income and of cash flows for such year[, and a comparison between (x) the actual amounts as of and for such fiscal year and (y) the comparable amounts for the prior year and as included in the Budget (as defined in </w:t>
      </w:r>
      <w:r>
        <w:rPr>
          <w:u w:val="single"/>
        </w:rPr>
        <w:t>Subsection 3.1</w:t>
      </w:r>
      <w:r>
        <w:rPr>
          <w:u w:val="single"/>
        </w:rPr>
        <w:fldChar w:fldCharType="begin"/>
      </w:r>
      <w:r>
        <w:rPr>
          <w:u w:val="single"/>
        </w:rPr>
        <w:instrText xml:space="preserve"> REF _Ref264905848 \r \h </w:instrText>
      </w:r>
      <w:r>
        <w:rPr>
          <w:u w:val="single"/>
        </w:rPr>
      </w:r>
      <w:r>
        <w:rPr>
          <w:u w:val="single"/>
        </w:rPr>
        <w:fldChar w:fldCharType="separate"/>
      </w:r>
      <w:r w:rsidR="00222212">
        <w:rPr>
          <w:u w:val="single"/>
        </w:rPr>
        <w:t>(e)</w:t>
      </w:r>
      <w:r>
        <w:rPr>
          <w:u w:val="single"/>
        </w:rPr>
        <w:fldChar w:fldCharType="end"/>
      </w:r>
      <w:r>
        <w:t>) for such year, with an explanation of any material differences between such amounts and a schedule as to the sources and applications of funds for such year], and (iii) a statement of stockholders’ equity as of the end of such year</w:t>
      </w:r>
      <w:r>
        <w:rPr>
          <w:rStyle w:val="DeltaViewInsertion"/>
          <w:b w:val="0"/>
          <w:color w:val="000000"/>
          <w:szCs w:val="16"/>
          <w:u w:val="none"/>
        </w:rPr>
        <w:t>[</w:t>
      </w:r>
      <w:r>
        <w:t>,</w:t>
      </w:r>
      <w:r>
        <w:rPr>
          <w:rStyle w:val="DeltaViewInsertion"/>
          <w:b w:val="0"/>
          <w:color w:val="000000"/>
          <w:szCs w:val="16"/>
          <w:u w:val="none"/>
        </w:rPr>
        <w:t xml:space="preserve"> all such financial statements</w:t>
      </w:r>
      <w:r>
        <w:t xml:space="preserve"> audited and certified by independent public accountants of </w:t>
      </w:r>
      <w:bookmarkStart w:id="450" w:name="_DV_C106"/>
      <w:r>
        <w:rPr>
          <w:rStyle w:val="DeltaViewInsertion"/>
          <w:b w:val="0"/>
          <w:color w:val="000000"/>
          <w:szCs w:val="16"/>
          <w:u w:val="none"/>
        </w:rPr>
        <w:t>[</w:t>
      </w:r>
      <w:bookmarkStart w:id="451" w:name="_DV_M235"/>
      <w:bookmarkEnd w:id="450"/>
      <w:bookmarkEnd w:id="451"/>
      <w:r>
        <w:t>nationally</w:t>
      </w:r>
      <w:bookmarkStart w:id="452" w:name="_DV_C107"/>
      <w:r>
        <w:rPr>
          <w:rStyle w:val="DeltaViewInsertion"/>
          <w:b w:val="0"/>
          <w:color w:val="000000"/>
          <w:szCs w:val="16"/>
          <w:u w:val="none"/>
        </w:rPr>
        <w:t>][regionally]</w:t>
      </w:r>
      <w:bookmarkStart w:id="453" w:name="_DV_M236"/>
      <w:bookmarkEnd w:id="452"/>
      <w:bookmarkEnd w:id="453"/>
      <w:r>
        <w:t xml:space="preserve"> recognized standing selected by the Company</w:t>
      </w:r>
      <w:r>
        <w:rPr>
          <w:rStyle w:val="DeltaViewInsertion"/>
          <w:b w:val="0"/>
          <w:color w:val="000000"/>
          <w:szCs w:val="16"/>
          <w:u w:val="none"/>
        </w:rPr>
        <w:t>]</w:t>
      </w:r>
      <w:r>
        <w:t>;</w:t>
      </w:r>
      <w:bookmarkStart w:id="454" w:name="_DV_M238"/>
      <w:bookmarkStart w:id="455" w:name="_Toc136067401"/>
      <w:bookmarkEnd w:id="448"/>
      <w:bookmarkEnd w:id="449"/>
      <w:bookmarkEnd w:id="454"/>
      <w:r>
        <w:rPr>
          <w:rStyle w:val="FootnoteReference"/>
        </w:rPr>
        <w:footnoteReference w:id="34"/>
      </w:r>
    </w:p>
    <w:p w:rsidR="00B95ADB" w:rsidRDefault="00B95ADB">
      <w:pPr>
        <w:pStyle w:val="Heading3"/>
      </w:pPr>
      <w:bookmarkStart w:id="458" w:name="_DV_M239"/>
      <w:bookmarkStart w:id="459" w:name="_Ref264905892"/>
      <w:bookmarkEnd w:id="458"/>
      <w:r>
        <w:t>as soon as practicable, but in any event within forty</w:t>
      </w:r>
      <w:r>
        <w:noBreakHyphen/>
        <w:t>five (45) days after the end of each of the first three (3) quarters of each fiscal year of the Company, unaudited statements of income and cash flows for such fiscal quarter, and an unaudited balance sheet [and a statement of stockholders’ equity] as of the end of such fiscal quarter</w:t>
      </w:r>
      <w:r>
        <w:rPr>
          <w:rStyle w:val="DeltaViewInsertion"/>
          <w:b w:val="0"/>
          <w:color w:val="000000"/>
          <w:szCs w:val="16"/>
          <w:u w:val="none"/>
        </w:rPr>
        <w:t>, all prepared in accordance with GAAP (except that such financial statements may (i) be subject to normal year-end audit adjustments; and (ii) not contain all notes thereto that may be required in accordance with GAAP)</w:t>
      </w:r>
      <w:r>
        <w:t>;</w:t>
      </w:r>
      <w:bookmarkEnd w:id="455"/>
      <w:bookmarkEnd w:id="459"/>
    </w:p>
    <w:p w:rsidR="00B95ADB" w:rsidRDefault="00B95ADB">
      <w:pPr>
        <w:pStyle w:val="Heading3"/>
      </w:pPr>
      <w:bookmarkStart w:id="460" w:name="_DV_M240"/>
      <w:bookmarkStart w:id="461" w:name="_Toc136067402"/>
      <w:bookmarkEnd w:id="460"/>
      <w:r>
        <w:t>[as soon as practicable, but in any event within forty-five (45) days after the end of each of the first three (3) quarters of each fiscal year of the Company, a statement showing the number of shares of each class and series of capital stock and securities convertible into or exercisable for shares of capital stock outstanding at the end of the period, the Common Stock issuable upon conversion or exercise of any outstanding securities convertible or exercisable for Common Stock and the exchange ratio or exercise price applicable thereto, and the number of shares of issued stock options and stock options not yet issued but reserved for issuance, if any, all in sufficient detail as to permit the Major Investors to calculate their respective percentage equity ownership in the Company, and certified by the chief financial officer or chief executive officer of the Company as being true, complete, and correct;]</w:t>
      </w:r>
      <w:bookmarkStart w:id="462" w:name="_Toc136067403"/>
      <w:bookmarkEnd w:id="461"/>
    </w:p>
    <w:p w:rsidR="00B95ADB" w:rsidRDefault="00B95ADB">
      <w:pPr>
        <w:pStyle w:val="Heading3"/>
        <w:rPr>
          <w:rStyle w:val="DeltaViewInsertion"/>
          <w:b w:val="0"/>
          <w:color w:val="000000"/>
          <w:szCs w:val="16"/>
          <w:u w:val="none"/>
        </w:rPr>
      </w:pPr>
      <w:bookmarkStart w:id="463" w:name="_DV_M241"/>
      <w:bookmarkStart w:id="464" w:name="_Ref264905904"/>
      <w:bookmarkEnd w:id="463"/>
      <w:r>
        <w:t xml:space="preserve">[as soon as practicable, but in any event within thirty (30) days of the end of each month, an unaudited income statement </w:t>
      </w:r>
      <w:r>
        <w:rPr>
          <w:rStyle w:val="DeltaViewInsertion"/>
          <w:b w:val="0"/>
          <w:color w:val="000000"/>
          <w:szCs w:val="16"/>
          <w:u w:val="none"/>
        </w:rPr>
        <w:t>[and statement of cash flows] for such month, and</w:t>
      </w:r>
      <w:r>
        <w:t xml:space="preserve"> an unaudited balance </w:t>
      </w:r>
      <w:r>
        <w:rPr>
          <w:rStyle w:val="DeltaViewInsertion"/>
          <w:b w:val="0"/>
          <w:color w:val="000000"/>
          <w:szCs w:val="16"/>
          <w:u w:val="none"/>
        </w:rPr>
        <w:t>sheet [and</w:t>
      </w:r>
      <w:r>
        <w:t xml:space="preserve"> statement</w:t>
      </w:r>
      <w:r>
        <w:rPr>
          <w:rStyle w:val="DeltaViewInsertion"/>
          <w:b w:val="0"/>
          <w:color w:val="000000"/>
          <w:szCs w:val="16"/>
          <w:u w:val="none"/>
        </w:rPr>
        <w:t xml:space="preserve"> of stockholders’ equity] as of the end of such month, all prepared in accordance with GAAP (except that such financial statements may (i) be subject to normal year-end audit adjustments and (ii) not contain all notes thereto that may be required in accordance with GAAP)</w:t>
      </w:r>
      <w:r>
        <w:t>;</w:t>
      </w:r>
      <w:r>
        <w:rPr>
          <w:rStyle w:val="DeltaViewInsertion"/>
          <w:b w:val="0"/>
          <w:color w:val="000000"/>
          <w:szCs w:val="16"/>
          <w:u w:val="none"/>
        </w:rPr>
        <w:t>]</w:t>
      </w:r>
      <w:bookmarkStart w:id="465" w:name="_Toc136067404"/>
      <w:bookmarkEnd w:id="462"/>
      <w:bookmarkEnd w:id="464"/>
    </w:p>
    <w:p w:rsidR="00B95ADB" w:rsidRDefault="00B95ADB">
      <w:pPr>
        <w:pStyle w:val="Heading3"/>
      </w:pPr>
      <w:bookmarkStart w:id="466" w:name="_DV_M242"/>
      <w:bookmarkStart w:id="467" w:name="_Ref264905848"/>
      <w:bookmarkEnd w:id="466"/>
      <w:r>
        <w:t>as soon as practicable, but in any event thirty (30) days before the end of each fiscal year, a budget and business plan for the next fiscal year (collectively, the “</w:t>
      </w:r>
      <w:r>
        <w:rPr>
          <w:b/>
        </w:rPr>
        <w:t>Budget</w:t>
      </w:r>
      <w:r>
        <w:t>”),</w:t>
      </w:r>
      <w:r>
        <w:rPr>
          <w:rStyle w:val="DeltaViewInsertion"/>
          <w:b w:val="0"/>
          <w:color w:val="000000"/>
          <w:szCs w:val="16"/>
          <w:u w:val="none"/>
        </w:rPr>
        <w:t xml:space="preserve"> [approved by the Board of Directors </w:t>
      </w:r>
      <w:r w:rsidR="007830A6">
        <w:rPr>
          <w:rStyle w:val="DeltaViewInsertion"/>
          <w:b w:val="0"/>
          <w:color w:val="000000"/>
          <w:szCs w:val="16"/>
          <w:u w:val="none"/>
          <w:lang w:val="en-US"/>
        </w:rPr>
        <w:t xml:space="preserve">[(including the Series A Director)] </w:t>
      </w:r>
      <w:r>
        <w:rPr>
          <w:rStyle w:val="DeltaViewInsertion"/>
          <w:b w:val="0"/>
          <w:color w:val="000000"/>
          <w:szCs w:val="16"/>
          <w:u w:val="none"/>
        </w:rPr>
        <w:t>and]</w:t>
      </w:r>
      <w:r>
        <w:t xml:space="preserve"> prepared on a monthly basis, including balance sheets, income statements, and statements of cash flow for such months and, promptly after prepared, any other budgets or revised budgets prepared by the Company;</w:t>
      </w:r>
      <w:bookmarkStart w:id="468" w:name="_Toc136067405"/>
      <w:bookmarkEnd w:id="465"/>
      <w:bookmarkEnd w:id="467"/>
    </w:p>
    <w:p w:rsidR="00B95ADB" w:rsidRDefault="00B95ADB">
      <w:pPr>
        <w:pStyle w:val="Heading3"/>
      </w:pPr>
      <w:bookmarkStart w:id="469" w:name="_DV_M243"/>
      <w:bookmarkEnd w:id="469"/>
      <w:r>
        <w:t xml:space="preserve">[with respect to the financial statements called for in </w:t>
      </w:r>
      <w:r>
        <w:rPr>
          <w:u w:val="single"/>
        </w:rPr>
        <w:t>Subsection 3.1</w:t>
      </w:r>
      <w:r>
        <w:rPr>
          <w:u w:val="single"/>
        </w:rPr>
        <w:fldChar w:fldCharType="begin"/>
      </w:r>
      <w:r>
        <w:rPr>
          <w:u w:val="single"/>
        </w:rPr>
        <w:instrText xml:space="preserve"> REF _Ref264905869 \r \h </w:instrText>
      </w:r>
      <w:r>
        <w:rPr>
          <w:u w:val="single"/>
        </w:rPr>
      </w:r>
      <w:r>
        <w:rPr>
          <w:u w:val="single"/>
        </w:rPr>
        <w:instrText xml:space="preserve"> \* MERGEFORMAT </w:instrText>
      </w:r>
      <w:r>
        <w:rPr>
          <w:u w:val="single"/>
        </w:rPr>
        <w:fldChar w:fldCharType="separate"/>
      </w:r>
      <w:r w:rsidR="00222212">
        <w:rPr>
          <w:u w:val="single"/>
        </w:rPr>
        <w:t>(a)</w:t>
      </w:r>
      <w:r>
        <w:rPr>
          <w:u w:val="single"/>
        </w:rPr>
        <w:fldChar w:fldCharType="end"/>
      </w:r>
      <w:r>
        <w:t xml:space="preserve">, </w:t>
      </w:r>
      <w:r>
        <w:rPr>
          <w:u w:val="single"/>
        </w:rPr>
        <w:t>Subsection 3.1</w:t>
      </w:r>
      <w:r>
        <w:rPr>
          <w:u w:val="single"/>
        </w:rPr>
        <w:fldChar w:fldCharType="begin"/>
      </w:r>
      <w:r>
        <w:rPr>
          <w:u w:val="single"/>
        </w:rPr>
        <w:instrText xml:space="preserve"> REF _Ref264905892 \r \h </w:instrText>
      </w:r>
      <w:r>
        <w:rPr>
          <w:u w:val="single"/>
        </w:rPr>
      </w:r>
      <w:r>
        <w:rPr>
          <w:u w:val="single"/>
        </w:rPr>
        <w:instrText xml:space="preserve"> \* MERGEFORMAT </w:instrText>
      </w:r>
      <w:r>
        <w:rPr>
          <w:u w:val="single"/>
        </w:rPr>
        <w:fldChar w:fldCharType="separate"/>
      </w:r>
      <w:r w:rsidR="00222212">
        <w:rPr>
          <w:u w:val="single"/>
        </w:rPr>
        <w:t>(b)</w:t>
      </w:r>
      <w:r>
        <w:rPr>
          <w:u w:val="single"/>
        </w:rPr>
        <w:fldChar w:fldCharType="end"/>
      </w:r>
      <w:r>
        <w:t xml:space="preserve"> </w:t>
      </w:r>
      <w:r>
        <w:rPr>
          <w:rStyle w:val="DeltaViewInsertion"/>
          <w:b w:val="0"/>
          <w:color w:val="000000"/>
          <w:szCs w:val="16"/>
          <w:u w:val="none"/>
        </w:rPr>
        <w:t>[</w:t>
      </w:r>
      <w:r>
        <w:t xml:space="preserve">and </w:t>
      </w:r>
      <w:r>
        <w:rPr>
          <w:u w:val="single"/>
        </w:rPr>
        <w:t>Subsection 3.1</w:t>
      </w:r>
      <w:r>
        <w:rPr>
          <w:u w:val="single"/>
        </w:rPr>
        <w:fldChar w:fldCharType="begin"/>
      </w:r>
      <w:r>
        <w:rPr>
          <w:u w:val="single"/>
        </w:rPr>
        <w:instrText xml:space="preserve"> REF _Ref264905904 \r \h </w:instrText>
      </w:r>
      <w:r>
        <w:rPr>
          <w:u w:val="single"/>
        </w:rPr>
      </w:r>
      <w:r>
        <w:rPr>
          <w:u w:val="single"/>
        </w:rPr>
        <w:instrText xml:space="preserve"> \* MERGEFORMAT </w:instrText>
      </w:r>
      <w:r>
        <w:rPr>
          <w:u w:val="single"/>
        </w:rPr>
        <w:fldChar w:fldCharType="separate"/>
      </w:r>
      <w:r w:rsidR="00222212">
        <w:rPr>
          <w:u w:val="single"/>
        </w:rPr>
        <w:t>(d)</w:t>
      </w:r>
      <w:r>
        <w:rPr>
          <w:u w:val="single"/>
        </w:rPr>
        <w:fldChar w:fldCharType="end"/>
      </w:r>
      <w:r>
        <w:rPr>
          <w:rStyle w:val="DeltaViewInsertion"/>
          <w:b w:val="0"/>
          <w:color w:val="000000"/>
          <w:szCs w:val="16"/>
          <w:u w:val="none"/>
        </w:rPr>
        <w:t>]</w:t>
      </w:r>
      <w:r>
        <w:t xml:space="preserve">, an instrument executed by the chief financial officer and chief executive officer of the Company certifying that such financial statements were prepared in accordance with GAAP consistently applied with prior practice for earlier periods (except as otherwise set forth in </w:t>
      </w:r>
      <w:r>
        <w:rPr>
          <w:u w:val="single"/>
        </w:rPr>
        <w:t>Subsection 3.1</w:t>
      </w:r>
      <w:r>
        <w:rPr>
          <w:u w:val="single"/>
        </w:rPr>
        <w:fldChar w:fldCharType="begin"/>
      </w:r>
      <w:r>
        <w:rPr>
          <w:u w:val="single"/>
        </w:rPr>
        <w:instrText xml:space="preserve"> REF _Ref264905892 \r \h </w:instrText>
      </w:r>
      <w:r>
        <w:rPr>
          <w:u w:val="single"/>
        </w:rPr>
      </w:r>
      <w:r>
        <w:rPr>
          <w:u w:val="single"/>
        </w:rPr>
        <w:instrText xml:space="preserve"> \* MERGEFORMAT </w:instrText>
      </w:r>
      <w:r>
        <w:rPr>
          <w:u w:val="single"/>
        </w:rPr>
        <w:fldChar w:fldCharType="separate"/>
      </w:r>
      <w:r w:rsidR="00222212">
        <w:rPr>
          <w:u w:val="single"/>
        </w:rPr>
        <w:t>(b)</w:t>
      </w:r>
      <w:r>
        <w:rPr>
          <w:u w:val="single"/>
        </w:rPr>
        <w:fldChar w:fldCharType="end"/>
      </w:r>
      <w:r>
        <w:t xml:space="preserve"> </w:t>
      </w:r>
      <w:r>
        <w:rPr>
          <w:rStyle w:val="DeltaViewInsertion"/>
          <w:b w:val="0"/>
          <w:color w:val="000000"/>
          <w:szCs w:val="16"/>
          <w:u w:val="none"/>
        </w:rPr>
        <w:t>[</w:t>
      </w:r>
      <w:r>
        <w:t xml:space="preserve">and </w:t>
      </w:r>
      <w:r>
        <w:rPr>
          <w:u w:val="single"/>
        </w:rPr>
        <w:t>Subsection 3.1</w:t>
      </w:r>
      <w:r>
        <w:rPr>
          <w:u w:val="single"/>
        </w:rPr>
        <w:fldChar w:fldCharType="begin"/>
      </w:r>
      <w:r>
        <w:rPr>
          <w:u w:val="single"/>
        </w:rPr>
        <w:instrText xml:space="preserve"> REF _Ref264905904 \r \h </w:instrText>
      </w:r>
      <w:r>
        <w:rPr>
          <w:u w:val="single"/>
        </w:rPr>
      </w:r>
      <w:r>
        <w:rPr>
          <w:u w:val="single"/>
        </w:rPr>
        <w:instrText xml:space="preserve"> \* MERGEFORMAT </w:instrText>
      </w:r>
      <w:r>
        <w:rPr>
          <w:u w:val="single"/>
        </w:rPr>
        <w:fldChar w:fldCharType="separate"/>
      </w:r>
      <w:r w:rsidR="00222212">
        <w:rPr>
          <w:u w:val="single"/>
        </w:rPr>
        <w:t>(d)</w:t>
      </w:r>
      <w:r>
        <w:rPr>
          <w:u w:val="single"/>
        </w:rPr>
        <w:fldChar w:fldCharType="end"/>
      </w:r>
      <w:r>
        <w:rPr>
          <w:rStyle w:val="DeltaViewInsertion"/>
          <w:b w:val="0"/>
          <w:color w:val="000000"/>
          <w:szCs w:val="16"/>
          <w:u w:val="none"/>
        </w:rPr>
        <w:t>]</w:t>
      </w:r>
      <w:r>
        <w:t>) and fairly present the financial condition of the Company and its results of operation for the periods specified therein; and]</w:t>
      </w:r>
      <w:bookmarkStart w:id="470" w:name="_DV_M244"/>
      <w:bookmarkEnd w:id="468"/>
      <w:bookmarkEnd w:id="470"/>
      <w:r>
        <w:t xml:space="preserve"> </w:t>
      </w:r>
      <w:bookmarkStart w:id="471" w:name="_Toc136067406"/>
    </w:p>
    <w:p w:rsidR="00B95ADB" w:rsidRDefault="00B95ADB">
      <w:pPr>
        <w:pStyle w:val="Heading3"/>
      </w:pPr>
      <w:bookmarkStart w:id="472" w:name="_DV_M245"/>
      <w:bookmarkEnd w:id="472"/>
      <w:r>
        <w:t>[such other information</w:t>
      </w:r>
      <w:bookmarkStart w:id="473" w:name="_DV_M247"/>
      <w:bookmarkEnd w:id="473"/>
      <w:r>
        <w:rPr>
          <w:rStyle w:val="FootnoteReference"/>
        </w:rPr>
        <w:footnoteReference w:id="35"/>
      </w:r>
      <w:r>
        <w:t xml:space="preserve"> relating to the financial condition, business, prospects, or corporate affairs of the Company as any Major Investor may from time to time reasonably request; </w:t>
      </w:r>
      <w:r>
        <w:rPr>
          <w:u w:val="single"/>
        </w:rPr>
        <w:t>provided</w:t>
      </w:r>
      <w:r>
        <w:t xml:space="preserve">, </w:t>
      </w:r>
      <w:r>
        <w:rPr>
          <w:u w:val="single"/>
        </w:rPr>
        <w:t>however</w:t>
      </w:r>
      <w:r>
        <w:t xml:space="preserve">, that the Company shall not be obligated under this </w:t>
      </w:r>
      <w:r>
        <w:rPr>
          <w:u w:val="single"/>
        </w:rPr>
        <w:t xml:space="preserve">Subsection </w:t>
      </w:r>
      <w:r>
        <w:rPr>
          <w:u w:val="single"/>
        </w:rPr>
        <w:fldChar w:fldCharType="begin"/>
      </w:r>
      <w:r>
        <w:rPr>
          <w:u w:val="single"/>
        </w:rPr>
        <w:instrText xml:space="preserve"> REF _Ref264905944 \r \h </w:instrText>
      </w:r>
      <w:r>
        <w:rPr>
          <w:u w:val="single"/>
        </w:rPr>
      </w:r>
      <w:r>
        <w:rPr>
          <w:u w:val="single"/>
        </w:rPr>
        <w:fldChar w:fldCharType="separate"/>
      </w:r>
      <w:r w:rsidR="00222212">
        <w:rPr>
          <w:u w:val="single"/>
        </w:rPr>
        <w:t>3.1</w:t>
      </w:r>
      <w:r>
        <w:rPr>
          <w:u w:val="single"/>
        </w:rPr>
        <w:fldChar w:fldCharType="end"/>
      </w:r>
      <w:r>
        <w:t xml:space="preserve"> to provide information (i) that the Company reasonably determines in good faith to be a trade secret or confidential information (unless covered by an enforceable confidentiality agreement, in a form acceptable to the Company); or (ii) the disclosure of which would adversely affect the attorney-client privilege between the Company and its counsel.]</w:t>
      </w:r>
      <w:bookmarkStart w:id="475" w:name="_DV_M248"/>
      <w:bookmarkEnd w:id="471"/>
      <w:bookmarkEnd w:id="475"/>
      <w:r>
        <w:t xml:space="preserve"> </w:t>
      </w:r>
      <w:bookmarkStart w:id="476" w:name="_Toc136067407"/>
    </w:p>
    <w:p w:rsidR="00B95ADB" w:rsidRDefault="00B95ADB">
      <w:pPr>
        <w:pStyle w:val="Bod"/>
      </w:pPr>
      <w:bookmarkStart w:id="477" w:name="_DV_M249"/>
      <w:bookmarkEnd w:id="477"/>
      <w:r>
        <w:t>If, for any period, the Company has any subsidiary whose accounts are consolidated with those of the Company, then in respect of such period the financial statements delivered pursuant to the foregoing sections shall be the consolidated and consolidating financial statements of the Company and all such consolidated subsidiaries.</w:t>
      </w:r>
      <w:bookmarkStart w:id="478" w:name="_DV_M250"/>
      <w:bookmarkStart w:id="479" w:name="_Toc136067408"/>
      <w:bookmarkEnd w:id="476"/>
      <w:bookmarkEnd w:id="478"/>
    </w:p>
    <w:p w:rsidR="00B95ADB" w:rsidRDefault="00B95ADB">
      <w:pPr>
        <w:pStyle w:val="Bod"/>
      </w:pPr>
      <w:bookmarkStart w:id="480" w:name="_DV_M251"/>
      <w:bookmarkEnd w:id="480"/>
      <w:r>
        <w:t xml:space="preserve">Notwithstanding anything else in this </w:t>
      </w:r>
      <w:r>
        <w:rPr>
          <w:u w:val="single"/>
        </w:rPr>
        <w:t xml:space="preserve">Subsection </w:t>
      </w:r>
      <w:r>
        <w:rPr>
          <w:u w:val="single"/>
        </w:rPr>
        <w:fldChar w:fldCharType="begin"/>
      </w:r>
      <w:r>
        <w:rPr>
          <w:u w:val="single"/>
        </w:rPr>
        <w:instrText xml:space="preserve"> REF _Ref264905944 \r \h </w:instrText>
      </w:r>
      <w:r>
        <w:rPr>
          <w:u w:val="single"/>
        </w:rPr>
      </w:r>
      <w:r>
        <w:rPr>
          <w:u w:val="single"/>
        </w:rPr>
        <w:fldChar w:fldCharType="separate"/>
      </w:r>
      <w:r w:rsidR="00222212">
        <w:rPr>
          <w:u w:val="single"/>
        </w:rPr>
        <w:t>3.1</w:t>
      </w:r>
      <w:r>
        <w:rPr>
          <w:u w:val="single"/>
        </w:rPr>
        <w:fldChar w:fldCharType="end"/>
      </w:r>
      <w:r>
        <w:t xml:space="preserve"> to the contrary, the Company may cease providing the information set forth in this </w:t>
      </w:r>
      <w:r>
        <w:rPr>
          <w:u w:val="single"/>
        </w:rPr>
        <w:t xml:space="preserve">Subsection </w:t>
      </w:r>
      <w:r>
        <w:rPr>
          <w:u w:val="single"/>
        </w:rPr>
        <w:fldChar w:fldCharType="begin"/>
      </w:r>
      <w:r>
        <w:rPr>
          <w:u w:val="single"/>
        </w:rPr>
        <w:instrText xml:space="preserve"> REF _Ref264905944 \r \h </w:instrText>
      </w:r>
      <w:r>
        <w:rPr>
          <w:u w:val="single"/>
        </w:rPr>
      </w:r>
      <w:r>
        <w:rPr>
          <w:u w:val="single"/>
        </w:rPr>
        <w:fldChar w:fldCharType="separate"/>
      </w:r>
      <w:r w:rsidR="00222212">
        <w:rPr>
          <w:u w:val="single"/>
        </w:rPr>
        <w:t>3.1</w:t>
      </w:r>
      <w:r>
        <w:rPr>
          <w:u w:val="single"/>
        </w:rPr>
        <w:fldChar w:fldCharType="end"/>
      </w:r>
      <w:r>
        <w:t xml:space="preserve"> during the period starting with the date </w:t>
      </w:r>
      <w:r>
        <w:rPr>
          <w:rStyle w:val="DeltaViewInsertion"/>
          <w:b w:val="0"/>
          <w:color w:val="000000"/>
          <w:szCs w:val="16"/>
          <w:u w:val="none"/>
        </w:rPr>
        <w:t xml:space="preserve">[thirty - </w:t>
      </w:r>
      <w:r>
        <w:t>sixty (30-60)</w:t>
      </w:r>
      <w:r>
        <w:rPr>
          <w:rStyle w:val="DeltaViewInsertion"/>
          <w:b w:val="0"/>
          <w:color w:val="000000"/>
          <w:szCs w:val="16"/>
          <w:u w:val="none"/>
        </w:rPr>
        <w:t>]</w:t>
      </w:r>
      <w:r>
        <w:t xml:space="preserve"> days before the Company’s good-faith estimate of the date of filing</w:t>
      </w:r>
      <w:r>
        <w:rPr>
          <w:rStyle w:val="DeltaViewInsertion"/>
          <w:b w:val="0"/>
          <w:color w:val="000000"/>
          <w:szCs w:val="16"/>
          <w:u w:val="none"/>
        </w:rPr>
        <w:t xml:space="preserve"> of a registration statement if it reasonably concludes it must do so to comply with the SEC rules applicable to such registration statement and related offering</w:t>
      </w:r>
      <w:r>
        <w:t xml:space="preserve">; </w:t>
      </w:r>
      <w:r>
        <w:rPr>
          <w:u w:val="single"/>
        </w:rPr>
        <w:t>provided</w:t>
      </w:r>
      <w:r>
        <w:t xml:space="preserve"> that the Company’s covenants under this </w:t>
      </w:r>
      <w:r>
        <w:rPr>
          <w:u w:val="single"/>
        </w:rPr>
        <w:t xml:space="preserve">Subsection </w:t>
      </w:r>
      <w:r>
        <w:rPr>
          <w:u w:val="single"/>
        </w:rPr>
        <w:fldChar w:fldCharType="begin"/>
      </w:r>
      <w:r>
        <w:rPr>
          <w:u w:val="single"/>
        </w:rPr>
        <w:instrText xml:space="preserve"> REF _Ref264905944 \r \h </w:instrText>
      </w:r>
      <w:r>
        <w:rPr>
          <w:u w:val="single"/>
        </w:rPr>
      </w:r>
      <w:r>
        <w:rPr>
          <w:u w:val="single"/>
        </w:rPr>
        <w:fldChar w:fldCharType="separate"/>
      </w:r>
      <w:r w:rsidR="00222212">
        <w:rPr>
          <w:u w:val="single"/>
        </w:rPr>
        <w:t>3.1</w:t>
      </w:r>
      <w:r>
        <w:rPr>
          <w:u w:val="single"/>
        </w:rPr>
        <w:fldChar w:fldCharType="end"/>
      </w:r>
      <w:r>
        <w:t xml:space="preserve"> shall be reinstated at such time as the Company is no longer actively employing its commercially reasonable efforts to cause such registration statement to become effective.</w:t>
      </w:r>
      <w:bookmarkEnd w:id="479"/>
    </w:p>
    <w:p w:rsidR="00B95ADB" w:rsidRDefault="00B95ADB">
      <w:pPr>
        <w:pStyle w:val="Heading2"/>
        <w:rPr>
          <w:vanish/>
          <w:specVanish/>
        </w:rPr>
      </w:pPr>
      <w:bookmarkStart w:id="481" w:name="_DV_M252"/>
      <w:bookmarkStart w:id="482" w:name="_Toc165866775"/>
      <w:bookmarkStart w:id="483" w:name="_Toc131593466"/>
      <w:bookmarkStart w:id="484" w:name="_Toc136067409"/>
      <w:bookmarkStart w:id="485" w:name="_Ref264904891"/>
      <w:bookmarkStart w:id="486" w:name="_Ref264905981"/>
      <w:bookmarkStart w:id="487" w:name="_Ref431298646"/>
      <w:bookmarkStart w:id="488" w:name="_Ref431386185"/>
      <w:bookmarkStart w:id="489" w:name="_Toc505091154"/>
      <w:bookmarkEnd w:id="481"/>
      <w:r>
        <w:t>Inspection</w:t>
      </w:r>
      <w:bookmarkEnd w:id="487"/>
      <w:bookmarkEnd w:id="488"/>
      <w:bookmarkEnd w:id="489"/>
    </w:p>
    <w:p w:rsidR="00B95ADB" w:rsidRDefault="00B95ADB">
      <w:pPr>
        <w:pStyle w:val="Bod"/>
      </w:pPr>
      <w:r>
        <w:t>.  The Company shall permit each Major Investor [(</w:t>
      </w:r>
      <w:r>
        <w:rPr>
          <w:u w:val="single"/>
        </w:rPr>
        <w:t>provided</w:t>
      </w:r>
      <w:r>
        <w:t xml:space="preserve"> that the Board of Directors has not reasonably determined that such Major Investor is a competitor of the Company)], at such Major Investor’s expense, to visit and inspect the Company’s properties; examine its books of account and records; and discuss the Company’s affairs, finances, and accounts with its officers, during normal business hours of the Company as may be reasonably requested by the Major Investor; </w:t>
      </w:r>
      <w:bookmarkStart w:id="490" w:name="_DV_M253"/>
      <w:bookmarkEnd w:id="482"/>
      <w:bookmarkEnd w:id="490"/>
      <w:r>
        <w:rPr>
          <w:u w:val="single"/>
        </w:rPr>
        <w:t>provided</w:t>
      </w:r>
      <w:r>
        <w:t xml:space="preserve">, </w:t>
      </w:r>
      <w:r>
        <w:rPr>
          <w:u w:val="single"/>
        </w:rPr>
        <w:t>however</w:t>
      </w:r>
      <w:r>
        <w:t xml:space="preserve">, that the Company shall not be obligated pursuant to this </w:t>
      </w:r>
      <w:r>
        <w:rPr>
          <w:u w:val="single"/>
        </w:rPr>
        <w:t xml:space="preserve">Subsection </w:t>
      </w:r>
      <w:r>
        <w:rPr>
          <w:u w:val="single"/>
        </w:rPr>
        <w:fldChar w:fldCharType="begin"/>
      </w:r>
      <w:r>
        <w:rPr>
          <w:u w:val="single"/>
        </w:rPr>
        <w:instrText xml:space="preserve"> REF _Ref264905981 \r \h </w:instrText>
      </w:r>
      <w:r>
        <w:rPr>
          <w:u w:val="single"/>
        </w:rPr>
      </w:r>
      <w:r>
        <w:rPr>
          <w:u w:val="single"/>
        </w:rPr>
        <w:instrText xml:space="preserve"> \* MERGEFORMAT </w:instrText>
      </w:r>
      <w:r>
        <w:rPr>
          <w:u w:val="single"/>
        </w:rPr>
        <w:fldChar w:fldCharType="separate"/>
      </w:r>
      <w:r w:rsidR="00222212">
        <w:rPr>
          <w:u w:val="single"/>
        </w:rPr>
        <w:t>3.2</w:t>
      </w:r>
      <w:r>
        <w:rPr>
          <w:u w:val="single"/>
        </w:rPr>
        <w:fldChar w:fldCharType="end"/>
      </w:r>
      <w:r>
        <w:t xml:space="preserve"> to provide access to any information that it reasonably and in good faith considers to be a trade secret or confidential information (unless covered by an enforceable confidentiality agreement, in form acceptable to the Company) or the disclosure of which would adversely affect the attorney-client privilege between the Company and its counsel.</w:t>
      </w:r>
      <w:bookmarkStart w:id="491" w:name="_DV_M254"/>
      <w:bookmarkEnd w:id="483"/>
      <w:bookmarkEnd w:id="484"/>
      <w:bookmarkEnd w:id="485"/>
      <w:bookmarkEnd w:id="486"/>
      <w:bookmarkEnd w:id="491"/>
      <w:r>
        <w:t xml:space="preserve"> </w:t>
      </w:r>
    </w:p>
    <w:p w:rsidR="00B95ADB" w:rsidRDefault="00B95ADB">
      <w:pPr>
        <w:pStyle w:val="Heading2"/>
        <w:rPr>
          <w:vanish/>
          <w:specVanish/>
        </w:rPr>
      </w:pPr>
      <w:bookmarkStart w:id="492" w:name="_DV_M255"/>
      <w:bookmarkStart w:id="493" w:name="_Toc116180677"/>
      <w:bookmarkStart w:id="494" w:name="_Toc165866776"/>
      <w:bookmarkStart w:id="495" w:name="_Toc131593467"/>
      <w:bookmarkStart w:id="496" w:name="_Toc136067410"/>
      <w:bookmarkStart w:id="497" w:name="_Ref264906018"/>
      <w:bookmarkStart w:id="498" w:name="_Ref431386201"/>
      <w:bookmarkStart w:id="499" w:name="_Toc505091155"/>
      <w:bookmarkEnd w:id="492"/>
      <w:r>
        <w:t>[Observer Rights</w:t>
      </w:r>
      <w:bookmarkEnd w:id="498"/>
      <w:bookmarkEnd w:id="499"/>
    </w:p>
    <w:p w:rsidR="00B95ADB" w:rsidRDefault="00B95ADB">
      <w:pPr>
        <w:pStyle w:val="Bod"/>
      </w:pPr>
      <w:r>
        <w:t xml:space="preserve">.  As long as [_____] owns not less than [_____] percent [(____%)] of the shares of the [Series A] Preferred Stock it is purchasing under the Purchase Agreement (or an equivalent amount of Common Stock issued upon conversion thereof), the Company shall invite a representative of [_____] to attend all meetings of </w:t>
      </w:r>
      <w:r w:rsidR="007830A6">
        <w:t xml:space="preserve">the </w:t>
      </w:r>
      <w:r>
        <w:t xml:space="preserve">Board of Directors in a nonvoting observer capacity and, in this respect, shall give such representative copies of all notices, minutes, consents, and other materials that it provides to its directors [at the same time and in the same manner as provided to such directors]; </w:t>
      </w:r>
      <w:bookmarkStart w:id="500" w:name="_DV_M256"/>
      <w:bookmarkEnd w:id="493"/>
      <w:bookmarkEnd w:id="494"/>
      <w:bookmarkEnd w:id="500"/>
      <w:r>
        <w:rPr>
          <w:u w:val="single"/>
        </w:rPr>
        <w:t>provided</w:t>
      </w:r>
      <w:r>
        <w:t xml:space="preserve">, </w:t>
      </w:r>
      <w:r>
        <w:rPr>
          <w:u w:val="single"/>
        </w:rPr>
        <w:t>however</w:t>
      </w:r>
      <w:r>
        <w:t xml:space="preserve">, that such representative shall agree to hold in confidence and trust and to act in a fiduciary manner with respect to all information so provided; and </w:t>
      </w:r>
      <w:r>
        <w:rPr>
          <w:u w:val="single"/>
        </w:rPr>
        <w:t>provided</w:t>
      </w:r>
      <w:r>
        <w:t xml:space="preserve"> </w:t>
      </w:r>
      <w:r>
        <w:rPr>
          <w:u w:val="single"/>
        </w:rPr>
        <w:t>further</w:t>
      </w:r>
      <w:r>
        <w:t>, that the Company reserves the right to withhold any information and to exclude such representative from any meeting or portion thereof if access to such information or attendance at such meeting could adversely affect the attorney-client privilege between the Company and its counsel or result in disclosure of trade secrets or a conflict of interest, or if such Investor or its representative is a competitor of the Company.]</w:t>
      </w:r>
      <w:bookmarkStart w:id="501" w:name="_DV_M259"/>
      <w:bookmarkStart w:id="502" w:name="_Toc131593468"/>
      <w:bookmarkStart w:id="503" w:name="_Toc136067411"/>
      <w:bookmarkStart w:id="504" w:name="_Toc116180678"/>
      <w:bookmarkEnd w:id="495"/>
      <w:bookmarkEnd w:id="496"/>
      <w:bookmarkEnd w:id="497"/>
      <w:bookmarkEnd w:id="501"/>
      <w:r>
        <w:rPr>
          <w:rStyle w:val="FootnoteReference"/>
        </w:rPr>
        <w:footnoteReference w:id="36"/>
      </w:r>
    </w:p>
    <w:p w:rsidR="00B95ADB" w:rsidRDefault="00B95ADB">
      <w:pPr>
        <w:pStyle w:val="Heading2"/>
        <w:rPr>
          <w:vanish/>
          <w:specVanish/>
        </w:rPr>
      </w:pPr>
      <w:bookmarkStart w:id="507" w:name="_DV_M260"/>
      <w:bookmarkStart w:id="508" w:name="_Toc165866777"/>
      <w:bookmarkStart w:id="509" w:name="_Ref431386266"/>
      <w:bookmarkStart w:id="510" w:name="_Toc505091156"/>
      <w:bookmarkEnd w:id="507"/>
      <w:r>
        <w:t>Termination of Information [and Observer Rights]</w:t>
      </w:r>
      <w:bookmarkEnd w:id="509"/>
      <w:bookmarkEnd w:id="510"/>
    </w:p>
    <w:p w:rsidR="00B95ADB" w:rsidRDefault="00B95ADB">
      <w:pPr>
        <w:pStyle w:val="Bod"/>
      </w:pPr>
      <w:r>
        <w:t>.</w:t>
      </w:r>
      <w:bookmarkStart w:id="511" w:name="_DV_M261"/>
      <w:bookmarkStart w:id="512" w:name="_DV_M262"/>
      <w:bookmarkEnd w:id="504"/>
      <w:bookmarkEnd w:id="508"/>
      <w:bookmarkEnd w:id="511"/>
      <w:bookmarkEnd w:id="512"/>
      <w:r>
        <w:t xml:space="preserve">  The covenants set forth in </w:t>
      </w:r>
      <w:r>
        <w:rPr>
          <w:u w:val="single"/>
        </w:rPr>
        <w:t xml:space="preserve">Subsection </w:t>
      </w:r>
      <w:r>
        <w:rPr>
          <w:u w:val="single"/>
        </w:rPr>
        <w:fldChar w:fldCharType="begin"/>
      </w:r>
      <w:r>
        <w:rPr>
          <w:u w:val="single"/>
        </w:rPr>
        <w:instrText xml:space="preserve"> REF _Ref264906011 \r \h </w:instrText>
      </w:r>
      <w:r>
        <w:rPr>
          <w:u w:val="single"/>
        </w:rPr>
      </w:r>
      <w:r>
        <w:rPr>
          <w:u w:val="single"/>
        </w:rPr>
        <w:instrText xml:space="preserve"> \* MERGEFORMAT </w:instrText>
      </w:r>
      <w:r>
        <w:rPr>
          <w:u w:val="single"/>
        </w:rPr>
        <w:fldChar w:fldCharType="separate"/>
      </w:r>
      <w:r w:rsidR="00222212">
        <w:rPr>
          <w:u w:val="single"/>
        </w:rPr>
        <w:t>3.1</w:t>
      </w:r>
      <w:r>
        <w:rPr>
          <w:u w:val="single"/>
        </w:rPr>
        <w:fldChar w:fldCharType="end"/>
      </w:r>
      <w:r>
        <w:t xml:space="preserve"> [,] [and] </w:t>
      </w:r>
      <w:r>
        <w:rPr>
          <w:u w:val="single"/>
        </w:rPr>
        <w:t xml:space="preserve">Subsection </w:t>
      </w:r>
      <w:r>
        <w:rPr>
          <w:u w:val="single"/>
        </w:rPr>
        <w:fldChar w:fldCharType="begin"/>
      </w:r>
      <w:r>
        <w:rPr>
          <w:u w:val="single"/>
        </w:rPr>
        <w:instrText xml:space="preserve"> REF _Ref264905981 \r \h </w:instrText>
      </w:r>
      <w:r>
        <w:rPr>
          <w:u w:val="single"/>
        </w:rPr>
      </w:r>
      <w:r>
        <w:rPr>
          <w:u w:val="single"/>
        </w:rPr>
        <w:instrText xml:space="preserve"> \* MERGEFORMAT </w:instrText>
      </w:r>
      <w:r>
        <w:rPr>
          <w:u w:val="single"/>
        </w:rPr>
        <w:fldChar w:fldCharType="separate"/>
      </w:r>
      <w:r w:rsidR="00222212">
        <w:rPr>
          <w:u w:val="single"/>
        </w:rPr>
        <w:t>3.2</w:t>
      </w:r>
      <w:r>
        <w:rPr>
          <w:u w:val="single"/>
        </w:rPr>
        <w:fldChar w:fldCharType="end"/>
      </w:r>
      <w:r>
        <w:t xml:space="preserve"> [, and </w:t>
      </w:r>
      <w:r>
        <w:rPr>
          <w:u w:val="single"/>
        </w:rPr>
        <w:t xml:space="preserve">Subsection </w:t>
      </w:r>
      <w:r>
        <w:rPr>
          <w:u w:val="single"/>
        </w:rPr>
        <w:fldChar w:fldCharType="begin"/>
      </w:r>
      <w:r>
        <w:rPr>
          <w:u w:val="single"/>
        </w:rPr>
        <w:instrText xml:space="preserve"> REF _Ref264906018 \r \h </w:instrText>
      </w:r>
      <w:r>
        <w:rPr>
          <w:u w:val="single"/>
        </w:rPr>
      </w:r>
      <w:r>
        <w:rPr>
          <w:u w:val="single"/>
        </w:rPr>
        <w:instrText xml:space="preserve"> \* MERGEFORMAT </w:instrText>
      </w:r>
      <w:r>
        <w:rPr>
          <w:u w:val="single"/>
        </w:rPr>
        <w:fldChar w:fldCharType="separate"/>
      </w:r>
      <w:r w:rsidR="00222212">
        <w:rPr>
          <w:u w:val="single"/>
        </w:rPr>
        <w:t>3.3</w:t>
      </w:r>
      <w:r>
        <w:rPr>
          <w:u w:val="single"/>
        </w:rPr>
        <w:fldChar w:fldCharType="end"/>
      </w:r>
      <w:r>
        <w:t>] shall terminate and be of no further force or effect (i) immediately before the consummation of the IPO,</w:t>
      </w:r>
      <w:bookmarkStart w:id="513" w:name="_DV_M265"/>
      <w:bookmarkEnd w:id="513"/>
      <w:r>
        <w:rPr>
          <w:rStyle w:val="FootnoteReference"/>
        </w:rPr>
        <w:footnoteReference w:id="37"/>
      </w:r>
      <w:r>
        <w:rPr>
          <w:b/>
        </w:rPr>
        <w:t xml:space="preserve"> </w:t>
      </w:r>
      <w:r>
        <w:rPr>
          <w:rStyle w:val="DeltaViewInsertion"/>
          <w:b w:val="0"/>
          <w:color w:val="000000"/>
          <w:szCs w:val="16"/>
          <w:u w:val="none"/>
        </w:rPr>
        <w:t xml:space="preserve">[or] </w:t>
      </w:r>
      <w:r>
        <w:t xml:space="preserve">(ii) when the Company first becomes subject to the periodic reporting requirements of Section 12(g) or 15(d) of the Exchange Act, </w:t>
      </w:r>
      <w:r>
        <w:rPr>
          <w:rStyle w:val="DeltaViewInsertion"/>
          <w:b w:val="0"/>
          <w:color w:val="000000"/>
          <w:szCs w:val="16"/>
          <w:u w:val="none"/>
        </w:rPr>
        <w:t>[</w:t>
      </w:r>
      <w:r>
        <w:t xml:space="preserve">or (iii) upon </w:t>
      </w:r>
      <w:r w:rsidR="007830A6">
        <w:t xml:space="preserve">the closing of </w:t>
      </w:r>
      <w:r>
        <w:t>a Deemed Liquidation Event, as such term is defined in the Certificate of Incorporation,</w:t>
      </w:r>
      <w:r>
        <w:rPr>
          <w:rStyle w:val="DeltaViewInsertion"/>
          <w:b w:val="0"/>
          <w:color w:val="000000"/>
          <w:szCs w:val="16"/>
          <w:u w:val="none"/>
        </w:rPr>
        <w:t>]</w:t>
      </w:r>
      <w:r>
        <w:t xml:space="preserve"> whichever event occurs first.</w:t>
      </w:r>
      <w:bookmarkStart w:id="514" w:name="_DV_M266"/>
      <w:bookmarkEnd w:id="502"/>
      <w:bookmarkEnd w:id="503"/>
      <w:bookmarkEnd w:id="514"/>
      <w:r>
        <w:t xml:space="preserve">  </w:t>
      </w:r>
    </w:p>
    <w:p w:rsidR="00B95ADB" w:rsidRDefault="00B95ADB">
      <w:pPr>
        <w:pStyle w:val="Heading2"/>
        <w:rPr>
          <w:vanish/>
          <w:specVanish/>
        </w:rPr>
      </w:pPr>
      <w:bookmarkStart w:id="515" w:name="_DV_M267"/>
      <w:bookmarkStart w:id="516" w:name="_Toc116180679"/>
      <w:bookmarkStart w:id="517" w:name="_Toc165866778"/>
      <w:bookmarkStart w:id="518" w:name="_Toc136067412"/>
      <w:bookmarkStart w:id="519" w:name="_Toc131593469"/>
      <w:bookmarkStart w:id="520" w:name="_Ref264906028"/>
      <w:bookmarkStart w:id="521" w:name="_Toc505091157"/>
      <w:bookmarkEnd w:id="515"/>
      <w:r>
        <w:t>Confidentiality</w:t>
      </w:r>
      <w:bookmarkEnd w:id="521"/>
    </w:p>
    <w:p w:rsidR="00B95ADB" w:rsidRDefault="00B95ADB">
      <w:pPr>
        <w:pStyle w:val="Bod"/>
      </w:pPr>
      <w:r>
        <w:t xml:space="preserve">.  Each Investor agrees that such Investor will keep confidential and will not disclose, divulge, or use for any purpose (other than to monitor its investment in the Company) </w:t>
      </w:r>
      <w:bookmarkStart w:id="522" w:name="_DV_M268"/>
      <w:bookmarkStart w:id="523" w:name="_DV_M269"/>
      <w:bookmarkStart w:id="524" w:name="_Toc474641407"/>
      <w:bookmarkStart w:id="525" w:name="_Toc474641501"/>
      <w:bookmarkStart w:id="526" w:name="_Toc474641595"/>
      <w:bookmarkStart w:id="527" w:name="_Toc474641689"/>
      <w:bookmarkStart w:id="528" w:name="_Toc474641783"/>
      <w:bookmarkStart w:id="529" w:name="_Toc474641874"/>
      <w:bookmarkStart w:id="530" w:name="_Toc474641968"/>
      <w:bookmarkStart w:id="531" w:name="_Toc474642060"/>
      <w:bookmarkEnd w:id="516"/>
      <w:bookmarkEnd w:id="517"/>
      <w:bookmarkEnd w:id="522"/>
      <w:bookmarkEnd w:id="523"/>
      <w:r>
        <w:t xml:space="preserve">any confidential information obtained from the Company pursuant to the terms of this Agreement (including notice of the Company’s intention to file a registration statement), unless such confidential information (a) is known or becomes known to </w:t>
      </w:r>
      <w:bookmarkStart w:id="532" w:name="_DV_M270"/>
      <w:bookmarkStart w:id="533" w:name="_Toc493390477"/>
      <w:bookmarkEnd w:id="532"/>
      <w:r>
        <w:t xml:space="preserve">the public in general (other than as a result of a breach of this </w:t>
      </w:r>
      <w:r>
        <w:rPr>
          <w:u w:val="single"/>
        </w:rPr>
        <w:t xml:space="preserve">Subsection </w:t>
      </w:r>
      <w:r>
        <w:rPr>
          <w:u w:val="single"/>
        </w:rPr>
        <w:fldChar w:fldCharType="begin"/>
      </w:r>
      <w:r>
        <w:rPr>
          <w:u w:val="single"/>
        </w:rPr>
        <w:instrText xml:space="preserve"> REF _Ref264906028 \r \h </w:instrText>
      </w:r>
      <w:r>
        <w:rPr>
          <w:u w:val="single"/>
        </w:rPr>
      </w:r>
      <w:r>
        <w:rPr>
          <w:u w:val="single"/>
        </w:rPr>
        <w:instrText xml:space="preserve"> \* MERGEFORMAT </w:instrText>
      </w:r>
      <w:r>
        <w:rPr>
          <w:u w:val="single"/>
        </w:rPr>
        <w:fldChar w:fldCharType="separate"/>
      </w:r>
      <w:r w:rsidR="00222212">
        <w:rPr>
          <w:u w:val="single"/>
        </w:rPr>
        <w:t>3.5</w:t>
      </w:r>
      <w:r>
        <w:rPr>
          <w:u w:val="single"/>
        </w:rPr>
        <w:fldChar w:fldCharType="end"/>
      </w:r>
      <w:r>
        <w:t xml:space="preserve"> by such Investor), (b) is or has been independently developed or conceived by </w:t>
      </w:r>
      <w:r w:rsidR="007830A6">
        <w:t xml:space="preserve">such </w:t>
      </w:r>
      <w:r>
        <w:t xml:space="preserve">Investor without use of the Company’s confidential information, or (c) is or has been made known or disclosed to </w:t>
      </w:r>
      <w:r w:rsidR="007830A6">
        <w:t xml:space="preserve">such </w:t>
      </w:r>
      <w:r>
        <w:t xml:space="preserve">Investor by a third party without a breach of any obligation of confidentiality such third party may have to the Company; </w:t>
      </w:r>
      <w:r>
        <w:rPr>
          <w:u w:val="single"/>
        </w:rPr>
        <w:t>provided</w:t>
      </w:r>
      <w:r>
        <w:t xml:space="preserve">, </w:t>
      </w:r>
      <w:r>
        <w:rPr>
          <w:u w:val="single"/>
        </w:rPr>
        <w:t>however</w:t>
      </w:r>
      <w:r>
        <w:t xml:space="preserve">, that an Investor may disclose confidential information (i) to its attorneys, accountants, consultants, and other professionals to the extent necessary to obtain their services in connection with monitoring its investment in the Company; (ii) to any prospective purchaser of any Registrable Securities from such Investor, if such prospective purchaser agrees to be bound by the provisions of this </w:t>
      </w:r>
      <w:r>
        <w:rPr>
          <w:u w:val="single"/>
        </w:rPr>
        <w:t xml:space="preserve">Subsection </w:t>
      </w:r>
      <w:r>
        <w:rPr>
          <w:u w:val="single"/>
        </w:rPr>
        <w:fldChar w:fldCharType="begin"/>
      </w:r>
      <w:r>
        <w:rPr>
          <w:u w:val="single"/>
        </w:rPr>
        <w:instrText xml:space="preserve"> REF _Ref264906028 \r \h </w:instrText>
      </w:r>
      <w:r>
        <w:rPr>
          <w:u w:val="single"/>
        </w:rPr>
      </w:r>
      <w:r>
        <w:rPr>
          <w:u w:val="single"/>
        </w:rPr>
        <w:instrText xml:space="preserve"> \* MERGEFORMAT </w:instrText>
      </w:r>
      <w:r>
        <w:rPr>
          <w:u w:val="single"/>
        </w:rPr>
        <w:fldChar w:fldCharType="separate"/>
      </w:r>
      <w:r w:rsidR="00222212">
        <w:rPr>
          <w:u w:val="single"/>
        </w:rPr>
        <w:t>3.5</w:t>
      </w:r>
      <w:r>
        <w:rPr>
          <w:u w:val="single"/>
        </w:rPr>
        <w:fldChar w:fldCharType="end"/>
      </w:r>
      <w:r>
        <w:t>;</w:t>
      </w:r>
      <w:bookmarkStart w:id="534" w:name="_DV_M273"/>
      <w:bookmarkEnd w:id="534"/>
      <w:r>
        <w:rPr>
          <w:rStyle w:val="FootnoteReference"/>
        </w:rPr>
        <w:footnoteReference w:id="38"/>
      </w:r>
      <w:r>
        <w:rPr>
          <w:b/>
        </w:rPr>
        <w:t xml:space="preserve"> </w:t>
      </w:r>
      <w:r>
        <w:t xml:space="preserve">(iii) to any </w:t>
      </w:r>
      <w:r>
        <w:rPr>
          <w:rStyle w:val="DeltaViewInsertion"/>
          <w:b w:val="0"/>
          <w:color w:val="000000"/>
          <w:szCs w:val="16"/>
          <w:u w:val="none"/>
        </w:rPr>
        <w:t>[existing or prospective]</w:t>
      </w:r>
      <w:bookmarkStart w:id="536" w:name="_DV_M275"/>
      <w:bookmarkEnd w:id="536"/>
      <w:r>
        <w:rPr>
          <w:rStyle w:val="FootnoteReference"/>
          <w:color w:val="000000"/>
        </w:rPr>
        <w:footnoteReference w:id="39"/>
      </w:r>
      <w:r>
        <w:t xml:space="preserve"> Affiliate, partner, member, stockholder, or wholly owned subsidiary of such Investor in the ordinary course of business, </w:t>
      </w:r>
      <w:r>
        <w:rPr>
          <w:rStyle w:val="DeltaViewInsertion"/>
          <w:b w:val="0"/>
          <w:color w:val="000000"/>
          <w:szCs w:val="16"/>
          <w:u w:val="single"/>
        </w:rPr>
        <w:t>provided</w:t>
      </w:r>
      <w:r>
        <w:rPr>
          <w:rStyle w:val="DeltaViewInsertion"/>
          <w:b w:val="0"/>
          <w:color w:val="000000"/>
          <w:szCs w:val="16"/>
          <w:u w:val="none"/>
        </w:rPr>
        <w:t xml:space="preserve"> that such Investor informs such Person that such information is confidential and directs such Person to maintain the confidentiality of such information;</w:t>
      </w:r>
      <w:r>
        <w:t xml:space="preserve"> or (iv) as may otherwise be required by law, </w:t>
      </w:r>
      <w:r w:rsidR="00DE149C">
        <w:t xml:space="preserve">regulation, rule, court order or subpoena, </w:t>
      </w:r>
      <w:r>
        <w:rPr>
          <w:u w:val="single"/>
        </w:rPr>
        <w:t>provided</w:t>
      </w:r>
      <w:r>
        <w:t xml:space="preserve"> that </w:t>
      </w:r>
      <w:r w:rsidR="00DE149C">
        <w:t xml:space="preserve">such </w:t>
      </w:r>
      <w:r>
        <w:t>Investor promptly notifies the Company of such disclosure and takes reasonable steps to minimize the extent of any such required disclosure.</w:t>
      </w:r>
      <w:bookmarkStart w:id="538" w:name="_DV_M276"/>
      <w:bookmarkEnd w:id="518"/>
      <w:bookmarkEnd w:id="520"/>
      <w:bookmarkEnd w:id="538"/>
      <w:r>
        <w:rPr>
          <w:color w:val="000000"/>
          <w:szCs w:val="16"/>
        </w:rPr>
        <w:t xml:space="preserve">  </w:t>
      </w:r>
      <w:bookmarkEnd w:id="519"/>
      <w:bookmarkEnd w:id="524"/>
      <w:bookmarkEnd w:id="525"/>
      <w:bookmarkEnd w:id="526"/>
      <w:bookmarkEnd w:id="527"/>
      <w:bookmarkEnd w:id="528"/>
      <w:bookmarkEnd w:id="529"/>
      <w:bookmarkEnd w:id="530"/>
      <w:bookmarkEnd w:id="531"/>
      <w:bookmarkEnd w:id="533"/>
    </w:p>
    <w:p w:rsidR="00B95ADB" w:rsidRDefault="00B95ADB">
      <w:pPr>
        <w:pStyle w:val="Heading1"/>
        <w:keepNext/>
        <w:rPr>
          <w:vanish/>
          <w:color w:val="000000"/>
          <w:szCs w:val="16"/>
          <w:specVanish/>
        </w:rPr>
      </w:pPr>
      <w:bookmarkStart w:id="539" w:name="_DV_M277"/>
      <w:bookmarkStart w:id="540" w:name="_Toc116180680"/>
      <w:bookmarkStart w:id="541" w:name="_Toc165866779"/>
      <w:bookmarkStart w:id="542" w:name="_Toc131593470"/>
      <w:bookmarkStart w:id="543" w:name="_Toc136067413"/>
      <w:bookmarkStart w:id="544" w:name="_Ref264906386"/>
      <w:bookmarkStart w:id="545" w:name="_Ref431386226"/>
      <w:bookmarkStart w:id="546" w:name="_Toc505091158"/>
      <w:bookmarkEnd w:id="539"/>
      <w:r>
        <w:t>Rights to Future Stock Issuances</w:t>
      </w:r>
      <w:bookmarkEnd w:id="545"/>
      <w:bookmarkEnd w:id="546"/>
    </w:p>
    <w:p w:rsidR="00B95ADB" w:rsidRDefault="00B95ADB">
      <w:pPr>
        <w:pStyle w:val="Bod"/>
      </w:pPr>
      <w:r>
        <w:t>.</w:t>
      </w:r>
      <w:bookmarkStart w:id="547" w:name="_DV_M278"/>
      <w:bookmarkStart w:id="548" w:name="_DV_M279"/>
      <w:bookmarkEnd w:id="540"/>
      <w:bookmarkEnd w:id="541"/>
      <w:bookmarkEnd w:id="542"/>
      <w:bookmarkEnd w:id="543"/>
      <w:bookmarkEnd w:id="544"/>
      <w:bookmarkEnd w:id="547"/>
      <w:bookmarkEnd w:id="548"/>
    </w:p>
    <w:p w:rsidR="00B95ADB" w:rsidRDefault="00B95ADB">
      <w:pPr>
        <w:pStyle w:val="Heading2"/>
        <w:rPr>
          <w:vanish/>
          <w:specVanish/>
        </w:rPr>
      </w:pPr>
      <w:bookmarkStart w:id="549" w:name="_DV_M280"/>
      <w:bookmarkStart w:id="550" w:name="_Toc116180681"/>
      <w:bookmarkStart w:id="551" w:name="_Toc165866780"/>
      <w:bookmarkStart w:id="552" w:name="_Toc131593471"/>
      <w:bookmarkStart w:id="553" w:name="_Toc136067414"/>
      <w:bookmarkStart w:id="554" w:name="_Ref264904903"/>
      <w:bookmarkStart w:id="555" w:name="_Ref264906102"/>
      <w:bookmarkStart w:id="556" w:name="_Ref264906116"/>
      <w:bookmarkStart w:id="557" w:name="_Ref431298616"/>
      <w:bookmarkStart w:id="558" w:name="_Ref431298668"/>
      <w:bookmarkStart w:id="559" w:name="_Ref431298701"/>
      <w:bookmarkStart w:id="560" w:name="_Ref431386241"/>
      <w:bookmarkStart w:id="561" w:name="_Toc505091159"/>
      <w:bookmarkEnd w:id="549"/>
      <w:r>
        <w:t>Right of First Offer</w:t>
      </w:r>
      <w:bookmarkEnd w:id="557"/>
      <w:bookmarkEnd w:id="558"/>
      <w:bookmarkEnd w:id="559"/>
      <w:bookmarkEnd w:id="560"/>
      <w:bookmarkEnd w:id="561"/>
    </w:p>
    <w:p w:rsidR="00B95ADB" w:rsidRDefault="00B95ADB">
      <w:pPr>
        <w:pStyle w:val="Bod"/>
      </w:pPr>
      <w:r>
        <w:t xml:space="preserve">.  Subject to the terms and conditions of this </w:t>
      </w:r>
      <w:bookmarkStart w:id="562" w:name="_DV_M281"/>
      <w:bookmarkEnd w:id="550"/>
      <w:bookmarkEnd w:id="551"/>
      <w:bookmarkEnd w:id="562"/>
      <w:r>
        <w:rPr>
          <w:u w:val="single"/>
        </w:rPr>
        <w:t xml:space="preserve">Subsection </w:t>
      </w:r>
      <w:r w:rsidR="00AB4844">
        <w:rPr>
          <w:u w:val="single"/>
        </w:rPr>
        <w:fldChar w:fldCharType="begin"/>
      </w:r>
      <w:r w:rsidR="00AB4844">
        <w:rPr>
          <w:u w:val="single"/>
        </w:rPr>
        <w:instrText xml:space="preserve"> REF _Ref431298616 \w \h </w:instrText>
      </w:r>
      <w:r w:rsidR="00AB4844">
        <w:rPr>
          <w:u w:val="single"/>
        </w:rPr>
      </w:r>
      <w:r w:rsidR="00AB4844">
        <w:rPr>
          <w:u w:val="single"/>
        </w:rPr>
        <w:fldChar w:fldCharType="separate"/>
      </w:r>
      <w:r w:rsidR="00222212">
        <w:rPr>
          <w:u w:val="single"/>
        </w:rPr>
        <w:t>4.1</w:t>
      </w:r>
      <w:r w:rsidR="00AB4844">
        <w:rPr>
          <w:u w:val="single"/>
        </w:rPr>
        <w:fldChar w:fldCharType="end"/>
      </w:r>
      <w:r>
        <w:t xml:space="preserve"> and applicable securities laws, if the Company proposes to offer or sell any New Securities, the Company shall first offer such New Securities to each </w:t>
      </w:r>
      <w:r w:rsidR="00A80FB6">
        <w:t>[</w:t>
      </w:r>
      <w:r>
        <w:t>Major Investor</w:t>
      </w:r>
      <w:r w:rsidR="00A80FB6">
        <w:t>]</w:t>
      </w:r>
      <w:r>
        <w:t>.</w:t>
      </w:r>
      <w:bookmarkStart w:id="563" w:name="_DV_M282"/>
      <w:bookmarkEnd w:id="563"/>
      <w:r>
        <w:rPr>
          <w:rStyle w:val="FootnoteReference"/>
        </w:rPr>
        <w:footnoteReference w:id="40"/>
      </w:r>
      <w:r>
        <w:t xml:space="preserve">  A Major Investor shall be entitled to apportion the right of first offer hereby granted to it in such proportions as it deems appropriate, among (i) itself, (ii) its Affiliates [and (iii) its beneficial interest holders, such as limited partners, members or any other Person having “beneficial ownership,” as such term is defined in Rule 13d-3 promulgated under the Exchange Act, of such Major Investor (“</w:t>
      </w:r>
      <w:r>
        <w:rPr>
          <w:b/>
        </w:rPr>
        <w:t>Investor Beneficial Owners</w:t>
      </w:r>
      <w:r>
        <w:t xml:space="preserve">”); </w:t>
      </w:r>
      <w:r>
        <w:rPr>
          <w:u w:val="single"/>
        </w:rPr>
        <w:t>provided</w:t>
      </w:r>
      <w:r>
        <w:rPr>
          <w:i/>
        </w:rPr>
        <w:t xml:space="preserve"> </w:t>
      </w:r>
      <w:r>
        <w:t>that each such Affiliate or Investor Beneficial Owner (x) is not a Competitor or FOIA Party, unless such party’s purchase of New Securities is otherwise consented to by the Board of Directors, (y) agrees to enter into this Agre</w:t>
      </w:r>
      <w:r w:rsidR="00DE149C">
        <w:t>e</w:t>
      </w:r>
      <w:r>
        <w:t xml:space="preserve">ment and each of the </w:t>
      </w:r>
      <w:r w:rsidR="00DE149C">
        <w:t xml:space="preserve">[Amended and Restated] </w:t>
      </w:r>
      <w:r>
        <w:t xml:space="preserve">Voting Agreement and </w:t>
      </w:r>
      <w:r w:rsidR="00DE149C">
        <w:t xml:space="preserve">[Amended and Restated] </w:t>
      </w:r>
      <w:r>
        <w:t>Right of First Refusal and Co-Sale Agreement of even date herewith among the Company, the Investors and the other parties named therein, as an “</w:t>
      </w:r>
      <w:r>
        <w:rPr>
          <w:b/>
        </w:rPr>
        <w:t>Investor</w:t>
      </w:r>
      <w:r>
        <w:t>” under each such agreement (</w:t>
      </w:r>
      <w:r>
        <w:rPr>
          <w:u w:val="single"/>
        </w:rPr>
        <w:t>provided</w:t>
      </w:r>
      <w:r>
        <w:t xml:space="preserve"> that any Competitor or FOIA Party shall not be entitled to any rights as a Major Investor under </w:t>
      </w:r>
      <w:r>
        <w:rPr>
          <w:u w:val="single"/>
        </w:rPr>
        <w:t xml:space="preserve">Subsections </w:t>
      </w:r>
      <w:r w:rsidR="00AB4844">
        <w:rPr>
          <w:u w:val="single"/>
        </w:rPr>
        <w:fldChar w:fldCharType="begin"/>
      </w:r>
      <w:r w:rsidR="00AB4844">
        <w:rPr>
          <w:u w:val="single"/>
        </w:rPr>
        <w:instrText xml:space="preserve"> REF _Ref431298634 \w \h </w:instrText>
      </w:r>
      <w:r w:rsidR="00AB4844">
        <w:rPr>
          <w:u w:val="single"/>
        </w:rPr>
      </w:r>
      <w:r w:rsidR="00AB4844">
        <w:rPr>
          <w:u w:val="single"/>
        </w:rPr>
        <w:fldChar w:fldCharType="separate"/>
      </w:r>
      <w:r w:rsidR="00222212">
        <w:rPr>
          <w:u w:val="single"/>
        </w:rPr>
        <w:t>3.1</w:t>
      </w:r>
      <w:r w:rsidR="00AB4844">
        <w:rPr>
          <w:u w:val="single"/>
        </w:rPr>
        <w:fldChar w:fldCharType="end"/>
      </w:r>
      <w:r>
        <w:t xml:space="preserve">, </w:t>
      </w:r>
      <w:r w:rsidR="00AB4844" w:rsidRPr="00AB4844">
        <w:rPr>
          <w:u w:val="single"/>
        </w:rPr>
        <w:fldChar w:fldCharType="begin"/>
      </w:r>
      <w:r w:rsidR="00AB4844" w:rsidRPr="00AB4844">
        <w:rPr>
          <w:u w:val="single"/>
        </w:rPr>
        <w:instrText xml:space="preserve"> REF _Ref431298646 \w \h </w:instrText>
      </w:r>
      <w:r w:rsidR="00AB4844" w:rsidRPr="00AB4844">
        <w:rPr>
          <w:u w:val="single"/>
        </w:rPr>
      </w:r>
      <w:r w:rsidR="00AB4844">
        <w:rPr>
          <w:u w:val="single"/>
        </w:rPr>
        <w:instrText xml:space="preserve"> \* MERGEFORMAT </w:instrText>
      </w:r>
      <w:r w:rsidR="00AB4844" w:rsidRPr="00AB4844">
        <w:rPr>
          <w:u w:val="single"/>
        </w:rPr>
        <w:fldChar w:fldCharType="separate"/>
      </w:r>
      <w:r w:rsidR="00222212">
        <w:rPr>
          <w:u w:val="single"/>
        </w:rPr>
        <w:t>3.2</w:t>
      </w:r>
      <w:r w:rsidR="00AB4844" w:rsidRPr="00AB4844">
        <w:rPr>
          <w:u w:val="single"/>
        </w:rPr>
        <w:fldChar w:fldCharType="end"/>
      </w:r>
      <w:r>
        <w:t xml:space="preserve"> and </w:t>
      </w:r>
      <w:r>
        <w:rPr>
          <w:u w:val="single"/>
        </w:rPr>
        <w:t>4.1</w:t>
      </w:r>
      <w:r>
        <w:t xml:space="preserve"> hereof), and (z) agrees to purchase at least such number of New Securities as are allocable hereunder to the Major Investor holding the fewest number of [Series A] Preferred Stock and any other Derivative Securities].</w:t>
      </w:r>
      <w:bookmarkEnd w:id="552"/>
      <w:bookmarkEnd w:id="553"/>
      <w:bookmarkEnd w:id="554"/>
      <w:bookmarkEnd w:id="555"/>
      <w:bookmarkEnd w:id="556"/>
    </w:p>
    <w:p w:rsidR="00B95ADB" w:rsidRDefault="00B95ADB">
      <w:pPr>
        <w:pStyle w:val="Heading3"/>
      </w:pPr>
      <w:bookmarkStart w:id="565" w:name="_DV_M283"/>
      <w:bookmarkStart w:id="566" w:name="_Toc136067415"/>
      <w:bookmarkEnd w:id="565"/>
      <w:r>
        <w:t>The Company shall give notice (the “</w:t>
      </w:r>
      <w:r>
        <w:rPr>
          <w:b/>
        </w:rPr>
        <w:t>Offer Notice</w:t>
      </w:r>
      <w:r>
        <w:t>”) to each Major Investor, stating (i) its bona fide intention to offer such New Securities, (ii) the number of such New Securities to be offered, and (iii) the price and terms, if any, upon which it proposes to offer such New Securities.</w:t>
      </w:r>
      <w:bookmarkStart w:id="567" w:name="_Toc136067416"/>
      <w:bookmarkStart w:id="568" w:name="_DV_M284"/>
      <w:bookmarkStart w:id="569" w:name="_DV_M285"/>
      <w:bookmarkEnd w:id="566"/>
      <w:bookmarkEnd w:id="568"/>
      <w:bookmarkEnd w:id="569"/>
    </w:p>
    <w:p w:rsidR="00B95ADB" w:rsidRDefault="00B95ADB">
      <w:pPr>
        <w:pStyle w:val="Heading3"/>
        <w:rPr>
          <w:szCs w:val="16"/>
        </w:rPr>
      </w:pPr>
      <w:bookmarkStart w:id="570" w:name="_Ref264906064"/>
      <w:r>
        <w:t>By notification to the Company within twenty (20) days after the Offer Notice is given, each Major Investor may elect to purchase or otherwise acquire, at the price and on the terms specified in the Offer Notice, up to that portion of such New Securit</w:t>
      </w:r>
      <w:bookmarkStart w:id="571" w:name="_DV_M287"/>
      <w:bookmarkEnd w:id="571"/>
      <w:r>
        <w:rPr>
          <w:lang w:val="en-US"/>
        </w:rPr>
        <w:t>ies</w:t>
      </w:r>
      <w:bookmarkStart w:id="572" w:name="_Ref474937019"/>
      <w:r>
        <w:rPr>
          <w:rStyle w:val="FootnoteReference"/>
          <w:lang w:val="en-US"/>
        </w:rPr>
        <w:footnoteReference w:id="41"/>
      </w:r>
      <w:bookmarkEnd w:id="572"/>
      <w:r>
        <w:t xml:space="preserve"> which equals the proportion that the Common Stock then held by such Major Investor</w:t>
      </w:r>
      <w:r>
        <w:rPr>
          <w:lang w:val="en-US"/>
        </w:rPr>
        <w:t xml:space="preserve"> </w:t>
      </w:r>
      <w:r>
        <w:t xml:space="preserve">(including all shares of Common Stock then issuable </w:t>
      </w:r>
      <w:r>
        <w:rPr>
          <w:rStyle w:val="DeltaViewInsertion"/>
          <w:b w:val="0"/>
          <w:color w:val="000000"/>
          <w:szCs w:val="16"/>
          <w:u w:val="none"/>
        </w:rPr>
        <w:t xml:space="preserve">(directly or indirectly) </w:t>
      </w:r>
      <w:r>
        <w:t xml:space="preserve">upon conversion </w:t>
      </w:r>
      <w:r>
        <w:rPr>
          <w:rStyle w:val="DeltaViewInsertion"/>
          <w:b w:val="0"/>
          <w:color w:val="000000"/>
          <w:szCs w:val="16"/>
          <w:u w:val="none"/>
        </w:rPr>
        <w:t xml:space="preserve">and/or exercise, as applicable, </w:t>
      </w:r>
      <w:r>
        <w:t>of the</w:t>
      </w:r>
      <w:r>
        <w:rPr>
          <w:rStyle w:val="DeltaViewInsertion"/>
          <w:b w:val="0"/>
          <w:color w:val="000000"/>
          <w:szCs w:val="16"/>
          <w:u w:val="none"/>
        </w:rPr>
        <w:t xml:space="preserve"> [Series A]</w:t>
      </w:r>
      <w:r>
        <w:t xml:space="preserve"> Preferred Stock and any other Derivative Securities then held by such Major Investor) bears to the total Common Stock of the Company [then outstanding (assuming full conversion and</w:t>
      </w:r>
      <w:r>
        <w:rPr>
          <w:rStyle w:val="DeltaViewInsertion"/>
          <w:b w:val="0"/>
          <w:color w:val="000000"/>
          <w:szCs w:val="16"/>
          <w:u w:val="none"/>
        </w:rPr>
        <w:t>/or</w:t>
      </w:r>
      <w:r>
        <w:t xml:space="preserve"> exercise</w:t>
      </w:r>
      <w:r>
        <w:rPr>
          <w:rStyle w:val="DeltaViewInsertion"/>
          <w:b w:val="0"/>
          <w:color w:val="000000"/>
          <w:szCs w:val="16"/>
          <w:u w:val="none"/>
        </w:rPr>
        <w:t>, as applicable,</w:t>
      </w:r>
      <w:r>
        <w:t xml:space="preserve"> of all </w:t>
      </w:r>
      <w:r>
        <w:rPr>
          <w:rStyle w:val="DeltaViewInsertion"/>
          <w:b w:val="0"/>
          <w:color w:val="000000"/>
          <w:szCs w:val="16"/>
          <w:u w:val="none"/>
        </w:rPr>
        <w:t xml:space="preserve">[Series A] Preferred Stock and </w:t>
      </w:r>
      <w:r w:rsidR="00DE149C">
        <w:rPr>
          <w:rStyle w:val="DeltaViewInsertion"/>
          <w:b w:val="0"/>
          <w:color w:val="000000"/>
          <w:szCs w:val="16"/>
          <w:u w:val="none"/>
          <w:lang w:val="en-US"/>
        </w:rPr>
        <w:t xml:space="preserve">any </w:t>
      </w:r>
      <w:r>
        <w:rPr>
          <w:rStyle w:val="DeltaViewInsertion"/>
          <w:b w:val="0"/>
          <w:color w:val="000000"/>
          <w:szCs w:val="16"/>
          <w:u w:val="none"/>
        </w:rPr>
        <w:t xml:space="preserve">other </w:t>
      </w:r>
      <w:r>
        <w:t>Derivative Securities</w:t>
      </w:r>
      <w:r w:rsidR="00DE149C">
        <w:rPr>
          <w:lang w:val="en-US"/>
        </w:rPr>
        <w:t xml:space="preserve"> then outstanding</w:t>
      </w:r>
      <w:r>
        <w:t>)][</w:t>
      </w:r>
      <w:r>
        <w:rPr>
          <w:rStyle w:val="DeltaViewInsertion"/>
          <w:b w:val="0"/>
          <w:i/>
          <w:color w:val="000000"/>
          <w:szCs w:val="16"/>
          <w:u w:val="none"/>
        </w:rPr>
        <w:t>Alternative:</w:t>
      </w:r>
      <w:r>
        <w:t xml:space="preserve"> then held by all the Major Investors (including all shares of Common Stock issuable </w:t>
      </w:r>
      <w:r>
        <w:rPr>
          <w:rStyle w:val="DeltaViewInsertion"/>
          <w:b w:val="0"/>
          <w:color w:val="000000"/>
          <w:szCs w:val="16"/>
          <w:u w:val="none"/>
        </w:rPr>
        <w:t xml:space="preserve">(directly or indirectly) </w:t>
      </w:r>
      <w:r>
        <w:t xml:space="preserve">upon conversion </w:t>
      </w:r>
      <w:r>
        <w:rPr>
          <w:rStyle w:val="DeltaViewInsertion"/>
          <w:b w:val="0"/>
          <w:color w:val="000000"/>
          <w:szCs w:val="16"/>
          <w:u w:val="none"/>
        </w:rPr>
        <w:t xml:space="preserve">and/or exercise, as applicable, </w:t>
      </w:r>
      <w:r>
        <w:t xml:space="preserve">of the </w:t>
      </w:r>
      <w:r>
        <w:rPr>
          <w:rStyle w:val="DeltaViewInsertion"/>
          <w:b w:val="0"/>
          <w:color w:val="000000"/>
          <w:szCs w:val="16"/>
          <w:u w:val="none"/>
        </w:rPr>
        <w:t xml:space="preserve">[Series A] </w:t>
      </w:r>
      <w:r>
        <w:t>Preferred Stock</w:t>
      </w:r>
      <w:r>
        <w:rPr>
          <w:rStyle w:val="DeltaViewInsertion"/>
          <w:b w:val="0"/>
          <w:color w:val="000000"/>
          <w:szCs w:val="16"/>
          <w:u w:val="none"/>
        </w:rPr>
        <w:t xml:space="preserve"> and any other Derivative Securities</w:t>
      </w:r>
      <w:r>
        <w:rPr>
          <w:b/>
        </w:rPr>
        <w:t xml:space="preserve"> </w:t>
      </w:r>
      <w:r>
        <w:t xml:space="preserve">then held by </w:t>
      </w:r>
      <w:r w:rsidR="00DE149C">
        <w:rPr>
          <w:lang w:val="en-US"/>
        </w:rPr>
        <w:t xml:space="preserve">all </w:t>
      </w:r>
      <w:r>
        <w:t>the Major Investors)].</w:t>
      </w:r>
      <w:bookmarkStart w:id="574" w:name="_DV_M289"/>
      <w:bookmarkStart w:id="575" w:name="_Ref475045595"/>
      <w:bookmarkEnd w:id="574"/>
      <w:r>
        <w:rPr>
          <w:rStyle w:val="FootnoteReference"/>
        </w:rPr>
        <w:footnoteReference w:id="42"/>
      </w:r>
      <w:bookmarkEnd w:id="575"/>
      <w:r>
        <w:t xml:space="preserve">  At the expiration of such twenty (20) day period, the Company shall promptly notify each Major Investor that elects to purchase or acquire all the shares available to it (each, a “</w:t>
      </w:r>
      <w:r>
        <w:rPr>
          <w:b/>
        </w:rPr>
        <w:t>Fully Exercising Investor</w:t>
      </w:r>
      <w:r>
        <w:t xml:space="preserve">”) of any other Major Investor’s failure to do likewise.  During the ten (10) day period commencing after the Company has given such notice, each Fully Exercising Investor may, by giving notice to the Company, elect to purchase or acquire, in addition to the number of shares specified above, up to that portion of the New Securities for which Major Investors were entitled to subscribe but that were not subscribed for by the Major Investors which is equal to the proportion that the Common Stock issued and held, or issuable (directly or indirectly) upon conversion </w:t>
      </w:r>
      <w:r>
        <w:rPr>
          <w:rStyle w:val="DeltaViewInsertion"/>
          <w:b w:val="0"/>
          <w:color w:val="000000"/>
          <w:szCs w:val="16"/>
          <w:u w:val="none"/>
        </w:rPr>
        <w:t>and/or exercise, as applicable, of [Series A]</w:t>
      </w:r>
      <w:r>
        <w:t xml:space="preserve"> Preferred Stock</w:t>
      </w:r>
      <w:r>
        <w:rPr>
          <w:rStyle w:val="DeltaViewInsertion"/>
          <w:b w:val="0"/>
          <w:color w:val="000000"/>
          <w:szCs w:val="16"/>
          <w:u w:val="none"/>
        </w:rPr>
        <w:t xml:space="preserve"> and any other Derivative Securities</w:t>
      </w:r>
      <w:r>
        <w:t xml:space="preserve"> then held, by such Fully Exercising Investor bears to the Common Stock issued and held, or issuable </w:t>
      </w:r>
      <w:r>
        <w:rPr>
          <w:rStyle w:val="DeltaViewInsertion"/>
          <w:b w:val="0"/>
          <w:color w:val="000000"/>
          <w:szCs w:val="16"/>
          <w:u w:val="none"/>
        </w:rPr>
        <w:t xml:space="preserve">(directly or indirectly) </w:t>
      </w:r>
      <w:r>
        <w:t xml:space="preserve">upon conversion </w:t>
      </w:r>
      <w:r>
        <w:rPr>
          <w:rStyle w:val="DeltaViewInsertion"/>
          <w:b w:val="0"/>
          <w:color w:val="000000"/>
          <w:szCs w:val="16"/>
          <w:u w:val="none"/>
        </w:rPr>
        <w:t xml:space="preserve">and/or exercise, as applicable, </w:t>
      </w:r>
      <w:r>
        <w:t xml:space="preserve">of the </w:t>
      </w:r>
      <w:r>
        <w:rPr>
          <w:rStyle w:val="DeltaViewInsertion"/>
          <w:b w:val="0"/>
          <w:color w:val="000000"/>
          <w:szCs w:val="16"/>
          <w:u w:val="none"/>
        </w:rPr>
        <w:t xml:space="preserve">[Series A] </w:t>
      </w:r>
      <w:r>
        <w:t>Preferred Stock</w:t>
      </w:r>
      <w:r>
        <w:rPr>
          <w:rStyle w:val="DeltaViewInsertion"/>
          <w:b w:val="0"/>
          <w:color w:val="000000"/>
          <w:szCs w:val="16"/>
          <w:u w:val="none"/>
        </w:rPr>
        <w:t xml:space="preserve"> and any other Derivative Securities</w:t>
      </w:r>
      <w:r>
        <w:rPr>
          <w:b/>
        </w:rPr>
        <w:t xml:space="preserve"> </w:t>
      </w:r>
      <w:r>
        <w:t>then held, by all Fully Exercising Investors who wish to purchase such unsubscribed shares.</w:t>
      </w:r>
      <w:bookmarkStart w:id="577" w:name="_DV_M291"/>
      <w:bookmarkEnd w:id="577"/>
      <w:r>
        <w:rPr>
          <w:rStyle w:val="FootnoteReference"/>
        </w:rPr>
        <w:footnoteReference w:id="43"/>
      </w:r>
      <w:r>
        <w:t xml:space="preserve">  The closing of any sale pursuant to this </w:t>
      </w:r>
      <w:r>
        <w:rPr>
          <w:u w:val="single"/>
        </w:rPr>
        <w:t>Subsection 4.1</w:t>
      </w:r>
      <w:r>
        <w:rPr>
          <w:u w:val="single"/>
        </w:rPr>
        <w:fldChar w:fldCharType="begin"/>
      </w:r>
      <w:r>
        <w:rPr>
          <w:u w:val="single"/>
        </w:rPr>
        <w:instrText xml:space="preserve"> REF _Ref264906064 \r \h </w:instrText>
      </w:r>
      <w:r>
        <w:rPr>
          <w:u w:val="single"/>
        </w:rPr>
      </w:r>
      <w:r>
        <w:rPr>
          <w:u w:val="single"/>
        </w:rPr>
        <w:fldChar w:fldCharType="separate"/>
      </w:r>
      <w:r w:rsidR="00222212">
        <w:rPr>
          <w:u w:val="single"/>
        </w:rPr>
        <w:t>(b)</w:t>
      </w:r>
      <w:r>
        <w:rPr>
          <w:u w:val="single"/>
        </w:rPr>
        <w:fldChar w:fldCharType="end"/>
      </w:r>
      <w:r>
        <w:t xml:space="preserve"> shall occur within the later of [ninety/one hundred and twenty (90/120)] days of the date that the Offer Notice is given</w:t>
      </w:r>
      <w:bookmarkStart w:id="580" w:name="_DV_M292"/>
      <w:bookmarkEnd w:id="580"/>
      <w:r>
        <w:t xml:space="preserve"> and the date of initial sale of</w:t>
      </w:r>
      <w:r>
        <w:rPr>
          <w:rStyle w:val="DeltaViewInsertion"/>
          <w:b w:val="0"/>
          <w:color w:val="000000"/>
          <w:u w:val="none"/>
        </w:rPr>
        <w:t xml:space="preserve"> New Securities pursuant to </w:t>
      </w:r>
      <w:r>
        <w:rPr>
          <w:rStyle w:val="DeltaViewInsertion"/>
          <w:b w:val="0"/>
          <w:color w:val="000000"/>
          <w:u w:val="single"/>
        </w:rPr>
        <w:t>Subsection 4.1</w:t>
      </w:r>
      <w:r>
        <w:rPr>
          <w:rStyle w:val="DeltaViewInsertion"/>
          <w:b w:val="0"/>
          <w:color w:val="000000"/>
          <w:u w:val="single"/>
        </w:rPr>
        <w:fldChar w:fldCharType="begin"/>
      </w:r>
      <w:r>
        <w:rPr>
          <w:rStyle w:val="DeltaViewInsertion"/>
          <w:b w:val="0"/>
          <w:color w:val="000000"/>
          <w:u w:val="single"/>
        </w:rPr>
        <w:instrText xml:space="preserve"> REF _Ref264906075 \r \h </w:instrText>
      </w:r>
      <w:r>
        <w:rPr>
          <w:rStyle w:val="DeltaViewInsertion"/>
          <w:b w:val="0"/>
          <w:color w:val="000000"/>
          <w:u w:val="single"/>
        </w:rPr>
      </w:r>
      <w:r>
        <w:rPr>
          <w:rStyle w:val="DeltaViewInsertion"/>
          <w:b w:val="0"/>
          <w:color w:val="000000"/>
          <w:u w:val="single"/>
        </w:rPr>
        <w:fldChar w:fldCharType="separate"/>
      </w:r>
      <w:r w:rsidR="00222212">
        <w:rPr>
          <w:rStyle w:val="DeltaViewInsertion"/>
          <w:b w:val="0"/>
          <w:color w:val="000000"/>
          <w:u w:val="single"/>
        </w:rPr>
        <w:t>(c)</w:t>
      </w:r>
      <w:r>
        <w:rPr>
          <w:rStyle w:val="DeltaViewInsertion"/>
          <w:b w:val="0"/>
          <w:color w:val="000000"/>
          <w:u w:val="single"/>
        </w:rPr>
        <w:fldChar w:fldCharType="end"/>
      </w:r>
      <w:r>
        <w:t>.</w:t>
      </w:r>
      <w:bookmarkStart w:id="581" w:name="_Toc136067417"/>
      <w:bookmarkEnd w:id="567"/>
      <w:bookmarkEnd w:id="570"/>
    </w:p>
    <w:p w:rsidR="00B95ADB" w:rsidRDefault="00B95ADB">
      <w:pPr>
        <w:pStyle w:val="Heading3"/>
      </w:pPr>
      <w:bookmarkStart w:id="582" w:name="_DV_M293"/>
      <w:bookmarkStart w:id="583" w:name="_Ref264906075"/>
      <w:bookmarkEnd w:id="582"/>
      <w:r>
        <w:t xml:space="preserve">If all New Securities referred to in the Offer Notice are not elected to be purchased or acquired as provided in </w:t>
      </w:r>
      <w:r>
        <w:rPr>
          <w:u w:val="single"/>
        </w:rPr>
        <w:t>Subsection 4.1</w:t>
      </w:r>
      <w:r>
        <w:rPr>
          <w:u w:val="single"/>
        </w:rPr>
        <w:fldChar w:fldCharType="begin"/>
      </w:r>
      <w:r>
        <w:rPr>
          <w:u w:val="single"/>
        </w:rPr>
        <w:instrText xml:space="preserve"> REF _Ref264906064 \r \h </w:instrText>
      </w:r>
      <w:r>
        <w:rPr>
          <w:u w:val="single"/>
        </w:rPr>
      </w:r>
      <w:r>
        <w:rPr>
          <w:u w:val="single"/>
        </w:rPr>
        <w:fldChar w:fldCharType="separate"/>
      </w:r>
      <w:r w:rsidR="00222212">
        <w:rPr>
          <w:u w:val="single"/>
        </w:rPr>
        <w:t>(b)</w:t>
      </w:r>
      <w:r>
        <w:rPr>
          <w:u w:val="single"/>
        </w:rPr>
        <w:fldChar w:fldCharType="end"/>
      </w:r>
      <w:r>
        <w:t xml:space="preserve">, the Company may, during the [ninety (90)] day period following the expiration of the periods provided in </w:t>
      </w:r>
      <w:r>
        <w:rPr>
          <w:u w:val="single"/>
        </w:rPr>
        <w:t>Subsection 4.1</w:t>
      </w:r>
      <w:r>
        <w:rPr>
          <w:u w:val="single"/>
        </w:rPr>
        <w:fldChar w:fldCharType="begin"/>
      </w:r>
      <w:r>
        <w:rPr>
          <w:u w:val="single"/>
        </w:rPr>
        <w:instrText xml:space="preserve"> REF _Ref264906064 \r \h </w:instrText>
      </w:r>
      <w:r>
        <w:rPr>
          <w:u w:val="single"/>
        </w:rPr>
      </w:r>
      <w:r>
        <w:rPr>
          <w:u w:val="single"/>
        </w:rPr>
        <w:fldChar w:fldCharType="separate"/>
      </w:r>
      <w:r w:rsidR="00222212">
        <w:rPr>
          <w:u w:val="single"/>
        </w:rPr>
        <w:t>(b)</w:t>
      </w:r>
      <w:r>
        <w:rPr>
          <w:u w:val="single"/>
        </w:rPr>
        <w:fldChar w:fldCharType="end"/>
      </w:r>
      <w:r>
        <w:t xml:space="preserve">, offer and sell the remaining unsubscribed portion of such New Securities to any Person or Persons at a price not less than, and upon terms no more favorable to the offeree than, those specified in the Offer Notice.  If the Company does not enter into an agreement for the sale of the New Securities within such period, or if such agreement is not consummated within [thirty (30)] days of the execution thereof, the right provided hereunder shall be deemed to be revived and such New Securities shall not be offered unless first reoffered to the Major Investors in accordance with this </w:t>
      </w:r>
      <w:r>
        <w:rPr>
          <w:u w:val="single"/>
        </w:rPr>
        <w:t xml:space="preserve">Subsection </w:t>
      </w:r>
      <w:r>
        <w:rPr>
          <w:u w:val="single"/>
        </w:rPr>
        <w:fldChar w:fldCharType="begin"/>
      </w:r>
      <w:r>
        <w:rPr>
          <w:u w:val="single"/>
        </w:rPr>
        <w:instrText xml:space="preserve"> REF _Ref264906102 \r \h </w:instrText>
      </w:r>
      <w:r>
        <w:rPr>
          <w:u w:val="single"/>
        </w:rPr>
      </w:r>
      <w:r>
        <w:rPr>
          <w:u w:val="single"/>
        </w:rPr>
        <w:fldChar w:fldCharType="separate"/>
      </w:r>
      <w:r w:rsidR="00222212">
        <w:rPr>
          <w:u w:val="single"/>
        </w:rPr>
        <w:t>4.1</w:t>
      </w:r>
      <w:r>
        <w:rPr>
          <w:u w:val="single"/>
        </w:rPr>
        <w:fldChar w:fldCharType="end"/>
      </w:r>
      <w:r>
        <w:t>.</w:t>
      </w:r>
      <w:bookmarkStart w:id="584" w:name="_Toc136067418"/>
      <w:bookmarkEnd w:id="581"/>
      <w:bookmarkEnd w:id="583"/>
    </w:p>
    <w:p w:rsidR="00B95ADB" w:rsidRDefault="00B95ADB">
      <w:pPr>
        <w:pStyle w:val="Heading3"/>
      </w:pPr>
      <w:bookmarkStart w:id="585" w:name="_DV_M294"/>
      <w:bookmarkEnd w:id="585"/>
      <w:r>
        <w:t xml:space="preserve">The right of first offer in this </w:t>
      </w:r>
      <w:r>
        <w:rPr>
          <w:u w:val="single"/>
        </w:rPr>
        <w:t xml:space="preserve">Subsection </w:t>
      </w:r>
      <w:r w:rsidR="00AB4844">
        <w:rPr>
          <w:u w:val="single"/>
        </w:rPr>
        <w:fldChar w:fldCharType="begin"/>
      </w:r>
      <w:r w:rsidR="00AB4844">
        <w:rPr>
          <w:u w:val="single"/>
        </w:rPr>
        <w:instrText xml:space="preserve"> REF _Ref431298668 \w \h </w:instrText>
      </w:r>
      <w:r w:rsidR="00AB4844">
        <w:rPr>
          <w:u w:val="single"/>
        </w:rPr>
      </w:r>
      <w:r w:rsidR="00AB4844">
        <w:rPr>
          <w:u w:val="single"/>
        </w:rPr>
        <w:fldChar w:fldCharType="separate"/>
      </w:r>
      <w:r w:rsidR="00222212">
        <w:rPr>
          <w:u w:val="single"/>
        </w:rPr>
        <w:t>4.1</w:t>
      </w:r>
      <w:r w:rsidR="00AB4844">
        <w:rPr>
          <w:u w:val="single"/>
        </w:rPr>
        <w:fldChar w:fldCharType="end"/>
      </w:r>
      <w:r>
        <w:t xml:space="preserve"> shall not be applicable to</w:t>
      </w:r>
      <w:bookmarkStart w:id="586" w:name="_DV_M296"/>
      <w:bookmarkEnd w:id="586"/>
      <w:r>
        <w:rPr>
          <w:rStyle w:val="FootnoteReference"/>
        </w:rPr>
        <w:footnoteReference w:id="44"/>
      </w:r>
      <w:r>
        <w:t xml:space="preserve"> (i) </w:t>
      </w:r>
      <w:r>
        <w:rPr>
          <w:rStyle w:val="DeltaViewInsertion"/>
          <w:b w:val="0"/>
          <w:color w:val="000000"/>
          <w:szCs w:val="16"/>
          <w:u w:val="none"/>
        </w:rPr>
        <w:t>Exempted Securities</w:t>
      </w:r>
      <w:r>
        <w:t xml:space="preserve"> (as defined in the Certificate of Incorporation</w:t>
      </w:r>
      <w:r>
        <w:rPr>
          <w:rStyle w:val="DeltaViewInsertion"/>
          <w:b w:val="0"/>
          <w:color w:val="000000"/>
          <w:szCs w:val="16"/>
          <w:u w:val="none"/>
        </w:rPr>
        <w:t>)</w:t>
      </w:r>
      <w:r>
        <w:t>;</w:t>
      </w:r>
      <w:r>
        <w:rPr>
          <w:rStyle w:val="DeltaViewInsertion"/>
          <w:b w:val="0"/>
          <w:color w:val="000000"/>
          <w:szCs w:val="16"/>
          <w:u w:val="none"/>
        </w:rPr>
        <w:t xml:space="preserve"> [and]</w:t>
      </w:r>
      <w:r>
        <w:t xml:space="preserve"> (ii) shares of Common Stock issued in the IPO</w:t>
      </w:r>
      <w:r>
        <w:rPr>
          <w:rStyle w:val="DeltaViewInsertion"/>
          <w:b w:val="0"/>
          <w:color w:val="000000"/>
          <w:szCs w:val="16"/>
          <w:u w:val="none"/>
        </w:rPr>
        <w:t>[</w:t>
      </w:r>
      <w:r>
        <w:t>;</w:t>
      </w:r>
      <w:r>
        <w:rPr>
          <w:rStyle w:val="DeltaViewInsertion"/>
          <w:b w:val="0"/>
          <w:color w:val="000000"/>
          <w:szCs w:val="16"/>
          <w:u w:val="none"/>
        </w:rPr>
        <w:t xml:space="preserve"> and</w:t>
      </w:r>
      <w:r>
        <w:rPr>
          <w:b/>
        </w:rPr>
        <w:t xml:space="preserve"> </w:t>
      </w:r>
      <w:r>
        <w:t xml:space="preserve">(iii) the issuance of shares of [Series A] Preferred Stock to Additional </w:t>
      </w:r>
      <w:r>
        <w:rPr>
          <w:rStyle w:val="DeltaViewInsertion"/>
          <w:b w:val="0"/>
          <w:color w:val="000000"/>
          <w:szCs w:val="16"/>
          <w:u w:val="none"/>
        </w:rPr>
        <w:t>Purchasers</w:t>
      </w:r>
      <w:r>
        <w:t xml:space="preserve"> pursuant to </w:t>
      </w:r>
      <w:r>
        <w:rPr>
          <w:u w:val="single"/>
        </w:rPr>
        <w:t>Subsection [</w:t>
      </w:r>
      <w:r>
        <w:rPr>
          <w:rStyle w:val="DeltaViewInsertion"/>
          <w:b w:val="0"/>
          <w:color w:val="000000"/>
          <w:szCs w:val="16"/>
          <w:u w:val="single"/>
        </w:rPr>
        <w:t>1.3</w:t>
      </w:r>
      <w:r>
        <w:t>]</w:t>
      </w:r>
      <w:bookmarkStart w:id="587" w:name="_DV_M297"/>
      <w:bookmarkEnd w:id="587"/>
      <w:r>
        <w:t xml:space="preserve"> of the Purchase Agreement.</w:t>
      </w:r>
      <w:bookmarkStart w:id="588" w:name="_DV_C154"/>
      <w:r>
        <w:rPr>
          <w:rStyle w:val="DeltaViewInsertion"/>
          <w:b w:val="0"/>
          <w:color w:val="000000"/>
          <w:szCs w:val="16"/>
          <w:u w:val="none"/>
        </w:rPr>
        <w:t>]</w:t>
      </w:r>
      <w:bookmarkStart w:id="589" w:name="_DV_M298"/>
      <w:bookmarkStart w:id="590" w:name="_Toc136067419"/>
      <w:bookmarkEnd w:id="584"/>
      <w:bookmarkEnd w:id="588"/>
      <w:bookmarkEnd w:id="589"/>
    </w:p>
    <w:p w:rsidR="00B95ADB" w:rsidRDefault="00B95ADB">
      <w:pPr>
        <w:pStyle w:val="Heading3"/>
      </w:pPr>
      <w:bookmarkStart w:id="591" w:name="_DV_M299"/>
      <w:bookmarkStart w:id="592" w:name="_Ref264906249"/>
      <w:bookmarkEnd w:id="591"/>
      <w:r>
        <w:t xml:space="preserve">[The right of first offer set forth in this </w:t>
      </w:r>
      <w:r>
        <w:rPr>
          <w:u w:val="single"/>
        </w:rPr>
        <w:t xml:space="preserve">Subsection </w:t>
      </w:r>
      <w:r>
        <w:rPr>
          <w:u w:val="single"/>
        </w:rPr>
        <w:fldChar w:fldCharType="begin"/>
      </w:r>
      <w:r>
        <w:rPr>
          <w:u w:val="single"/>
        </w:rPr>
        <w:instrText xml:space="preserve"> REF _Ref264906116 \r \h </w:instrText>
      </w:r>
      <w:r>
        <w:rPr>
          <w:u w:val="single"/>
        </w:rPr>
      </w:r>
      <w:r>
        <w:rPr>
          <w:u w:val="single"/>
        </w:rPr>
        <w:fldChar w:fldCharType="separate"/>
      </w:r>
      <w:r w:rsidR="00222212">
        <w:rPr>
          <w:u w:val="single"/>
        </w:rPr>
        <w:t>4.1</w:t>
      </w:r>
      <w:r>
        <w:rPr>
          <w:u w:val="single"/>
        </w:rPr>
        <w:fldChar w:fldCharType="end"/>
      </w:r>
      <w:r>
        <w:t xml:space="preserve"> shall terminate with respect to any Major Investor who fails to purchase, in any transaction subject to this </w:t>
      </w:r>
      <w:r>
        <w:rPr>
          <w:u w:val="single"/>
        </w:rPr>
        <w:t xml:space="preserve">Subsection </w:t>
      </w:r>
      <w:r>
        <w:rPr>
          <w:u w:val="single"/>
        </w:rPr>
        <w:fldChar w:fldCharType="begin"/>
      </w:r>
      <w:r>
        <w:rPr>
          <w:u w:val="single"/>
        </w:rPr>
        <w:instrText xml:space="preserve"> REF _Ref264906116 \r \h </w:instrText>
      </w:r>
      <w:r>
        <w:rPr>
          <w:u w:val="single"/>
        </w:rPr>
      </w:r>
      <w:r>
        <w:rPr>
          <w:u w:val="single"/>
        </w:rPr>
        <w:fldChar w:fldCharType="separate"/>
      </w:r>
      <w:r w:rsidR="00222212">
        <w:rPr>
          <w:u w:val="single"/>
        </w:rPr>
        <w:t>4.1</w:t>
      </w:r>
      <w:r>
        <w:rPr>
          <w:u w:val="single"/>
        </w:rPr>
        <w:fldChar w:fldCharType="end"/>
      </w:r>
      <w:r>
        <w:t xml:space="preserve">, all of such Major Investor’s pro rata amount of the New Securities allocated (or, if less than such Major Investor’s pro rata amount is offered by the Company, such lesser amount so offered) to such Major Investor pursuant to this </w:t>
      </w:r>
      <w:r>
        <w:rPr>
          <w:u w:val="single"/>
        </w:rPr>
        <w:t xml:space="preserve">Subsection </w:t>
      </w:r>
      <w:r>
        <w:rPr>
          <w:u w:val="single"/>
        </w:rPr>
        <w:fldChar w:fldCharType="begin"/>
      </w:r>
      <w:r>
        <w:rPr>
          <w:u w:val="single"/>
        </w:rPr>
        <w:instrText xml:space="preserve"> REF _Ref264906116 \r \h </w:instrText>
      </w:r>
      <w:r>
        <w:rPr>
          <w:u w:val="single"/>
        </w:rPr>
      </w:r>
      <w:r>
        <w:rPr>
          <w:u w:val="single"/>
        </w:rPr>
        <w:fldChar w:fldCharType="separate"/>
      </w:r>
      <w:r w:rsidR="00222212">
        <w:rPr>
          <w:u w:val="single"/>
        </w:rPr>
        <w:t>4.1</w:t>
      </w:r>
      <w:r>
        <w:rPr>
          <w:u w:val="single"/>
        </w:rPr>
        <w:fldChar w:fldCharType="end"/>
      </w:r>
      <w:r>
        <w:t xml:space="preserve">.  Following any such termination, such Investor shall no longer be deemed a “Major Investor” for any purpose of this </w:t>
      </w:r>
      <w:r>
        <w:rPr>
          <w:u w:val="single"/>
        </w:rPr>
        <w:t xml:space="preserve">Subsection </w:t>
      </w:r>
      <w:r>
        <w:rPr>
          <w:u w:val="single"/>
        </w:rPr>
        <w:fldChar w:fldCharType="begin"/>
      </w:r>
      <w:r>
        <w:rPr>
          <w:u w:val="single"/>
        </w:rPr>
        <w:instrText xml:space="preserve"> REF _Ref264906116 \r \h </w:instrText>
      </w:r>
      <w:r>
        <w:rPr>
          <w:u w:val="single"/>
        </w:rPr>
      </w:r>
      <w:r>
        <w:rPr>
          <w:u w:val="single"/>
        </w:rPr>
        <w:fldChar w:fldCharType="separate"/>
      </w:r>
      <w:r w:rsidR="00222212">
        <w:rPr>
          <w:u w:val="single"/>
        </w:rPr>
        <w:t>4.1</w:t>
      </w:r>
      <w:r>
        <w:rPr>
          <w:u w:val="single"/>
        </w:rPr>
        <w:fldChar w:fldCharType="end"/>
      </w:r>
      <w:r>
        <w:t>]</w:t>
      </w:r>
      <w:bookmarkStart w:id="593" w:name="_DV_M300"/>
      <w:bookmarkEnd w:id="590"/>
      <w:bookmarkEnd w:id="592"/>
      <w:bookmarkEnd w:id="593"/>
      <w:r>
        <w:t xml:space="preserve"> </w:t>
      </w:r>
      <w:bookmarkStart w:id="594" w:name="_Toc136067420"/>
    </w:p>
    <w:p w:rsidR="005B6ADD" w:rsidRDefault="005B6ADD">
      <w:pPr>
        <w:pStyle w:val="Heading3"/>
      </w:pPr>
      <w:bookmarkStart w:id="595" w:name="_DV_M301"/>
      <w:bookmarkStart w:id="596" w:name="_DV_M304"/>
      <w:bookmarkStart w:id="597" w:name="_Toc116180682"/>
      <w:bookmarkStart w:id="598" w:name="_Toc165866781"/>
      <w:bookmarkStart w:id="599" w:name="_Toc131593472"/>
      <w:bookmarkStart w:id="600" w:name="_Toc136067421"/>
      <w:bookmarkStart w:id="601" w:name="_Ref264906237"/>
      <w:bookmarkEnd w:id="594"/>
      <w:bookmarkEnd w:id="595"/>
      <w:bookmarkEnd w:id="596"/>
      <w:r w:rsidRPr="005B6ADD">
        <w:rPr>
          <w:lang w:val="en-US"/>
        </w:rPr>
        <w:t xml:space="preserve">[Notwithstanding any provision hereof to the contrary, in lieu of complying with the provisions of this </w:t>
      </w:r>
      <w:r w:rsidRPr="005B6ADD">
        <w:rPr>
          <w:u w:val="single"/>
          <w:lang w:val="en-US"/>
        </w:rPr>
        <w:t xml:space="preserve">Subsection </w:t>
      </w:r>
      <w:r w:rsidRPr="005B6ADD">
        <w:rPr>
          <w:u w:val="single"/>
          <w:lang w:val="en-US"/>
        </w:rPr>
        <w:fldChar w:fldCharType="begin"/>
      </w:r>
      <w:r w:rsidRPr="005B6ADD">
        <w:rPr>
          <w:u w:val="single"/>
          <w:lang w:val="en-US"/>
        </w:rPr>
        <w:instrText xml:space="preserve"> REF _Ref264906116 \r \h </w:instrText>
      </w:r>
      <w:r w:rsidRPr="005B6ADD">
        <w:rPr>
          <w:u w:val="single"/>
          <w:lang w:val="en-US"/>
        </w:rPr>
      </w:r>
      <w:r w:rsidRPr="005B6ADD">
        <w:rPr>
          <w:u w:val="single"/>
          <w:lang w:val="en-US"/>
        </w:rPr>
        <w:fldChar w:fldCharType="separate"/>
      </w:r>
      <w:r w:rsidRPr="005B6ADD">
        <w:rPr>
          <w:u w:val="single"/>
          <w:lang w:val="en-US"/>
        </w:rPr>
        <w:t>4</w:t>
      </w:r>
      <w:r w:rsidRPr="005B6ADD">
        <w:rPr>
          <w:u w:val="single"/>
          <w:lang w:val="en-US"/>
        </w:rPr>
        <w:t>.</w:t>
      </w:r>
      <w:r w:rsidRPr="005B6ADD">
        <w:rPr>
          <w:u w:val="single"/>
          <w:lang w:val="en-US"/>
        </w:rPr>
        <w:t>1</w:t>
      </w:r>
      <w:r w:rsidRPr="005B6ADD">
        <w:fldChar w:fldCharType="end"/>
      </w:r>
      <w:r w:rsidRPr="005B6ADD">
        <w:rPr>
          <w:lang w:val="en-US"/>
        </w:rPr>
        <w:t xml:space="preserve">, the Company may elect to give notice to the Major Investors within thirty (30) days after the issuance of New Securities.  Such notice shall describe the type, price, and terms of the New Securities.  Each Major Investor shall have twenty (20) days from the date notice is given to elect to purchase up to the number of New Securities that would, if purchased by such Major Investor, maintain such Major Investor’s percentage-ownership position, calculated as set forth in </w:t>
      </w:r>
      <w:r w:rsidRPr="005B6ADD">
        <w:rPr>
          <w:u w:val="single"/>
          <w:lang w:val="en-US"/>
        </w:rPr>
        <w:t>Subsection 4.1</w:t>
      </w:r>
      <w:r w:rsidRPr="005B6ADD">
        <w:rPr>
          <w:u w:val="single"/>
          <w:lang w:val="en-US"/>
        </w:rPr>
        <w:fldChar w:fldCharType="begin"/>
      </w:r>
      <w:r w:rsidRPr="005B6ADD">
        <w:rPr>
          <w:u w:val="single"/>
          <w:lang w:val="en-US"/>
        </w:rPr>
        <w:instrText xml:space="preserve"> REF _Ref264906064 \r \h </w:instrText>
      </w:r>
      <w:r w:rsidRPr="005B6ADD">
        <w:rPr>
          <w:u w:val="single"/>
          <w:lang w:val="en-US"/>
        </w:rPr>
      </w:r>
      <w:r w:rsidRPr="005B6ADD">
        <w:rPr>
          <w:u w:val="single"/>
          <w:lang w:val="en-US"/>
        </w:rPr>
        <w:fldChar w:fldCharType="separate"/>
      </w:r>
      <w:r w:rsidRPr="005B6ADD">
        <w:rPr>
          <w:u w:val="single"/>
          <w:lang w:val="en-US"/>
        </w:rPr>
        <w:t>(</w:t>
      </w:r>
      <w:r w:rsidRPr="005B6ADD">
        <w:rPr>
          <w:u w:val="single"/>
          <w:lang w:val="en-US"/>
        </w:rPr>
        <w:t>b</w:t>
      </w:r>
      <w:r w:rsidRPr="005B6ADD">
        <w:rPr>
          <w:u w:val="single"/>
          <w:lang w:val="en-US"/>
        </w:rPr>
        <w:t>)</w:t>
      </w:r>
      <w:r w:rsidRPr="005B6ADD">
        <w:fldChar w:fldCharType="end"/>
      </w:r>
      <w:r w:rsidRPr="005B6ADD">
        <w:rPr>
          <w:lang w:val="en-US"/>
        </w:rPr>
        <w:t xml:space="preserve"> before giving effect to the issuance of such New Securities.</w:t>
      </w:r>
      <w:r w:rsidR="00344AF7" w:rsidRPr="00344AF7">
        <w:rPr>
          <w:rStyle w:val="FootnoteReference"/>
        </w:rPr>
        <w:t xml:space="preserve"> </w:t>
      </w:r>
      <w:r w:rsidR="00344AF7">
        <w:rPr>
          <w:rStyle w:val="FootnoteReference"/>
        </w:rPr>
        <w:footnoteReference w:id="45"/>
      </w:r>
      <w:r w:rsidR="00344AF7">
        <w:t xml:space="preserve">  </w:t>
      </w:r>
    </w:p>
    <w:p w:rsidR="00B95ADB" w:rsidRDefault="00B95ADB">
      <w:pPr>
        <w:pStyle w:val="Heading2"/>
        <w:keepNext/>
        <w:rPr>
          <w:vanish/>
          <w:color w:val="000000"/>
          <w:szCs w:val="16"/>
          <w:specVanish/>
        </w:rPr>
      </w:pPr>
      <w:bookmarkStart w:id="603" w:name="_Toc505091160"/>
      <w:r>
        <w:rPr>
          <w:u w:val="none"/>
        </w:rPr>
        <w:t>[</w:t>
      </w:r>
      <w:r>
        <w:t>Directed IPO Shares</w:t>
      </w:r>
      <w:bookmarkEnd w:id="603"/>
    </w:p>
    <w:p w:rsidR="00B95ADB" w:rsidRDefault="00B95ADB">
      <w:pPr>
        <w:pStyle w:val="Bod"/>
      </w:pPr>
      <w:r>
        <w:t>.]</w:t>
      </w:r>
      <w:bookmarkStart w:id="604" w:name="_DV_M307"/>
      <w:bookmarkStart w:id="605" w:name="_Toc453565294"/>
      <w:bookmarkEnd w:id="597"/>
      <w:bookmarkEnd w:id="598"/>
      <w:bookmarkEnd w:id="599"/>
      <w:bookmarkEnd w:id="600"/>
      <w:bookmarkEnd w:id="601"/>
      <w:bookmarkEnd w:id="604"/>
      <w:r>
        <w:rPr>
          <w:rStyle w:val="FootnoteReference"/>
        </w:rPr>
        <w:footnoteReference w:id="46"/>
      </w:r>
    </w:p>
    <w:p w:rsidR="00B95ADB" w:rsidRDefault="00B95ADB">
      <w:pPr>
        <w:pStyle w:val="Heading2"/>
        <w:rPr>
          <w:vanish/>
          <w:specVanish/>
        </w:rPr>
      </w:pPr>
      <w:bookmarkStart w:id="606" w:name="_DV_M308"/>
      <w:bookmarkStart w:id="607" w:name="_Toc116180683"/>
      <w:bookmarkStart w:id="608" w:name="_Toc165866782"/>
      <w:bookmarkStart w:id="609" w:name="_Toc131593473"/>
      <w:bookmarkStart w:id="610" w:name="_Toc136067422"/>
      <w:bookmarkStart w:id="611" w:name="_Ref431386286"/>
      <w:bookmarkStart w:id="612" w:name="_Toc505091161"/>
      <w:bookmarkEnd w:id="605"/>
      <w:bookmarkEnd w:id="606"/>
      <w:r>
        <w:t>Termination</w:t>
      </w:r>
      <w:bookmarkEnd w:id="611"/>
      <w:bookmarkEnd w:id="612"/>
    </w:p>
    <w:p w:rsidR="00B95ADB" w:rsidRDefault="00B95ADB">
      <w:pPr>
        <w:pStyle w:val="Bod"/>
      </w:pPr>
      <w:r>
        <w:t xml:space="preserve">.  The covenants set forth in </w:t>
      </w:r>
      <w:bookmarkStart w:id="613" w:name="_DV_M309"/>
      <w:bookmarkEnd w:id="607"/>
      <w:bookmarkEnd w:id="608"/>
      <w:bookmarkEnd w:id="613"/>
      <w:r>
        <w:rPr>
          <w:u w:val="single"/>
        </w:rPr>
        <w:t xml:space="preserve">Subsection </w:t>
      </w:r>
      <w:r>
        <w:rPr>
          <w:u w:val="single"/>
        </w:rPr>
        <w:fldChar w:fldCharType="begin"/>
      </w:r>
      <w:r>
        <w:rPr>
          <w:u w:val="single"/>
        </w:rPr>
        <w:instrText xml:space="preserve"> REF _Ref264906116 \r \h </w:instrText>
      </w:r>
      <w:r>
        <w:rPr>
          <w:u w:val="single"/>
        </w:rPr>
      </w:r>
      <w:r>
        <w:rPr>
          <w:u w:val="single"/>
        </w:rPr>
        <w:instrText xml:space="preserve"> \* MERGEFORMAT </w:instrText>
      </w:r>
      <w:r>
        <w:rPr>
          <w:u w:val="single"/>
        </w:rPr>
        <w:fldChar w:fldCharType="separate"/>
      </w:r>
      <w:r w:rsidR="00222212">
        <w:rPr>
          <w:u w:val="single"/>
        </w:rPr>
        <w:t>4.1</w:t>
      </w:r>
      <w:r>
        <w:rPr>
          <w:u w:val="single"/>
        </w:rPr>
        <w:fldChar w:fldCharType="end"/>
      </w:r>
      <w:r>
        <w:t xml:space="preserve"> [and </w:t>
      </w:r>
      <w:r>
        <w:rPr>
          <w:u w:val="single"/>
        </w:rPr>
        <w:t xml:space="preserve">Subsection </w:t>
      </w:r>
      <w:r>
        <w:rPr>
          <w:u w:val="single"/>
        </w:rPr>
        <w:fldChar w:fldCharType="begin"/>
      </w:r>
      <w:r>
        <w:rPr>
          <w:u w:val="single"/>
        </w:rPr>
        <w:instrText xml:space="preserve"> REF _Ref264906237 \r \h </w:instrText>
      </w:r>
      <w:r>
        <w:rPr>
          <w:u w:val="single"/>
        </w:rPr>
      </w:r>
      <w:r>
        <w:rPr>
          <w:u w:val="single"/>
        </w:rPr>
        <w:instrText xml:space="preserve"> \* MERGEFORMAT </w:instrText>
      </w:r>
      <w:r>
        <w:rPr>
          <w:u w:val="single"/>
        </w:rPr>
        <w:fldChar w:fldCharType="separate"/>
      </w:r>
      <w:r w:rsidR="00222212">
        <w:rPr>
          <w:u w:val="single"/>
        </w:rPr>
        <w:t>4.2</w:t>
      </w:r>
      <w:r>
        <w:rPr>
          <w:u w:val="single"/>
        </w:rPr>
        <w:fldChar w:fldCharType="end"/>
      </w:r>
      <w:r>
        <w:t>] shall terminate and be of no further force or effect (i) immediately before the consummation of the IPO</w:t>
      </w:r>
      <w:r>
        <w:rPr>
          <w:rStyle w:val="DeltaViewInsertion"/>
          <w:b w:val="0"/>
          <w:color w:val="000000"/>
          <w:szCs w:val="16"/>
          <w:u w:val="none"/>
        </w:rPr>
        <w:t>,</w:t>
      </w:r>
      <w:r>
        <w:t xml:space="preserve"> [(ii) </w:t>
      </w:r>
      <w:r>
        <w:rPr>
          <w:rStyle w:val="DeltaViewInsertion"/>
          <w:b w:val="0"/>
          <w:color w:val="000000"/>
          <w:szCs w:val="16"/>
          <w:u w:val="none"/>
        </w:rPr>
        <w:t>when the Company first becomes subject to the periodic reporting requirements of Section 12(g) or 15(d) of the Exchange Act</w:t>
      </w:r>
      <w:r>
        <w:rPr>
          <w:rStyle w:val="FootnoteReference"/>
          <w:color w:val="000000"/>
        </w:rPr>
        <w:footnoteReference w:id="47"/>
      </w:r>
      <w:r>
        <w:rPr>
          <w:rStyle w:val="DeltaViewInsertion"/>
          <w:b w:val="0"/>
          <w:color w:val="000000"/>
          <w:szCs w:val="16"/>
          <w:u w:val="none"/>
        </w:rPr>
        <w:t xml:space="preserve">,] [or (iii) </w:t>
      </w:r>
      <w:r>
        <w:t>upon</w:t>
      </w:r>
      <w:r w:rsidR="00DE149C">
        <w:t xml:space="preserve"> the closing of</w:t>
      </w:r>
      <w:r>
        <w:t xml:space="preserve"> a Deemed Liquidation Event,</w:t>
      </w:r>
      <w:r w:rsidR="006728F8">
        <w:t xml:space="preserve"> as such term is defined in the </w:t>
      </w:r>
      <w:r>
        <w:t>Certificate of Incorporation,</w:t>
      </w:r>
      <w:r>
        <w:rPr>
          <w:rStyle w:val="DeltaViewInsertion"/>
          <w:b w:val="0"/>
          <w:color w:val="000000"/>
          <w:szCs w:val="16"/>
          <w:u w:val="none"/>
        </w:rPr>
        <w:t>]</w:t>
      </w:r>
      <w:r>
        <w:t xml:space="preserve"> whichever event occurs first [and, as to each Major Investor, in accordance with </w:t>
      </w:r>
      <w:r>
        <w:rPr>
          <w:u w:val="single"/>
        </w:rPr>
        <w:t xml:space="preserve">Subsection </w:t>
      </w:r>
      <w:r>
        <w:rPr>
          <w:u w:val="single"/>
        </w:rPr>
        <w:fldChar w:fldCharType="begin"/>
      </w:r>
      <w:r>
        <w:rPr>
          <w:u w:val="single"/>
        </w:rPr>
        <w:instrText xml:space="preserve"> REF _Ref264906249 \r \h </w:instrText>
      </w:r>
      <w:r>
        <w:rPr>
          <w:u w:val="single"/>
        </w:rPr>
      </w:r>
      <w:r>
        <w:rPr>
          <w:u w:val="single"/>
        </w:rPr>
        <w:instrText xml:space="preserve"> \* MERGEFORMAT </w:instrText>
      </w:r>
      <w:r>
        <w:rPr>
          <w:u w:val="single"/>
        </w:rPr>
        <w:fldChar w:fldCharType="separate"/>
      </w:r>
      <w:r w:rsidR="00222212">
        <w:rPr>
          <w:u w:val="single"/>
        </w:rPr>
        <w:t>4.1(e)</w:t>
      </w:r>
      <w:r>
        <w:rPr>
          <w:u w:val="single"/>
        </w:rPr>
        <w:fldChar w:fldCharType="end"/>
      </w:r>
      <w:r>
        <w:t>].</w:t>
      </w:r>
      <w:bookmarkStart w:id="614" w:name="_DV_M310"/>
      <w:bookmarkEnd w:id="609"/>
      <w:bookmarkEnd w:id="610"/>
      <w:bookmarkEnd w:id="614"/>
      <w:r>
        <w:t xml:space="preserve"> </w:t>
      </w:r>
    </w:p>
    <w:p w:rsidR="00B95ADB" w:rsidRDefault="00B95ADB">
      <w:pPr>
        <w:pStyle w:val="Heading1"/>
        <w:keepNext/>
        <w:rPr>
          <w:vanish/>
          <w:color w:val="000000"/>
          <w:szCs w:val="16"/>
          <w:specVanish/>
        </w:rPr>
      </w:pPr>
      <w:bookmarkStart w:id="615" w:name="_DV_M311"/>
      <w:bookmarkStart w:id="616" w:name="_Toc116180684"/>
      <w:bookmarkStart w:id="617" w:name="_Toc165866783"/>
      <w:bookmarkStart w:id="618" w:name="_Toc131593474"/>
      <w:bookmarkStart w:id="619" w:name="_Toc136067423"/>
      <w:bookmarkStart w:id="620" w:name="_Ref264906304"/>
      <w:bookmarkStart w:id="621" w:name="_Toc505091162"/>
      <w:bookmarkEnd w:id="615"/>
      <w:r>
        <w:t>Additional Covenants</w:t>
      </w:r>
      <w:bookmarkEnd w:id="621"/>
    </w:p>
    <w:p w:rsidR="00B95ADB" w:rsidRDefault="00B95ADB">
      <w:pPr>
        <w:pStyle w:val="Bod"/>
      </w:pPr>
      <w:r>
        <w:t>.</w:t>
      </w:r>
      <w:bookmarkStart w:id="622" w:name="_DV_M312"/>
      <w:bookmarkStart w:id="623" w:name="_DV_M313"/>
      <w:bookmarkEnd w:id="616"/>
      <w:bookmarkEnd w:id="617"/>
      <w:bookmarkEnd w:id="618"/>
      <w:bookmarkEnd w:id="619"/>
      <w:bookmarkEnd w:id="620"/>
      <w:bookmarkEnd w:id="622"/>
      <w:bookmarkEnd w:id="623"/>
    </w:p>
    <w:p w:rsidR="00B95ADB" w:rsidRDefault="00B95ADB">
      <w:pPr>
        <w:pStyle w:val="Heading2"/>
        <w:ind w:left="0" w:firstLine="1800"/>
        <w:rPr>
          <w:vanish/>
          <w:specVanish/>
        </w:rPr>
      </w:pPr>
      <w:bookmarkStart w:id="624" w:name="_DV_M314"/>
      <w:bookmarkStart w:id="625" w:name="_Toc116180685"/>
      <w:bookmarkStart w:id="626" w:name="_Toc165866784"/>
      <w:bookmarkStart w:id="627" w:name="_Toc131593475"/>
      <w:bookmarkStart w:id="628" w:name="_Toc136067424"/>
      <w:bookmarkStart w:id="629" w:name="_Toc30227809"/>
      <w:bookmarkStart w:id="630" w:name="_Ref431298725"/>
      <w:bookmarkStart w:id="631" w:name="_Toc505091163"/>
      <w:bookmarkEnd w:id="624"/>
      <w:r>
        <w:t>Insurance</w:t>
      </w:r>
      <w:bookmarkEnd w:id="630"/>
      <w:bookmarkEnd w:id="631"/>
    </w:p>
    <w:p w:rsidR="00B95ADB" w:rsidRDefault="00B95ADB">
      <w:pPr>
        <w:pStyle w:val="Bod"/>
        <w:ind w:firstLine="1800"/>
      </w:pPr>
      <w:r>
        <w:t>.  The Company shall obtain, within ninety (90) days of the date hereof, from financially sound and reputable insurers Directors and Officers liability insurance and term “key</w:t>
      </w:r>
      <w:r>
        <w:noBreakHyphen/>
        <w:t>person” insurance on [_____], each in an amount and on terms and conditions satisfactory to the Board of Directors, and will use commercially reasonable efforts to cause such insurance policies to be maintained until such time as the Board of Directors determines that such insurance should be discontinued.  The key</w:t>
      </w:r>
      <w:r>
        <w:noBreakHyphen/>
        <w:t>person policy shall name the Company as loss payee, and neither policy shall be cancelable by the Company without prior approval by the Board of Directors [including the Series A Director][and holders of a [majority] of the Preferred Stock].</w:t>
      </w:r>
      <w:bookmarkStart w:id="632" w:name="_DV_M315"/>
      <w:bookmarkStart w:id="633" w:name="_DV_M316"/>
      <w:bookmarkEnd w:id="625"/>
      <w:bookmarkEnd w:id="626"/>
      <w:bookmarkEnd w:id="627"/>
      <w:bookmarkEnd w:id="628"/>
      <w:bookmarkEnd w:id="632"/>
      <w:bookmarkEnd w:id="633"/>
      <w:r>
        <w:t xml:space="preserve">  [Notwithstanding any other provision of this </w:t>
      </w:r>
      <w:r>
        <w:rPr>
          <w:u w:val="single"/>
        </w:rPr>
        <w:t xml:space="preserve">Section </w:t>
      </w:r>
      <w:r w:rsidR="00EE636D">
        <w:rPr>
          <w:u w:val="single"/>
        </w:rPr>
        <w:fldChar w:fldCharType="begin"/>
      </w:r>
      <w:r w:rsidR="00EE636D">
        <w:rPr>
          <w:u w:val="single"/>
        </w:rPr>
        <w:instrText xml:space="preserve"> REF _Ref431298725 \w \h </w:instrText>
      </w:r>
      <w:r w:rsidR="00EE636D">
        <w:rPr>
          <w:u w:val="single"/>
        </w:rPr>
      </w:r>
      <w:r w:rsidR="00EE636D">
        <w:rPr>
          <w:u w:val="single"/>
        </w:rPr>
        <w:fldChar w:fldCharType="separate"/>
      </w:r>
      <w:r w:rsidR="00222212">
        <w:rPr>
          <w:u w:val="single"/>
        </w:rPr>
        <w:t>5.1</w:t>
      </w:r>
      <w:r w:rsidR="00EE636D">
        <w:rPr>
          <w:u w:val="single"/>
        </w:rPr>
        <w:fldChar w:fldCharType="end"/>
      </w:r>
      <w:r>
        <w:t xml:space="preserve"> to the contrary, for so long as a Series A Director (as define</w:t>
      </w:r>
      <w:r w:rsidR="004E3EDE">
        <w:t>d in the Certificate of Incorpor</w:t>
      </w:r>
      <w:r>
        <w:t>ation) is serving on the Board of Directors, the Company shall not cease to maintain a Directors and Officers liability insurance p</w:t>
      </w:r>
      <w:r w:rsidR="00D80089">
        <w:t xml:space="preserve">olicy in an amount of at least </w:t>
      </w:r>
      <w:r w:rsidR="00DE149C">
        <w:t>[three (3)]</w:t>
      </w:r>
      <w:r w:rsidR="001A3EFB" w:rsidRPr="00C55DCC">
        <w:t xml:space="preserve"> </w:t>
      </w:r>
      <w:r>
        <w:t>million unless approved by such Series A Director, and the Company shall annually, within one hundred twenty (120) days after the end of each fiscal year of the Company, deliver to the Series A Purchasers a certification that such a Directors and Officers liability insurance policy remains in effect.]  [Each Key Holder hereby covenants and agrees that, to the extent such Key Holder is named under such key-person policy, such Key Holder will execute and deliver to the Company, as reasonably requested, a written notice and consent form with respect to such policy.]</w:t>
      </w:r>
      <w:bookmarkStart w:id="634" w:name="_Toc116180686"/>
      <w:bookmarkStart w:id="635" w:name="_Toc136067425"/>
      <w:bookmarkStart w:id="636" w:name="_Toc131593476"/>
      <w:bookmarkEnd w:id="629"/>
      <w:r>
        <w:rPr>
          <w:rStyle w:val="FootnoteReference"/>
        </w:rPr>
        <w:footnoteReference w:id="48"/>
      </w:r>
    </w:p>
    <w:p w:rsidR="00B95ADB" w:rsidRDefault="00B95ADB">
      <w:pPr>
        <w:pStyle w:val="Heading2"/>
        <w:ind w:left="0" w:firstLine="1800"/>
        <w:rPr>
          <w:vanish/>
          <w:specVanish/>
        </w:rPr>
      </w:pPr>
      <w:bookmarkStart w:id="637" w:name="_DV_M317"/>
      <w:bookmarkStart w:id="638" w:name="_Toc165866785"/>
      <w:bookmarkStart w:id="639" w:name="_Toc505091164"/>
      <w:bookmarkEnd w:id="637"/>
      <w:r>
        <w:t>Employee Agreements</w:t>
      </w:r>
      <w:bookmarkEnd w:id="639"/>
    </w:p>
    <w:p w:rsidR="00B95ADB" w:rsidRDefault="00B95ADB">
      <w:pPr>
        <w:pStyle w:val="Bod"/>
        <w:ind w:firstLine="1800"/>
      </w:pPr>
      <w:r>
        <w:t xml:space="preserve">.  The Company will cause (i) each </w:t>
      </w:r>
      <w:r w:rsidR="00DE149C">
        <w:rPr>
          <w:rStyle w:val="DeltaViewInsertion"/>
          <w:b w:val="0"/>
          <w:color w:val="000000"/>
          <w:szCs w:val="16"/>
          <w:u w:val="none"/>
        </w:rPr>
        <w:t>P</w:t>
      </w:r>
      <w:r>
        <w:rPr>
          <w:rStyle w:val="DeltaViewInsertion"/>
          <w:b w:val="0"/>
          <w:color w:val="000000"/>
          <w:szCs w:val="16"/>
          <w:u w:val="none"/>
        </w:rPr>
        <w:t>erson</w:t>
      </w:r>
      <w:r>
        <w:t xml:space="preserve"> now or hereafter employed by it or by any subsidiary (or engaged by the Company or any subsidiary as a consultant/independent contractor) with access to confidential information and/or trade secrets to enter into a nondisclosure and proprietary rights assignment agreement; and (ii) each Key Employee to enter into a [one (1)] year noncompetition and nonsolicitation agreement[, substantially in the form approved by the Board of Directors][, in the form attached hereto as </w:t>
      </w:r>
      <w:bookmarkStart w:id="640" w:name="_DV_M318"/>
      <w:bookmarkEnd w:id="634"/>
      <w:bookmarkEnd w:id="638"/>
      <w:bookmarkEnd w:id="640"/>
      <w:r>
        <w:t>Exhibit A].</w:t>
      </w:r>
      <w:bookmarkStart w:id="641" w:name="_DV_M321"/>
      <w:bookmarkEnd w:id="641"/>
      <w:r>
        <w:rPr>
          <w:rStyle w:val="FootnoteReference"/>
        </w:rPr>
        <w:footnoteReference w:id="49"/>
      </w:r>
      <w:r>
        <w:t xml:space="preserve">  In addition, the Company shall not amend, modify, terminate, waive, or otherwise alter, in whole or in part, any of the above-referenced agreements or any restricted stock agreement between the Company and any employee, without the [unanimous] consent of the Series A Directors.</w:t>
      </w:r>
      <w:bookmarkStart w:id="643" w:name="_DV_M322"/>
      <w:bookmarkEnd w:id="635"/>
      <w:bookmarkEnd w:id="643"/>
      <w:r>
        <w:t xml:space="preserve">  </w:t>
      </w:r>
      <w:bookmarkStart w:id="644" w:name="_Toc116180687"/>
      <w:bookmarkStart w:id="645" w:name="_Toc31010753"/>
      <w:bookmarkStart w:id="646" w:name="_Toc31019292"/>
      <w:bookmarkStart w:id="647" w:name="_Toc131593477"/>
      <w:bookmarkStart w:id="648" w:name="_Toc136067426"/>
      <w:bookmarkEnd w:id="636"/>
    </w:p>
    <w:p w:rsidR="00B95ADB" w:rsidRDefault="00B95ADB">
      <w:pPr>
        <w:pStyle w:val="Heading2"/>
        <w:ind w:left="0" w:firstLine="1800"/>
        <w:rPr>
          <w:vanish/>
          <w:specVanish/>
        </w:rPr>
      </w:pPr>
      <w:bookmarkStart w:id="649" w:name="_DV_M323"/>
      <w:bookmarkStart w:id="650" w:name="_Toc165866786"/>
      <w:bookmarkStart w:id="651" w:name="_Ref431386158"/>
      <w:bookmarkStart w:id="652" w:name="_Toc505091165"/>
      <w:bookmarkEnd w:id="649"/>
      <w:r>
        <w:t xml:space="preserve">Employee </w:t>
      </w:r>
      <w:bookmarkStart w:id="653" w:name="_DV_M324"/>
      <w:bookmarkEnd w:id="644"/>
      <w:bookmarkEnd w:id="653"/>
      <w:r>
        <w:t>Stock</w:t>
      </w:r>
      <w:bookmarkEnd w:id="651"/>
      <w:bookmarkEnd w:id="652"/>
    </w:p>
    <w:p w:rsidR="00B95ADB" w:rsidRDefault="00B95ADB">
      <w:pPr>
        <w:pStyle w:val="Bod"/>
        <w:ind w:firstLine="1800"/>
      </w:pPr>
      <w:r>
        <w:t xml:space="preserve">.  Unless otherwise approved by the Board of Directors, </w:t>
      </w:r>
      <w:r>
        <w:rPr>
          <w:rStyle w:val="DeltaViewInsertion"/>
          <w:b w:val="0"/>
          <w:color w:val="000000"/>
          <w:szCs w:val="16"/>
          <w:u w:val="none"/>
        </w:rPr>
        <w:t xml:space="preserve">[including the Series A Director,] </w:t>
      </w:r>
      <w:r>
        <w:t>all future employees and consultants of the Company who purchase, receive options to purchase, or receive awards of shares of the Company’s capital stock after the date hereof shall be required to execute restricted stock or option agreements, as applicable, providing for (i) vesting of shares over a [four (4)] year period, with the first [twenty-five percent (25%)] of such shares vesting following [twelve (12)] months of</w:t>
      </w:r>
      <w:bookmarkStart w:id="654" w:name="_DV_M325"/>
      <w:bookmarkStart w:id="655" w:name="_DV_M326"/>
      <w:bookmarkEnd w:id="645"/>
      <w:bookmarkEnd w:id="646"/>
      <w:bookmarkEnd w:id="650"/>
      <w:bookmarkEnd w:id="654"/>
      <w:bookmarkEnd w:id="655"/>
      <w:r>
        <w:t xml:space="preserve"> continued employment or service, and the remaining shares vesting in equal [monthly] installments over the following [thirty-six (36) months], and (ii) a </w:t>
      </w:r>
      <w:r>
        <w:rPr>
          <w:rStyle w:val="DeltaViewInsertion"/>
          <w:b w:val="0"/>
          <w:color w:val="000000"/>
          <w:szCs w:val="16"/>
          <w:u w:val="none"/>
        </w:rPr>
        <w:t>market stand-off provision substantially similar to that</w:t>
      </w:r>
      <w:r>
        <w:t xml:space="preserve"> in </w:t>
      </w:r>
      <w:r>
        <w:rPr>
          <w:rStyle w:val="DeltaViewInsertion"/>
          <w:b w:val="0"/>
          <w:color w:val="000000"/>
          <w:szCs w:val="16"/>
          <w:u w:val="single"/>
        </w:rPr>
        <w:t xml:space="preserve">Subsection </w:t>
      </w:r>
      <w:r>
        <w:rPr>
          <w:rStyle w:val="DeltaViewInsertion"/>
          <w:b w:val="0"/>
          <w:color w:val="000000"/>
          <w:szCs w:val="16"/>
          <w:u w:val="single"/>
        </w:rPr>
        <w:fldChar w:fldCharType="begin"/>
      </w:r>
      <w:r>
        <w:rPr>
          <w:rStyle w:val="DeltaViewInsertion"/>
          <w:b w:val="0"/>
          <w:color w:val="000000"/>
          <w:szCs w:val="16"/>
          <w:u w:val="single"/>
        </w:rPr>
        <w:instrText xml:space="preserve"> REF _Ref264905643 \r \h </w:instrText>
      </w:r>
      <w:r>
        <w:rPr>
          <w:rStyle w:val="DeltaViewInsertion"/>
          <w:b w:val="0"/>
          <w:color w:val="000000"/>
          <w:szCs w:val="16"/>
          <w:u w:val="single"/>
        </w:rPr>
      </w:r>
      <w:r>
        <w:rPr>
          <w:rStyle w:val="DeltaViewInsertion"/>
          <w:b w:val="0"/>
          <w:color w:val="000000"/>
          <w:szCs w:val="16"/>
          <w:u w:val="single"/>
        </w:rPr>
        <w:fldChar w:fldCharType="separate"/>
      </w:r>
      <w:r w:rsidR="00222212">
        <w:rPr>
          <w:rStyle w:val="DeltaViewInsertion"/>
          <w:b w:val="0"/>
          <w:color w:val="000000"/>
          <w:szCs w:val="16"/>
          <w:u w:val="single"/>
        </w:rPr>
        <w:t>2.11</w:t>
      </w:r>
      <w:r>
        <w:rPr>
          <w:rStyle w:val="DeltaViewInsertion"/>
          <w:b w:val="0"/>
          <w:color w:val="000000"/>
          <w:szCs w:val="16"/>
          <w:u w:val="single"/>
        </w:rPr>
        <w:fldChar w:fldCharType="end"/>
      </w:r>
      <w:r>
        <w:rPr>
          <w:rStyle w:val="DeltaViewInsertion"/>
          <w:b w:val="0"/>
          <w:color w:val="000000"/>
          <w:szCs w:val="16"/>
          <w:u w:val="none"/>
        </w:rPr>
        <w:t>.</w:t>
      </w:r>
      <w:r w:rsidR="00221017" w:rsidRPr="00221017">
        <w:rPr>
          <w:rStyle w:val="FootnoteReference"/>
          <w:color w:val="000000"/>
        </w:rPr>
        <w:t xml:space="preserve"> </w:t>
      </w:r>
      <w:r w:rsidR="00221017" w:rsidRPr="00221017">
        <w:rPr>
          <w:rStyle w:val="FootnoteReference"/>
          <w:color w:val="000000"/>
        </w:rPr>
        <w:footnoteReference w:id="50"/>
      </w:r>
      <w:r>
        <w:t xml:space="preserve">  </w:t>
      </w:r>
      <w:r w:rsidR="00DE149C">
        <w:rPr>
          <w:color w:val="000000"/>
          <w:szCs w:val="16"/>
        </w:rPr>
        <w:t xml:space="preserve">Without </w:t>
      </w:r>
      <w:r w:rsidR="005B6ADD">
        <w:rPr>
          <w:color w:val="000000"/>
          <w:szCs w:val="16"/>
        </w:rPr>
        <w:t xml:space="preserve">the </w:t>
      </w:r>
      <w:r w:rsidR="00DE149C">
        <w:rPr>
          <w:color w:val="000000"/>
          <w:szCs w:val="16"/>
        </w:rPr>
        <w:t>prior approval by the Board of Directors, [including the Series A Director,]</w:t>
      </w:r>
      <w:r w:rsidR="00DE149C">
        <w:t xml:space="preserve"> </w:t>
      </w:r>
      <w:r w:rsidR="00DE149C">
        <w:rPr>
          <w:color w:val="000000"/>
          <w:szCs w:val="16"/>
        </w:rPr>
        <w:t xml:space="preserve">the Company shall not amend, modify, terminate, waive or otherwise alter, in whole or in part, any stock purchase, stock restriction or option agreement with any existing employee or service provider if such amendment would </w:t>
      </w:r>
      <w:r w:rsidR="005B2E8F">
        <w:rPr>
          <w:color w:val="000000"/>
          <w:szCs w:val="16"/>
        </w:rPr>
        <w:t>cause it to be inconsisten</w:t>
      </w:r>
      <w:r w:rsidR="001A3EFB">
        <w:rPr>
          <w:color w:val="000000"/>
          <w:szCs w:val="16"/>
        </w:rPr>
        <w:t>t</w:t>
      </w:r>
      <w:r w:rsidR="005B2E8F">
        <w:rPr>
          <w:color w:val="000000"/>
          <w:szCs w:val="16"/>
        </w:rPr>
        <w:t xml:space="preserve"> with this </w:t>
      </w:r>
      <w:r w:rsidR="005B2E8F" w:rsidRPr="005B2E8F">
        <w:rPr>
          <w:color w:val="000000"/>
          <w:szCs w:val="16"/>
          <w:u w:val="single"/>
        </w:rPr>
        <w:t>Subsection 5.3</w:t>
      </w:r>
      <w:r w:rsidR="00DE149C">
        <w:rPr>
          <w:color w:val="000000"/>
          <w:szCs w:val="16"/>
        </w:rPr>
        <w:t xml:space="preserve">.  </w:t>
      </w:r>
      <w:r>
        <w:rPr>
          <w:rStyle w:val="DeltaViewInsertion"/>
          <w:b w:val="0"/>
          <w:color w:val="000000"/>
          <w:szCs w:val="16"/>
          <w:u w:val="none"/>
        </w:rPr>
        <w:t>In addition, unless otherwise approved by the Board of Directors, [including the Series A Director,] the</w:t>
      </w:r>
      <w:r>
        <w:rPr>
          <w:b/>
        </w:rPr>
        <w:t xml:space="preserve"> </w:t>
      </w:r>
      <w:r>
        <w:t xml:space="preserve">Company shall retain </w:t>
      </w:r>
      <w:r w:rsidR="00DE149C">
        <w:t xml:space="preserve">(and not waive) </w:t>
      </w:r>
      <w:r>
        <w:t>a “right of first refusal” on employee transfers until the Company’s IPO and shall have the right to repurchase unvested shares at cost upon termination of employment of a holder of restricted stock.</w:t>
      </w:r>
      <w:bookmarkStart w:id="657" w:name="_Toc116180688"/>
      <w:bookmarkStart w:id="658" w:name="_Toc131593478"/>
      <w:bookmarkStart w:id="659" w:name="_Toc136067427"/>
      <w:bookmarkEnd w:id="647"/>
      <w:bookmarkEnd w:id="648"/>
    </w:p>
    <w:p w:rsidR="00B95ADB" w:rsidRDefault="00B95ADB">
      <w:pPr>
        <w:pStyle w:val="Heading2"/>
        <w:ind w:left="0" w:firstLine="1800"/>
        <w:rPr>
          <w:vanish/>
          <w:specVanish/>
        </w:rPr>
      </w:pPr>
      <w:bookmarkStart w:id="660" w:name="_DV_M327"/>
      <w:bookmarkStart w:id="661" w:name="_Toc165866787"/>
      <w:bookmarkStart w:id="662" w:name="_Toc505091166"/>
      <w:bookmarkEnd w:id="660"/>
      <w:r>
        <w:t>[Qualified Small Business Stock</w:t>
      </w:r>
      <w:bookmarkEnd w:id="662"/>
    </w:p>
    <w:p w:rsidR="00B95ADB" w:rsidRDefault="00B95ADB">
      <w:pPr>
        <w:pStyle w:val="Bod"/>
        <w:ind w:firstLine="1800"/>
      </w:pPr>
      <w:r>
        <w:t xml:space="preserve">.  The Company shall use commercially reasonable efforts to cause the shares of </w:t>
      </w:r>
      <w:r>
        <w:rPr>
          <w:rStyle w:val="DeltaViewInsertion"/>
          <w:b w:val="0"/>
          <w:color w:val="000000"/>
          <w:szCs w:val="16"/>
          <w:u w:val="none"/>
        </w:rPr>
        <w:t xml:space="preserve">[Series A] </w:t>
      </w:r>
      <w:r>
        <w:t xml:space="preserve">Preferred Stock </w:t>
      </w:r>
      <w:r>
        <w:rPr>
          <w:rStyle w:val="DeltaViewInsertion"/>
          <w:b w:val="0"/>
          <w:color w:val="000000"/>
          <w:szCs w:val="16"/>
          <w:u w:val="none"/>
        </w:rPr>
        <w:t>[</w:t>
      </w:r>
      <w:r>
        <w:t>issued pursuant to the Purchase Agreement], as well as any shares into which such shares are converted, within the meaning of Section 1202(f) of the Internal Revenue Code (the “</w:t>
      </w:r>
      <w:r>
        <w:rPr>
          <w:b/>
        </w:rPr>
        <w:t>Code</w:t>
      </w:r>
      <w:r>
        <w:t xml:space="preserve">”), to constitute “qualified small business stock” as defined in </w:t>
      </w:r>
      <w:bookmarkStart w:id="663" w:name="_DV_M328"/>
      <w:bookmarkStart w:id="664" w:name="_DV_M329"/>
      <w:bookmarkStart w:id="665" w:name="_Toc493390468"/>
      <w:bookmarkEnd w:id="657"/>
      <w:bookmarkEnd w:id="661"/>
      <w:bookmarkEnd w:id="663"/>
      <w:bookmarkEnd w:id="664"/>
      <w:r>
        <w:t xml:space="preserve">Section 1202(c) of the Code; </w:t>
      </w:r>
      <w:r>
        <w:rPr>
          <w:u w:val="single"/>
        </w:rPr>
        <w:t>provided</w:t>
      </w:r>
      <w:r>
        <w:t xml:space="preserve">, </w:t>
      </w:r>
      <w:r>
        <w:rPr>
          <w:u w:val="single"/>
        </w:rPr>
        <w:t>however</w:t>
      </w:r>
      <w:r>
        <w:t>, that such requirement shall not be applicable if the Board of Directors of the Company determines, in its good-faith business judgment, that such qualification is inconsistent with the best interests of the Company.  The Company shall submit to its stockholders (including the Investors) and to the Internal Revenue Service any reports that may be required under Section 1202(d)(1)(C) of the Code and the regulations promulgated thereunder.  In addition, within twenty (20) business days after any Investor’s written request therefor, the Company shall, at its option, either (i) deliver to such Investor a written statement indicating whether (and what portion of) such Investor’s interest in the Company constitutes “qualified small business stock” as defined in Section 1202(c) of the Code or (ii) deliver to such Investor such factual information in the Company’s possession as is reasonably necessary to enable such Investor to determine whether (and what portion of) such Investor’s interest in the Company constitutes “qualified small business stock” as defined in Section 1202(c) of the Code.]</w:t>
      </w:r>
      <w:bookmarkStart w:id="666" w:name="_DV_M330"/>
      <w:bookmarkEnd w:id="658"/>
      <w:bookmarkEnd w:id="659"/>
      <w:bookmarkEnd w:id="666"/>
      <w:r>
        <w:t xml:space="preserve">  </w:t>
      </w:r>
      <w:bookmarkStart w:id="667" w:name="_Toc116180689"/>
      <w:bookmarkStart w:id="668" w:name="_Toc30227811"/>
      <w:bookmarkStart w:id="669" w:name="_Toc131593479"/>
      <w:bookmarkStart w:id="670" w:name="_Toc136067428"/>
      <w:bookmarkEnd w:id="665"/>
    </w:p>
    <w:p w:rsidR="00B95ADB" w:rsidRDefault="00B95ADB">
      <w:pPr>
        <w:pStyle w:val="Heading2"/>
        <w:ind w:left="0" w:firstLine="1800"/>
        <w:rPr>
          <w:vanish/>
          <w:specVanish/>
        </w:rPr>
      </w:pPr>
      <w:bookmarkStart w:id="671" w:name="_DV_M331"/>
      <w:bookmarkStart w:id="672" w:name="_Toc165866788"/>
      <w:bookmarkStart w:id="673" w:name="_Toc505091167"/>
      <w:bookmarkEnd w:id="671"/>
      <w:r>
        <w:t>Matters Requiring Investor Director Approval</w:t>
      </w:r>
      <w:bookmarkEnd w:id="673"/>
    </w:p>
    <w:p w:rsidR="00B95ADB" w:rsidRDefault="00B95ADB">
      <w:pPr>
        <w:pStyle w:val="Bod"/>
        <w:ind w:firstLine="1800"/>
      </w:pPr>
      <w:r>
        <w:t>.</w:t>
      </w:r>
      <w:bookmarkStart w:id="674" w:name="_DV_M334"/>
      <w:bookmarkEnd w:id="667"/>
      <w:bookmarkEnd w:id="672"/>
      <w:bookmarkEnd w:id="674"/>
      <w:r>
        <w:rPr>
          <w:rStyle w:val="FootnoteReference"/>
        </w:rPr>
        <w:footnoteReference w:id="51"/>
      </w:r>
      <w:r>
        <w:t xml:space="preserve">  So long as the holders of Series A Preferred Stock are entitled to elect a Series A Director, the Company hereby covenants and agrees with each of the Investors that it shall not, without approval of the Board of Directors, which approval must include the affirmative vote of</w:t>
      </w:r>
      <w:bookmarkStart w:id="675" w:name="_DV_M335"/>
      <w:bookmarkEnd w:id="668"/>
      <w:bookmarkEnd w:id="675"/>
      <w:r>
        <w:t xml:space="preserve"> [one/both] of the Series A Directors:</w:t>
      </w:r>
      <w:bookmarkEnd w:id="669"/>
      <w:bookmarkEnd w:id="670"/>
      <w:r>
        <w:rPr>
          <w:rStyle w:val="FootnoteReference"/>
        </w:rPr>
        <w:footnoteReference w:id="52"/>
      </w:r>
    </w:p>
    <w:p w:rsidR="00B95ADB" w:rsidRDefault="00B95ADB">
      <w:pPr>
        <w:pStyle w:val="Heading3"/>
      </w:pPr>
      <w:bookmarkStart w:id="676" w:name="_DV_M336"/>
      <w:bookmarkStart w:id="677" w:name="_Toc136067429"/>
      <w:bookmarkEnd w:id="676"/>
      <w:r>
        <w:t>make, or permit any subsidiary to make, any loan or advance to, or own any stock or other securities of, any subsidiary or other corporation, partnership, or other entity unless it is wholly owned by the Company;</w:t>
      </w:r>
      <w:bookmarkStart w:id="678" w:name="_Toc136067430"/>
      <w:bookmarkEnd w:id="677"/>
    </w:p>
    <w:p w:rsidR="00B95ADB" w:rsidRDefault="00B95ADB">
      <w:pPr>
        <w:pStyle w:val="Heading3"/>
      </w:pPr>
      <w:bookmarkStart w:id="679" w:name="_DV_M337"/>
      <w:bookmarkEnd w:id="679"/>
      <w:r>
        <w:t>make, or permit any subsidiary to make, any loan or advance to any Person, including, without limitation, any employee or director of the Company or any subsidiary, except advances and similar expenditures in the ordinary course of business or under the terms of an employee stock or option plan approved by the Board of Directors;</w:t>
      </w:r>
      <w:bookmarkStart w:id="680" w:name="_Toc136067431"/>
      <w:bookmarkEnd w:id="678"/>
    </w:p>
    <w:p w:rsidR="00B95ADB" w:rsidRDefault="00B95ADB">
      <w:pPr>
        <w:pStyle w:val="Heading3"/>
      </w:pPr>
      <w:bookmarkStart w:id="681" w:name="_DV_M338"/>
      <w:bookmarkEnd w:id="681"/>
      <w:r>
        <w:t>guarantee, directly or indirectly, or permit any subsidiary to guarantee, directly or indirectly, any indebtedness except for trade accounts of the Company or any subsidiary arising in the ordinary course of business;</w:t>
      </w:r>
      <w:bookmarkStart w:id="682" w:name="_DV_M339"/>
      <w:bookmarkEnd w:id="680"/>
      <w:bookmarkEnd w:id="682"/>
      <w:r>
        <w:t xml:space="preserve"> </w:t>
      </w:r>
      <w:bookmarkStart w:id="683" w:name="_Toc136067432"/>
    </w:p>
    <w:p w:rsidR="00B95ADB" w:rsidRDefault="00B95ADB">
      <w:pPr>
        <w:pStyle w:val="Heading3"/>
      </w:pPr>
      <w:bookmarkStart w:id="684" w:name="_DV_M340"/>
      <w:bookmarkEnd w:id="684"/>
      <w:r>
        <w:t>make any investment inconsistent with any investment policy approved by the Board of Directors;</w:t>
      </w:r>
      <w:bookmarkStart w:id="685" w:name="_DV_M341"/>
      <w:bookmarkEnd w:id="683"/>
      <w:bookmarkEnd w:id="685"/>
      <w:r>
        <w:t xml:space="preserve"> </w:t>
      </w:r>
      <w:bookmarkStart w:id="686" w:name="_Toc136067433"/>
    </w:p>
    <w:p w:rsidR="00B95ADB" w:rsidRDefault="00B95ADB">
      <w:pPr>
        <w:pStyle w:val="Heading3"/>
      </w:pPr>
      <w:bookmarkStart w:id="687" w:name="_DV_M342"/>
      <w:bookmarkEnd w:id="687"/>
      <w:r>
        <w:t>incur any aggregate indebtedness in excess of $[_____] that is not already included in a budget approved by the Board of Directors, other than trade credit incurred in the ordinary course of business;</w:t>
      </w:r>
      <w:bookmarkStart w:id="688" w:name="_DV_M343"/>
      <w:bookmarkEnd w:id="686"/>
      <w:bookmarkEnd w:id="688"/>
      <w:r>
        <w:t xml:space="preserve"> </w:t>
      </w:r>
      <w:bookmarkStart w:id="689" w:name="_Toc136067434"/>
    </w:p>
    <w:p w:rsidR="00B95ADB" w:rsidRDefault="00B95ADB">
      <w:pPr>
        <w:pStyle w:val="Heading3"/>
      </w:pPr>
      <w:bookmarkStart w:id="690" w:name="_DV_M344"/>
      <w:bookmarkEnd w:id="690"/>
      <w:r>
        <w:t>otherwise enter into or be a party to any transaction with any director, officer, or employee of the Company or any “associate” (as defined in Rule 12b-2 promulgated under the Exchange Act) of any such Person</w:t>
      </w:r>
      <w:r>
        <w:rPr>
          <w:lang w:val="en-US"/>
        </w:rPr>
        <w:t>[, including without limitation any “management bonus” or similar plan</w:t>
      </w:r>
      <w:r w:rsidR="00CB5123">
        <w:rPr>
          <w:lang w:val="en-US"/>
        </w:rPr>
        <w:t xml:space="preserve"> providing payments to employees in connection with </w:t>
      </w:r>
      <w:r w:rsidR="00CB5123">
        <w:t>a Deemed Liquidation Event, as such term is defined in the Certificate of Incorporation</w:t>
      </w:r>
      <w:r>
        <w:rPr>
          <w:lang w:val="en-US"/>
        </w:rPr>
        <w:t>]</w:t>
      </w:r>
      <w:r>
        <w:t>, except for transactions contemplated by this Agreement, the Purchase Agreement, and [_____][; transactions resulting in payments to or by the Company in an aggregate amount less than $[60,000] per year][; or transactions made in the ordinary course of business and pursuant to reasonable requirements of the Company’s business and upon fair and reasonable terms that are approved by a majority of the Board of Directors];</w:t>
      </w:r>
      <w:bookmarkStart w:id="691" w:name="_DV_M345"/>
      <w:bookmarkEnd w:id="689"/>
      <w:bookmarkEnd w:id="691"/>
      <w:r>
        <w:t xml:space="preserve"> </w:t>
      </w:r>
      <w:bookmarkStart w:id="692" w:name="_Toc136067435"/>
    </w:p>
    <w:p w:rsidR="00B95ADB" w:rsidRDefault="00B95ADB">
      <w:pPr>
        <w:pStyle w:val="Heading3"/>
      </w:pPr>
      <w:bookmarkStart w:id="693" w:name="_DV_M346"/>
      <w:bookmarkEnd w:id="693"/>
      <w:r>
        <w:t>hire, terminate, or change the compensation of the executive officers, including approving any option grants or stock awards to executive officers;</w:t>
      </w:r>
      <w:bookmarkStart w:id="694" w:name="_Toc136067436"/>
      <w:bookmarkEnd w:id="692"/>
    </w:p>
    <w:p w:rsidR="00B95ADB" w:rsidRDefault="00B95ADB">
      <w:pPr>
        <w:pStyle w:val="Heading3"/>
      </w:pPr>
      <w:bookmarkStart w:id="695" w:name="_DV_M347"/>
      <w:bookmarkEnd w:id="695"/>
      <w:r>
        <w:t>change the principal business of the Company, enter new lines of business, or exit the current line of business;</w:t>
      </w:r>
      <w:bookmarkStart w:id="696" w:name="_DV_M348"/>
      <w:bookmarkEnd w:id="694"/>
      <w:bookmarkEnd w:id="696"/>
      <w:r>
        <w:t xml:space="preserve"> </w:t>
      </w:r>
      <w:bookmarkStart w:id="697" w:name="_Toc136067437"/>
    </w:p>
    <w:p w:rsidR="00B95ADB" w:rsidRDefault="00B95ADB">
      <w:pPr>
        <w:pStyle w:val="Heading3"/>
      </w:pPr>
      <w:bookmarkStart w:id="698" w:name="_DV_M349"/>
      <w:bookmarkEnd w:id="698"/>
      <w:r>
        <w:t>sell, assign, license, pledge, or encumber material technology or intellectual property, other than licenses granted in the ordinary course of business; or</w:t>
      </w:r>
      <w:bookmarkStart w:id="699" w:name="_Toc136067438"/>
      <w:bookmarkEnd w:id="697"/>
    </w:p>
    <w:p w:rsidR="00B95ADB" w:rsidRDefault="00B95ADB">
      <w:pPr>
        <w:pStyle w:val="Heading3"/>
      </w:pPr>
      <w:bookmarkStart w:id="700" w:name="_DV_M350"/>
      <w:bookmarkEnd w:id="700"/>
      <w:r>
        <w:t>enter into any corporate strategic relationship involving the payment, contribution, or assignment by the Company or to the Company of money or assets greater than $[100,000].</w:t>
      </w:r>
      <w:bookmarkStart w:id="701" w:name="_DV_M351"/>
      <w:bookmarkEnd w:id="699"/>
      <w:bookmarkEnd w:id="701"/>
      <w:r>
        <w:t xml:space="preserve">  </w:t>
      </w:r>
    </w:p>
    <w:p w:rsidR="00B95ADB" w:rsidRDefault="00B95ADB">
      <w:pPr>
        <w:pStyle w:val="Heading2"/>
        <w:tabs>
          <w:tab w:val="left" w:pos="2160"/>
        </w:tabs>
        <w:ind w:left="0" w:firstLine="1800"/>
        <w:rPr>
          <w:vanish/>
          <w:u w:val="none"/>
          <w:specVanish/>
        </w:rPr>
      </w:pPr>
      <w:bookmarkStart w:id="702" w:name="_DV_M352"/>
      <w:bookmarkStart w:id="703" w:name="_Toc116180690"/>
      <w:bookmarkStart w:id="704" w:name="_Toc165866789"/>
      <w:bookmarkStart w:id="705" w:name="_Toc131593480"/>
      <w:bookmarkStart w:id="706" w:name="_Toc136067439"/>
      <w:bookmarkStart w:id="707" w:name="_Toc505091168"/>
      <w:bookmarkEnd w:id="702"/>
      <w:r>
        <w:t>Board Matters</w:t>
      </w:r>
      <w:bookmarkEnd w:id="707"/>
    </w:p>
    <w:p w:rsidR="00B95ADB" w:rsidRDefault="00B95ADB">
      <w:pPr>
        <w:pStyle w:val="Bod"/>
        <w:tabs>
          <w:tab w:val="left" w:pos="2160"/>
        </w:tabs>
        <w:ind w:firstLine="1800"/>
      </w:pPr>
      <w:r>
        <w:t>.  Unless otherwise determined by the vote of a majority of the directors then in office, the Board of Directors shall meet at least [monthly][quarterly] in accordance with an agreed-upon schedule.</w:t>
      </w:r>
      <w:bookmarkStart w:id="708" w:name="_DV_M353"/>
      <w:bookmarkStart w:id="709" w:name="_DV_M354"/>
      <w:bookmarkEnd w:id="703"/>
      <w:bookmarkEnd w:id="704"/>
      <w:bookmarkEnd w:id="705"/>
      <w:bookmarkEnd w:id="706"/>
      <w:bookmarkEnd w:id="708"/>
      <w:bookmarkEnd w:id="709"/>
      <w:r>
        <w:t xml:space="preserve">  The Company shall reimburse the [nonemployee] directors for all reasonable out-of-pocket travel expenses incurred (consistent with the Company’s travel policy) in connection with attending meetings of the Board of Directors.  [The Company shall cause to be established, as soon as practicable after such request, and will maintain, an audit and compensation committee, each of which shall consist solely of non-management directors.  Each non-employee director shall be entitled in such person’s discretion to be a member of any committee</w:t>
      </w:r>
      <w:r w:rsidR="00DE149C">
        <w:t xml:space="preserve"> of the Board of Directors</w:t>
      </w:r>
      <w:r>
        <w:t xml:space="preserve">.] </w:t>
      </w:r>
    </w:p>
    <w:p w:rsidR="00B95ADB" w:rsidRDefault="00B95ADB">
      <w:pPr>
        <w:pStyle w:val="Heading2"/>
        <w:tabs>
          <w:tab w:val="left" w:pos="2160"/>
        </w:tabs>
        <w:ind w:left="0" w:firstLine="1800"/>
        <w:rPr>
          <w:vanish/>
          <w:specVanish/>
        </w:rPr>
      </w:pPr>
      <w:bookmarkStart w:id="710" w:name="_Ref431298762"/>
      <w:bookmarkStart w:id="711" w:name="_Toc505091169"/>
      <w:r>
        <w:t>Successor Indemnification</w:t>
      </w:r>
      <w:bookmarkEnd w:id="710"/>
      <w:bookmarkEnd w:id="711"/>
    </w:p>
    <w:p w:rsidR="00B95ADB" w:rsidRDefault="00B95ADB">
      <w:pPr>
        <w:pStyle w:val="Bod"/>
        <w:tabs>
          <w:tab w:val="left" w:pos="2160"/>
        </w:tabs>
        <w:ind w:firstLine="1800"/>
      </w:pPr>
      <w:r>
        <w:t xml:space="preserve">.  If the Company or any of its successors or assignees consolidates with or merges into any other Person and is not the continuing or surviving corporation or entity of such consolidation or merger, then to the extent necessary, proper provision shall be made so that the successors and assignees of the Company assume the obligations of the Company with respect to indemnification of members of the Board of Directors as in effect immediately before such transaction, whether such obligations are contained in the Company’s Bylaws, </w:t>
      </w:r>
      <w:r w:rsidR="00DE149C">
        <w:t>the</w:t>
      </w:r>
      <w:r>
        <w:t xml:space="preserve"> Certificate of Incorporation, or elsewhere, as the case may be.</w:t>
      </w:r>
    </w:p>
    <w:p w:rsidR="00B95ADB" w:rsidRDefault="00B95ADB">
      <w:pPr>
        <w:pStyle w:val="Heading2"/>
        <w:tabs>
          <w:tab w:val="left" w:pos="2160"/>
        </w:tabs>
        <w:ind w:left="0" w:firstLine="1800"/>
        <w:rPr>
          <w:vanish/>
          <w:szCs w:val="16"/>
          <w:specVanish/>
        </w:rPr>
      </w:pPr>
      <w:bookmarkStart w:id="712" w:name="_Toc131593482"/>
      <w:bookmarkStart w:id="713" w:name="_Toc136067441"/>
      <w:bookmarkStart w:id="714" w:name="_Toc116180692"/>
      <w:bookmarkStart w:id="715" w:name="_DV_M355"/>
      <w:bookmarkStart w:id="716" w:name="_DV_M356"/>
      <w:bookmarkStart w:id="717" w:name="_Ref431298773"/>
      <w:bookmarkStart w:id="718" w:name="_Toc505091170"/>
      <w:bookmarkEnd w:id="715"/>
      <w:bookmarkEnd w:id="716"/>
      <w:r>
        <w:rPr>
          <w:u w:val="none"/>
        </w:rPr>
        <w:t>[</w:t>
      </w:r>
      <w:r>
        <w:t>Expenses of Counsel</w:t>
      </w:r>
      <w:bookmarkEnd w:id="717"/>
      <w:bookmarkEnd w:id="718"/>
    </w:p>
    <w:p w:rsidR="00B95ADB" w:rsidRDefault="00B95ADB">
      <w:pPr>
        <w:pStyle w:val="Bod"/>
        <w:tabs>
          <w:tab w:val="left" w:pos="2160"/>
        </w:tabs>
        <w:ind w:firstLine="1800"/>
        <w:rPr>
          <w:szCs w:val="16"/>
        </w:rPr>
      </w:pPr>
      <w:r>
        <w:t xml:space="preserve">.  In the event of a transaction which is a Sale of the Company (as defined in the </w:t>
      </w:r>
      <w:r w:rsidR="00DE149C">
        <w:t xml:space="preserve">[Amended and Restated] </w:t>
      </w:r>
      <w:r>
        <w:t>Voting Agreement of even date herewith among</w:t>
      </w:r>
      <w:r w:rsidR="00D80089">
        <w:t xml:space="preserve"> the Investors, </w:t>
      </w:r>
      <w:r>
        <w:t>the Company</w:t>
      </w:r>
      <w:r w:rsidR="00DE149C">
        <w:t xml:space="preserve"> and the other parties named therein</w:t>
      </w:r>
      <w:r>
        <w:t>), the reasonable fees and disbursements[, not to exceed $_____,] of one counsel for the [Major] Investors (“</w:t>
      </w:r>
      <w:r w:rsidR="00DE149C">
        <w:rPr>
          <w:b/>
          <w:bCs/>
        </w:rPr>
        <w:t xml:space="preserve">Investor </w:t>
      </w:r>
      <w:r>
        <w:rPr>
          <w:b/>
          <w:bCs/>
        </w:rPr>
        <w:t>Counsel</w:t>
      </w:r>
      <w:r>
        <w:t>”), in their capacities as stockholders, shall be borne and paid by the Company.  At the outset of considering a transaction which, if consummated would constitute a Sale of the Company, the Company shall obtain the ability to share with the Investor Counsel (and such counsel's clients) and shall share the confidential information (including, without limitation, the initial and all subsequent drafts of memoranda of understanding, letters of intent and other transaction documents and related noncompete, employment, consulting and other compensation agreements and plans) pertaining to and memorializing any of the transactions which, individually or when aggregated with others would constitute the Sale of the Company.  The Company shall be obligated to share (and cause the Company's counsel and investment bankers to share) such materials when distributed to the Company's executives and/or any one or more of the other parties to such transaction(s).  In the event that Investor  Counsel deems it appropriate, in its reasonable discretion, to enter into a joint defense agreement or other arrangement to enhance the ability of the parties to protect their communications and other reviewed materials under the attorney client privilege, the Company shall, and shall direct its counsel to, execute and deliver to Investor Counsel and its clients such an agreement in form and substance reasonably acceptable to Investor Counsel. In the event that one or more of the other party or parties to such transactions require the clients of Investor Counsel to enter into a confidentiality agreement and/or joint defense agreement in order to receive such information, then the Company shall share whatever information can be shared without entry into such agreement and shall, at the same time, in good faith work expeditiously to enable Investor Counsel and its clients to negotiate and enter into the appropriate agreement(s) without undue burden to the clients of Investor Counsel.]</w:t>
      </w:r>
      <w:r>
        <w:rPr>
          <w:rStyle w:val="FootnoteReference"/>
          <w:color w:val="000000"/>
        </w:rPr>
        <w:footnoteReference w:id="53"/>
      </w:r>
    </w:p>
    <w:p w:rsidR="00B95ADB" w:rsidRDefault="00B95ADB">
      <w:pPr>
        <w:pStyle w:val="Heading2"/>
        <w:tabs>
          <w:tab w:val="left" w:pos="2160"/>
        </w:tabs>
        <w:ind w:left="0" w:firstLine="1800"/>
        <w:rPr>
          <w:vanish/>
          <w:color w:val="000000"/>
          <w:szCs w:val="16"/>
          <w:specVanish/>
        </w:rPr>
      </w:pPr>
      <w:bookmarkStart w:id="719" w:name="_Ref474937358"/>
      <w:bookmarkStart w:id="720" w:name="_Ref474937399"/>
      <w:bookmarkStart w:id="721" w:name="_Toc505091171"/>
      <w:r>
        <w:rPr>
          <w:color w:val="000000"/>
          <w:szCs w:val="16"/>
          <w:u w:val="none"/>
        </w:rPr>
        <w:t>[</w:t>
      </w:r>
      <w:r>
        <w:rPr>
          <w:color w:val="000000"/>
          <w:szCs w:val="16"/>
        </w:rPr>
        <w:t>Indemnification Matters</w:t>
      </w:r>
      <w:bookmarkEnd w:id="719"/>
      <w:bookmarkEnd w:id="720"/>
      <w:bookmarkEnd w:id="721"/>
    </w:p>
    <w:p w:rsidR="00B95ADB" w:rsidRDefault="00B95ADB">
      <w:pPr>
        <w:pStyle w:val="Bod"/>
        <w:tabs>
          <w:tab w:val="left" w:pos="2160"/>
        </w:tabs>
        <w:ind w:firstLine="1800"/>
      </w:pPr>
      <w:r>
        <w:rPr>
          <w:color w:val="000000"/>
          <w:szCs w:val="16"/>
        </w:rPr>
        <w:t xml:space="preserve">.  </w:t>
      </w:r>
      <w:r>
        <w:t>The Company hereby acknowledges that one (1) or more of the directors nominated to serve on the Board of Directors by the Investors (each a</w:t>
      </w:r>
      <w:r w:rsidR="00DE149C">
        <w:t>n</w:t>
      </w:r>
      <w:r>
        <w:t xml:space="preserve"> “</w:t>
      </w:r>
      <w:r w:rsidR="00DE149C">
        <w:rPr>
          <w:b/>
        </w:rPr>
        <w:t xml:space="preserve">Investor </w:t>
      </w:r>
      <w:r>
        <w:rPr>
          <w:b/>
        </w:rPr>
        <w:t>Director</w:t>
      </w:r>
      <w:r>
        <w:t xml:space="preserve">”) may have certain rights to indemnification, advancement of expenses and/or insurance provided by one or more of the </w:t>
      </w:r>
      <w:r w:rsidR="00DE149C">
        <w:t>Investors and certain of their A</w:t>
      </w:r>
      <w:r>
        <w:t>ffiliates (collectively, the “</w:t>
      </w:r>
      <w:r w:rsidR="00DE149C">
        <w:rPr>
          <w:b/>
        </w:rPr>
        <w:t xml:space="preserve">Investor </w:t>
      </w:r>
      <w:r>
        <w:rPr>
          <w:b/>
        </w:rPr>
        <w:t>Indemnitors</w:t>
      </w:r>
      <w:r>
        <w:t>”).  The Company hereby agrees (a) that it is the indemnitor of first resort (</w:t>
      </w:r>
      <w:r>
        <w:rPr>
          <w:i/>
        </w:rPr>
        <w:t>i.e.</w:t>
      </w:r>
      <w:r>
        <w:t xml:space="preserve">, its obligations to any such </w:t>
      </w:r>
      <w:r w:rsidR="00DE149C">
        <w:t>Investor</w:t>
      </w:r>
      <w:r>
        <w:t xml:space="preserve"> Director are primary and any obligation of the </w:t>
      </w:r>
      <w:r w:rsidR="00DE149C">
        <w:t>Investor</w:t>
      </w:r>
      <w:r>
        <w:t xml:space="preserve"> Indemnitors to advance expenses or to provide indemnification for the same expenses or liabilities incurred by such </w:t>
      </w:r>
      <w:r w:rsidR="00DE149C">
        <w:t>Investor</w:t>
      </w:r>
      <w:r>
        <w:t xml:space="preserve"> Director are secondary), (b) that it shall be required to advance the full amount of expenses incurred by such </w:t>
      </w:r>
      <w:r w:rsidR="00DE149C">
        <w:t>Investor</w:t>
      </w:r>
      <w:r>
        <w:t xml:space="preserve"> Director and shall be liable for the full amount of all expenses, judgments, penalties, fines and amounts paid in settlement by or on behalf of any such </w:t>
      </w:r>
      <w:r w:rsidR="00DE149C">
        <w:t>Investor</w:t>
      </w:r>
      <w:r>
        <w:t xml:space="preserve"> Director to the extent legally permitted and as required by the Company’s Certificate of Incorporation or Bylaws of the Company (or any agreement between the Company and such </w:t>
      </w:r>
      <w:r w:rsidR="00DE149C">
        <w:t>Investor</w:t>
      </w:r>
      <w:r>
        <w:t xml:space="preserve"> Director), without regard to any rights such </w:t>
      </w:r>
      <w:r w:rsidR="00DE149C">
        <w:t>Investor</w:t>
      </w:r>
      <w:r>
        <w:t xml:space="preserve"> Director may have against the </w:t>
      </w:r>
      <w:r w:rsidR="00DE149C">
        <w:t>Investor</w:t>
      </w:r>
      <w:r>
        <w:t xml:space="preserve"> Indemnitors, and, (c) that it irrevocably waives, relinquishes and releases the </w:t>
      </w:r>
      <w:r w:rsidR="00DE149C">
        <w:t>Investor</w:t>
      </w:r>
      <w:r>
        <w:t xml:space="preserve"> Indemnitors from any and all claims against the </w:t>
      </w:r>
      <w:r w:rsidR="00DE149C">
        <w:t>Investor</w:t>
      </w:r>
      <w:r>
        <w:t xml:space="preserve"> Indemnitors for contribution, subrogation or any other recovery of any kind in respect thereof.  The Company further agrees that no advancement or payment by the </w:t>
      </w:r>
      <w:r w:rsidR="00DE149C">
        <w:t>Investor</w:t>
      </w:r>
      <w:r>
        <w:t xml:space="preserve"> Indemnitors on behalf of any such </w:t>
      </w:r>
      <w:r w:rsidR="00DE149C">
        <w:t>Investor</w:t>
      </w:r>
      <w:r>
        <w:t xml:space="preserve"> Director with respect to any claim for which such </w:t>
      </w:r>
      <w:r w:rsidR="00DE149C">
        <w:t>Investor</w:t>
      </w:r>
      <w:r>
        <w:t xml:space="preserve"> Director has sought indemnification from the Company shall affect the foregoing and the </w:t>
      </w:r>
      <w:r w:rsidR="00DE149C">
        <w:t>Investor</w:t>
      </w:r>
      <w:r>
        <w:t xml:space="preserve"> Indemnitors shall have a right of contribution and/or be subrogated to the extent of such advancement or payment to all of the rights of recovery of such </w:t>
      </w:r>
      <w:r w:rsidR="00DE149C">
        <w:t>Investor Director against the Company.  The Investor Directors and the Investor Indemnitors are intended third</w:t>
      </w:r>
      <w:r w:rsidR="00DE149C">
        <w:noBreakHyphen/>
        <w:t xml:space="preserve">party beneficiaries of this </w:t>
      </w:r>
      <w:r w:rsidR="00DE149C">
        <w:rPr>
          <w:u w:val="single"/>
        </w:rPr>
        <w:t>Subsection 5.9</w:t>
      </w:r>
      <w:r w:rsidR="00DE149C">
        <w:t xml:space="preserve"> and shall have the right, power and authority to enforce the provisions </w:t>
      </w:r>
      <w:r w:rsidR="008847F6">
        <w:t xml:space="preserve">of this </w:t>
      </w:r>
      <w:r w:rsidR="008847F6">
        <w:rPr>
          <w:u w:val="single"/>
        </w:rPr>
        <w:t xml:space="preserve">Subsection </w:t>
      </w:r>
      <w:r w:rsidR="008847F6">
        <w:rPr>
          <w:u w:val="single"/>
        </w:rPr>
        <w:fldChar w:fldCharType="begin"/>
      </w:r>
      <w:r w:rsidR="008847F6">
        <w:rPr>
          <w:u w:val="single"/>
        </w:rPr>
        <w:instrText xml:space="preserve"> REF _Ref474937358 \w \h </w:instrText>
      </w:r>
      <w:r w:rsidR="008847F6">
        <w:rPr>
          <w:u w:val="single"/>
        </w:rPr>
      </w:r>
      <w:r w:rsidR="008847F6">
        <w:rPr>
          <w:u w:val="single"/>
        </w:rPr>
        <w:fldChar w:fldCharType="separate"/>
      </w:r>
      <w:r w:rsidR="008847F6">
        <w:rPr>
          <w:u w:val="single"/>
        </w:rPr>
        <w:t>5.9</w:t>
      </w:r>
      <w:r w:rsidR="008847F6">
        <w:rPr>
          <w:u w:val="single"/>
        </w:rPr>
        <w:fldChar w:fldCharType="end"/>
      </w:r>
      <w:r w:rsidR="00DE149C">
        <w:t xml:space="preserve"> as though they were a party </w:t>
      </w:r>
      <w:r w:rsidR="008847F6">
        <w:t>to this Agreement</w:t>
      </w:r>
      <w:r>
        <w:t>.]</w:t>
      </w:r>
      <w:r>
        <w:rPr>
          <w:rStyle w:val="FootnoteReference"/>
        </w:rPr>
        <w:footnoteReference w:id="54"/>
      </w:r>
    </w:p>
    <w:p w:rsidR="00ED33DF" w:rsidRDefault="00ED33DF" w:rsidP="00ED33DF">
      <w:pPr>
        <w:pStyle w:val="Heading2"/>
        <w:tabs>
          <w:tab w:val="left" w:pos="2160"/>
        </w:tabs>
        <w:ind w:left="0" w:firstLine="1800"/>
        <w:rPr>
          <w:vanish/>
          <w:specVanish/>
        </w:rPr>
      </w:pPr>
      <w:bookmarkStart w:id="722" w:name="_Toc505091172"/>
      <w:r>
        <w:rPr>
          <w:rStyle w:val="Heading2Char"/>
          <w:lang w:val="en-US"/>
        </w:rPr>
        <w:t>[</w:t>
      </w:r>
      <w:r>
        <w:rPr>
          <w:rStyle w:val="Heading2Char"/>
        </w:rPr>
        <w:t>Right to Conduct Activities</w:t>
      </w:r>
      <w:bookmarkEnd w:id="722"/>
    </w:p>
    <w:p w:rsidR="00ED33DF" w:rsidRDefault="00ED33DF" w:rsidP="00ED33DF">
      <w:pPr>
        <w:pStyle w:val="Bod"/>
        <w:tabs>
          <w:tab w:val="left" w:pos="2160"/>
        </w:tabs>
        <w:ind w:firstLine="1800"/>
      </w:pPr>
      <w:r>
        <w:t>.  The Company hereby agrees and acknowledges that</w:t>
      </w:r>
      <w:r>
        <w:rPr>
          <w:b/>
          <w:bCs/>
        </w:rPr>
        <w:t xml:space="preserve"> </w:t>
      </w:r>
      <w:r>
        <w:t xml:space="preserve">[insert VC organization entity name] (together with its Affiliates) is a professional investment organization, and as such </w:t>
      </w:r>
      <w:r w:rsidR="00D80089">
        <w:t>reviews the business plans and related proprietary information of many enterprises</w:t>
      </w:r>
      <w:r>
        <w:t>, some of which may compete directly or indirectly with the Company’s business (as currently conducted or as currently propose to be conducted).  The Company hereby agrees that, to the extent permitted under applicable law, [VC organization entity name] (and its Affiliates) shall not be liable to the Company for any claim arising out of, or based upon, (i) the investment by [VC organization entity name] (or its Affiliates) in any entity competitive with the Company, or (ii) actions taken by any partner, officer, employee or other representative of [VC organization entity name]  (or its Affiliates) to assist any such competitive company, whether or not such action was taken as a member of the board of directors of such competitive company or otherwise, and whether or not such action has a detrimental effect on the Company; provided, however, that the foregoing shall not relieve (x) any of the Investors from liability associated with the unauthorized disclosure of the Company’s confidential information obtained pursuant to this Agreement, or (y) any director or officer of the Company from any liability associated with his or her fiduciary duties to the Company.]</w:t>
      </w:r>
    </w:p>
    <w:p w:rsidR="00013199" w:rsidRPr="005E01E7" w:rsidRDefault="00013199" w:rsidP="00013199">
      <w:pPr>
        <w:pStyle w:val="Heading2"/>
        <w:tabs>
          <w:tab w:val="left" w:pos="2160"/>
        </w:tabs>
        <w:ind w:left="0" w:firstLine="1800"/>
        <w:rPr>
          <w:vanish/>
          <w:color w:val="FF0000"/>
          <w:u w:val="none"/>
          <w:specVanish/>
        </w:rPr>
      </w:pPr>
      <w:bookmarkStart w:id="723" w:name="_Toc505091173"/>
      <w:r>
        <w:rPr>
          <w:lang w:val="en-US"/>
        </w:rPr>
        <w:t>[Ha</w:t>
      </w:r>
      <w:r w:rsidRPr="005E01E7">
        <w:rPr>
          <w:lang w:val="en-US"/>
        </w:rPr>
        <w:t>rassment Policy</w:t>
      </w:r>
      <w:bookmarkEnd w:id="723"/>
    </w:p>
    <w:p w:rsidR="00013199" w:rsidRPr="00013199" w:rsidRDefault="00013199" w:rsidP="00013199">
      <w:pPr>
        <w:pStyle w:val="HeadingBody2"/>
        <w:rPr>
          <w:lang w:val="en-US"/>
        </w:rPr>
      </w:pPr>
      <w:r w:rsidRPr="005E01E7">
        <w:t xml:space="preserve">. </w:t>
      </w:r>
      <w:r>
        <w:rPr>
          <w:lang w:val="en-US"/>
        </w:rPr>
        <w:t xml:space="preserve"> </w:t>
      </w:r>
      <w:r w:rsidRPr="00013199">
        <w:t>The Company shall, within sixty (60) days following the Closing</w:t>
      </w:r>
      <w:r>
        <w:rPr>
          <w:lang w:val="en-US"/>
        </w:rPr>
        <w:t xml:space="preserve"> (as defined in the Purchase Agreement)</w:t>
      </w:r>
      <w:r w:rsidRPr="00013199">
        <w:t xml:space="preserve">, adopt </w:t>
      </w:r>
      <w:r>
        <w:rPr>
          <w:lang w:val="en-US"/>
        </w:rPr>
        <w:t xml:space="preserve">and thereafter maintain in effect (i) </w:t>
      </w:r>
      <w:r w:rsidRPr="00013199">
        <w:t xml:space="preserve">a Code of Conduct governing appropriate workplace behavior and </w:t>
      </w:r>
      <w:r>
        <w:rPr>
          <w:lang w:val="en-US"/>
        </w:rPr>
        <w:t xml:space="preserve">(ii) </w:t>
      </w:r>
      <w:r w:rsidRPr="00013199">
        <w:t>an Anti-Harassment and Discrimination Policy prohibiting discrimination and harassment at the Company.  Su</w:t>
      </w:r>
      <w:r>
        <w:t>ch policy shall be reviewed and approved by</w:t>
      </w:r>
      <w:r w:rsidR="00935A1D">
        <w:rPr>
          <w:lang w:val="en-US"/>
        </w:rPr>
        <w:t xml:space="preserve"> the</w:t>
      </w:r>
      <w:r>
        <w:t xml:space="preserve"> </w:t>
      </w:r>
      <w:r w:rsidRPr="00013199">
        <w:t>Board of Directors.</w:t>
      </w:r>
      <w:r>
        <w:rPr>
          <w:lang w:val="en-US"/>
        </w:rPr>
        <w:t>]</w:t>
      </w:r>
    </w:p>
    <w:p w:rsidR="00ED33DF" w:rsidRDefault="00ED33DF" w:rsidP="00ED33DF">
      <w:pPr>
        <w:pStyle w:val="Heading2"/>
        <w:tabs>
          <w:tab w:val="left" w:pos="2160"/>
        </w:tabs>
        <w:ind w:left="0" w:firstLine="1800"/>
        <w:rPr>
          <w:vanish/>
          <w:specVanish/>
        </w:rPr>
      </w:pPr>
      <w:bookmarkStart w:id="724" w:name="_Toc505091174"/>
      <w:r>
        <w:t>Termination of Covenants</w:t>
      </w:r>
      <w:bookmarkEnd w:id="724"/>
    </w:p>
    <w:p w:rsidR="0093564E" w:rsidRDefault="00ED33DF" w:rsidP="00FD46FA">
      <w:pPr>
        <w:pStyle w:val="Bod"/>
        <w:tabs>
          <w:tab w:val="left" w:pos="2160"/>
        </w:tabs>
        <w:ind w:firstLine="1800"/>
      </w:pPr>
      <w:r>
        <w:t xml:space="preserve">. The covenants set forth in this </w:t>
      </w:r>
      <w:r w:rsidRPr="00EE636D">
        <w:rPr>
          <w:u w:val="single"/>
        </w:rPr>
        <w:t xml:space="preserve">Section </w:t>
      </w:r>
      <w:r w:rsidRPr="00EE636D">
        <w:rPr>
          <w:u w:val="single"/>
        </w:rPr>
        <w:fldChar w:fldCharType="begin"/>
      </w:r>
      <w:r w:rsidRPr="00EE636D">
        <w:rPr>
          <w:u w:val="single"/>
        </w:rPr>
        <w:instrText xml:space="preserve"> REF _Ref264906304 \r \h </w:instrText>
      </w:r>
      <w:r w:rsidRPr="00EE636D">
        <w:rPr>
          <w:u w:val="single"/>
        </w:rPr>
      </w:r>
      <w:r>
        <w:rPr>
          <w:u w:val="single"/>
        </w:rPr>
        <w:instrText xml:space="preserve"> \* MERGEFORMAT </w:instrText>
      </w:r>
      <w:r w:rsidRPr="00EE636D">
        <w:rPr>
          <w:u w:val="single"/>
        </w:rPr>
        <w:fldChar w:fldCharType="separate"/>
      </w:r>
      <w:r>
        <w:rPr>
          <w:u w:val="single"/>
        </w:rPr>
        <w:t>5</w:t>
      </w:r>
      <w:r w:rsidRPr="00EE636D">
        <w:rPr>
          <w:u w:val="single"/>
        </w:rPr>
        <w:fldChar w:fldCharType="end"/>
      </w:r>
      <w:r>
        <w:t xml:space="preserve">, except for </w:t>
      </w:r>
      <w:r>
        <w:rPr>
          <w:u w:val="single"/>
        </w:rPr>
        <w:t xml:space="preserve">Subsection[s] </w:t>
      </w:r>
      <w:r>
        <w:rPr>
          <w:u w:val="single"/>
        </w:rPr>
        <w:fldChar w:fldCharType="begin"/>
      </w:r>
      <w:r>
        <w:rPr>
          <w:u w:val="single"/>
        </w:rPr>
        <w:instrText xml:space="preserve"> REF _Ref431298762 \w \h </w:instrText>
      </w:r>
      <w:r>
        <w:rPr>
          <w:u w:val="single"/>
        </w:rPr>
      </w:r>
      <w:r>
        <w:rPr>
          <w:u w:val="single"/>
        </w:rPr>
        <w:fldChar w:fldCharType="separate"/>
      </w:r>
      <w:r>
        <w:rPr>
          <w:u w:val="single"/>
        </w:rPr>
        <w:t>5.7</w:t>
      </w:r>
      <w:r>
        <w:rPr>
          <w:u w:val="single"/>
        </w:rPr>
        <w:fldChar w:fldCharType="end"/>
      </w:r>
      <w:r w:rsidR="00604B67">
        <w:rPr>
          <w:u w:val="single"/>
        </w:rPr>
        <w:t>,</w:t>
      </w:r>
      <w:r>
        <w:rPr>
          <w:bCs/>
        </w:rPr>
        <w:t xml:space="preserve"> [</w:t>
      </w:r>
      <w:r w:rsidRPr="00EE636D">
        <w:rPr>
          <w:bCs/>
          <w:u w:val="single"/>
        </w:rPr>
        <w:fldChar w:fldCharType="begin"/>
      </w:r>
      <w:r w:rsidRPr="00EE636D">
        <w:rPr>
          <w:bCs/>
          <w:u w:val="single"/>
        </w:rPr>
        <w:instrText xml:space="preserve"> REF _Ref431298773 \w \h </w:instrText>
      </w:r>
      <w:r w:rsidRPr="00EE636D">
        <w:rPr>
          <w:bCs/>
          <w:u w:val="single"/>
        </w:rPr>
      </w:r>
      <w:r>
        <w:rPr>
          <w:bCs/>
          <w:u w:val="single"/>
        </w:rPr>
        <w:instrText xml:space="preserve"> \* MERGEFORMAT </w:instrText>
      </w:r>
      <w:r w:rsidRPr="00EE636D">
        <w:rPr>
          <w:bCs/>
          <w:u w:val="single"/>
        </w:rPr>
        <w:fldChar w:fldCharType="separate"/>
      </w:r>
      <w:r>
        <w:rPr>
          <w:bCs/>
          <w:u w:val="single"/>
        </w:rPr>
        <w:t>5.8</w:t>
      </w:r>
      <w:r w:rsidRPr="00EE636D">
        <w:rPr>
          <w:bCs/>
          <w:u w:val="single"/>
        </w:rPr>
        <w:fldChar w:fldCharType="end"/>
      </w:r>
      <w:r w:rsidR="00604B67">
        <w:rPr>
          <w:bCs/>
        </w:rPr>
        <w:t xml:space="preserve"> and </w:t>
      </w:r>
      <w:r w:rsidR="008847F6" w:rsidRPr="008847F6">
        <w:rPr>
          <w:bCs/>
          <w:u w:val="single"/>
        </w:rPr>
        <w:fldChar w:fldCharType="begin"/>
      </w:r>
      <w:r w:rsidR="008847F6" w:rsidRPr="008847F6">
        <w:rPr>
          <w:bCs/>
          <w:u w:val="single"/>
        </w:rPr>
        <w:instrText xml:space="preserve"> REF _Ref474937399 \w \h </w:instrText>
      </w:r>
      <w:r w:rsidR="008847F6" w:rsidRPr="008847F6">
        <w:rPr>
          <w:bCs/>
          <w:u w:val="single"/>
        </w:rPr>
      </w:r>
      <w:r w:rsidR="008847F6" w:rsidRPr="008847F6">
        <w:rPr>
          <w:bCs/>
          <w:u w:val="single"/>
        </w:rPr>
        <w:fldChar w:fldCharType="separate"/>
      </w:r>
      <w:r w:rsidR="008847F6" w:rsidRPr="008847F6">
        <w:rPr>
          <w:bCs/>
          <w:u w:val="single"/>
        </w:rPr>
        <w:t>5.9</w:t>
      </w:r>
      <w:r w:rsidR="008847F6" w:rsidRPr="008847F6">
        <w:rPr>
          <w:bCs/>
          <w:u w:val="single"/>
        </w:rPr>
        <w:fldChar w:fldCharType="end"/>
      </w:r>
      <w:r w:rsidR="00604B67">
        <w:rPr>
          <w:bCs/>
        </w:rPr>
        <w:t>]</w:t>
      </w:r>
      <w:r>
        <w:rPr>
          <w:bCs/>
        </w:rPr>
        <w:t xml:space="preserve">, </w:t>
      </w:r>
      <w:r>
        <w:t>shall terminate and be of no further force or effect [(i)] immediately before the consummation of the IPO [or][(ii) when the Company first becomes subject to the periodic reporting requirements of Section 12(g) or 15(d) of the Exchange Act, or (iii) upon a Deemed Liquidation Event, as such term is defined in the Certificate of Incorporation, whichever event occurs first].</w:t>
      </w:r>
      <w:r>
        <w:rPr>
          <w:rStyle w:val="FootnoteReference"/>
          <w:color w:val="000000"/>
        </w:rPr>
        <w:footnoteReference w:id="55"/>
      </w:r>
    </w:p>
    <w:p w:rsidR="00B95ADB" w:rsidRDefault="00B95ADB">
      <w:pPr>
        <w:pStyle w:val="Heading1"/>
        <w:keepNext/>
        <w:rPr>
          <w:vanish/>
          <w:color w:val="000000"/>
          <w:szCs w:val="16"/>
          <w:specVanish/>
        </w:rPr>
      </w:pPr>
      <w:bookmarkStart w:id="725" w:name="_Toc116180694"/>
      <w:bookmarkStart w:id="726" w:name="_Toc131593484"/>
      <w:bookmarkStart w:id="727" w:name="_Toc136067443"/>
      <w:bookmarkStart w:id="728" w:name="_DV_M360"/>
      <w:bookmarkStart w:id="729" w:name="_Toc165866792"/>
      <w:bookmarkStart w:id="730" w:name="_Toc505091175"/>
      <w:bookmarkEnd w:id="712"/>
      <w:bookmarkEnd w:id="713"/>
      <w:bookmarkEnd w:id="714"/>
      <w:bookmarkEnd w:id="728"/>
      <w:r>
        <w:t>Miscellaneous</w:t>
      </w:r>
      <w:bookmarkEnd w:id="730"/>
    </w:p>
    <w:p w:rsidR="00B95ADB" w:rsidRDefault="00B95ADB">
      <w:pPr>
        <w:pStyle w:val="Bod"/>
      </w:pPr>
      <w:r>
        <w:t>.</w:t>
      </w:r>
      <w:bookmarkStart w:id="731" w:name="_DV_M361"/>
      <w:bookmarkStart w:id="732" w:name="_DV_M362"/>
      <w:bookmarkEnd w:id="725"/>
      <w:bookmarkEnd w:id="726"/>
      <w:bookmarkEnd w:id="727"/>
      <w:bookmarkEnd w:id="729"/>
      <w:bookmarkEnd w:id="731"/>
      <w:bookmarkEnd w:id="732"/>
    </w:p>
    <w:p w:rsidR="00B95ADB" w:rsidRDefault="00B95ADB">
      <w:pPr>
        <w:pStyle w:val="Heading2"/>
        <w:rPr>
          <w:vanish/>
          <w:specVanish/>
        </w:rPr>
      </w:pPr>
      <w:bookmarkStart w:id="733" w:name="_DV_M363"/>
      <w:bookmarkStart w:id="734" w:name="_Toc116180695"/>
      <w:bookmarkStart w:id="735" w:name="_Toc165866793"/>
      <w:bookmarkStart w:id="736" w:name="_Toc131593485"/>
      <w:bookmarkStart w:id="737" w:name="_Toc136067444"/>
      <w:bookmarkStart w:id="738" w:name="_Ref264904945"/>
      <w:bookmarkStart w:id="739" w:name="_Ref431386322"/>
      <w:bookmarkStart w:id="740" w:name="_Toc505091176"/>
      <w:bookmarkEnd w:id="733"/>
      <w:r>
        <w:t>Successors and Assigns</w:t>
      </w:r>
      <w:bookmarkEnd w:id="739"/>
      <w:bookmarkEnd w:id="740"/>
    </w:p>
    <w:p w:rsidR="00B95ADB" w:rsidRDefault="00B95ADB">
      <w:pPr>
        <w:pStyle w:val="Bod"/>
      </w:pPr>
      <w:r>
        <w:t xml:space="preserve">.  </w:t>
      </w:r>
      <w:r>
        <w:rPr>
          <w:rStyle w:val="DeltaViewInsertion"/>
          <w:b w:val="0"/>
          <w:color w:val="000000"/>
          <w:szCs w:val="16"/>
          <w:u w:val="none"/>
        </w:rPr>
        <w:t>The rights under this Agreement</w:t>
      </w:r>
      <w:r>
        <w:t xml:space="preserve"> may </w:t>
      </w:r>
      <w:r>
        <w:rPr>
          <w:rStyle w:val="DeltaViewInsertion"/>
          <w:b w:val="0"/>
          <w:color w:val="000000"/>
          <w:szCs w:val="16"/>
          <w:u w:val="none"/>
        </w:rPr>
        <w:t>be</w:t>
      </w:r>
      <w:bookmarkStart w:id="741" w:name="_DV_M364"/>
      <w:bookmarkEnd w:id="734"/>
      <w:bookmarkEnd w:id="735"/>
      <w:bookmarkEnd w:id="741"/>
      <w:r>
        <w:rPr>
          <w:b/>
        </w:rPr>
        <w:t xml:space="preserve"> </w:t>
      </w:r>
      <w:r>
        <w:t>assigned (</w:t>
      </w:r>
      <w:r>
        <w:rPr>
          <w:rStyle w:val="DeltaViewInsertion"/>
          <w:b w:val="0"/>
          <w:color w:val="000000"/>
          <w:szCs w:val="16"/>
          <w:u w:val="none"/>
        </w:rPr>
        <w:t>but only with all related obligations</w:t>
      </w:r>
      <w:r>
        <w:t xml:space="preserve">) </w:t>
      </w:r>
      <w:r>
        <w:rPr>
          <w:rStyle w:val="DeltaViewInsertion"/>
          <w:b w:val="0"/>
          <w:color w:val="000000"/>
          <w:szCs w:val="16"/>
          <w:u w:val="none"/>
        </w:rPr>
        <w:t>by a Holder to a transferee of</w:t>
      </w:r>
      <w:r>
        <w:t xml:space="preserve"> Registrable Securities </w:t>
      </w:r>
      <w:r>
        <w:rPr>
          <w:rStyle w:val="DeltaViewInsertion"/>
          <w:b w:val="0"/>
          <w:color w:val="000000"/>
          <w:szCs w:val="16"/>
          <w:u w:val="none"/>
        </w:rPr>
        <w:t xml:space="preserve">that (i) is an Affiliate of a Holder; (ii) is a Holder’s Immediate Family Member or trust for the benefit of an individual Holder or one or more of such Holder’s Immediate Family Members; or (iii) after such transfer, holds at least [_____] shares of Registrable Securities (subject to appropriate adjustment for stock splits, stock dividends, combinations, and other recapitalizations); </w:t>
      </w:r>
      <w:r>
        <w:rPr>
          <w:rStyle w:val="DeltaViewInsertion"/>
          <w:b w:val="0"/>
          <w:color w:val="000000"/>
          <w:szCs w:val="16"/>
          <w:u w:val="single"/>
        </w:rPr>
        <w:t>provided</w:t>
      </w:r>
      <w:r>
        <w:rPr>
          <w:rStyle w:val="DeltaViewInsertion"/>
          <w:b w:val="0"/>
          <w:color w:val="000000"/>
          <w:szCs w:val="16"/>
          <w:u w:val="none"/>
        </w:rPr>
        <w:t xml:space="preserve">, </w:t>
      </w:r>
      <w:r>
        <w:rPr>
          <w:rStyle w:val="DeltaViewInsertion"/>
          <w:b w:val="0"/>
          <w:color w:val="000000"/>
          <w:szCs w:val="16"/>
          <w:u w:val="single"/>
        </w:rPr>
        <w:t>however</w:t>
      </w:r>
      <w:r>
        <w:rPr>
          <w:rStyle w:val="DeltaViewInsertion"/>
          <w:b w:val="0"/>
          <w:color w:val="000000"/>
          <w:szCs w:val="16"/>
          <w:u w:val="none"/>
        </w:rPr>
        <w:t>, that (x) the Company is, within a reasonable time after such transfer, furnished with written notice of the name and address of such transferee and the Registrable Securities</w:t>
      </w:r>
      <w:r>
        <w:t xml:space="preserve"> with respect to </w:t>
      </w:r>
      <w:r>
        <w:rPr>
          <w:rStyle w:val="DeltaViewInsertion"/>
          <w:b w:val="0"/>
          <w:color w:val="000000"/>
          <w:szCs w:val="16"/>
          <w:u w:val="none"/>
        </w:rPr>
        <w:t>which such</w:t>
      </w:r>
      <w:r>
        <w:t xml:space="preserve"> rights </w:t>
      </w:r>
      <w:r>
        <w:rPr>
          <w:rStyle w:val="DeltaViewInsertion"/>
          <w:b w:val="0"/>
          <w:color w:val="000000"/>
          <w:szCs w:val="16"/>
          <w:u w:val="none"/>
        </w:rPr>
        <w:t>are being transferred; and (y) such transferee agrees in</w:t>
      </w:r>
      <w:r>
        <w:t xml:space="preserve"> a written instrument </w:t>
      </w:r>
      <w:r>
        <w:rPr>
          <w:rStyle w:val="DeltaViewInsertion"/>
          <w:b w:val="0"/>
          <w:color w:val="000000"/>
          <w:szCs w:val="16"/>
          <w:u w:val="none"/>
        </w:rPr>
        <w:t xml:space="preserve">delivered </w:t>
      </w:r>
      <w:r>
        <w:t xml:space="preserve">to the Company to be bound by </w:t>
      </w:r>
      <w:r>
        <w:rPr>
          <w:rStyle w:val="DeltaViewInsertion"/>
          <w:b w:val="0"/>
          <w:color w:val="000000"/>
          <w:szCs w:val="16"/>
          <w:u w:val="none"/>
        </w:rPr>
        <w:t xml:space="preserve">and subject to </w:t>
      </w:r>
      <w:r>
        <w:t xml:space="preserve">the terms </w:t>
      </w:r>
      <w:r>
        <w:rPr>
          <w:rStyle w:val="DeltaViewInsertion"/>
          <w:b w:val="0"/>
          <w:color w:val="000000"/>
          <w:szCs w:val="16"/>
          <w:u w:val="none"/>
        </w:rPr>
        <w:t xml:space="preserve">and conditions </w:t>
      </w:r>
      <w:r>
        <w:t xml:space="preserve">of this </w:t>
      </w:r>
      <w:r>
        <w:rPr>
          <w:rStyle w:val="DeltaViewInsertion"/>
          <w:b w:val="0"/>
          <w:color w:val="000000"/>
          <w:szCs w:val="16"/>
          <w:u w:val="none"/>
        </w:rPr>
        <w:t xml:space="preserve">Agreement, including the provisions of </w:t>
      </w:r>
      <w:r>
        <w:rPr>
          <w:rStyle w:val="DeltaViewInsertion"/>
          <w:b w:val="0"/>
          <w:color w:val="000000"/>
          <w:szCs w:val="16"/>
          <w:u w:val="single"/>
        </w:rPr>
        <w:t xml:space="preserve">Subsection </w:t>
      </w:r>
      <w:r>
        <w:rPr>
          <w:rStyle w:val="DeltaViewInsertion"/>
          <w:b w:val="0"/>
          <w:color w:val="000000"/>
          <w:szCs w:val="16"/>
          <w:u w:val="single"/>
        </w:rPr>
        <w:fldChar w:fldCharType="begin"/>
      </w:r>
      <w:r>
        <w:rPr>
          <w:rStyle w:val="DeltaViewInsertion"/>
          <w:b w:val="0"/>
          <w:color w:val="000000"/>
          <w:szCs w:val="16"/>
          <w:u w:val="single"/>
        </w:rPr>
        <w:instrText xml:space="preserve"> REF _Ref264905643 \r \h </w:instrText>
      </w:r>
      <w:r>
        <w:rPr>
          <w:rStyle w:val="DeltaViewInsertion"/>
          <w:b w:val="0"/>
          <w:color w:val="000000"/>
          <w:szCs w:val="16"/>
          <w:u w:val="single"/>
        </w:rPr>
      </w:r>
      <w:r>
        <w:rPr>
          <w:rStyle w:val="DeltaViewInsertion"/>
          <w:b w:val="0"/>
          <w:color w:val="000000"/>
          <w:szCs w:val="16"/>
          <w:u w:val="single"/>
        </w:rPr>
        <w:fldChar w:fldCharType="separate"/>
      </w:r>
      <w:r w:rsidR="00222212">
        <w:rPr>
          <w:rStyle w:val="DeltaViewInsertion"/>
          <w:b w:val="0"/>
          <w:color w:val="000000"/>
          <w:szCs w:val="16"/>
          <w:u w:val="single"/>
        </w:rPr>
        <w:t>2.11</w:t>
      </w:r>
      <w:r>
        <w:rPr>
          <w:rStyle w:val="DeltaViewInsertion"/>
          <w:b w:val="0"/>
          <w:color w:val="000000"/>
          <w:szCs w:val="16"/>
          <w:u w:val="single"/>
        </w:rPr>
        <w:fldChar w:fldCharType="end"/>
      </w:r>
      <w:r>
        <w:rPr>
          <w:rStyle w:val="DeltaViewInsertion"/>
          <w:b w:val="0"/>
          <w:color w:val="000000"/>
          <w:szCs w:val="16"/>
          <w:u w:val="none"/>
        </w:rPr>
        <w:t xml:space="preserve">.  For the purposes of determining the number of shares of Registrable Securities held by a transferee, the holdings of a transferee (1) that is an Affiliate or stockholder of a Holder; (2) who is a Holder’s Immediate Family Member; or (3) that is a trust for the benefit of an individual Holder or such Holder’s Immediate Family Member shall be aggregated together and with those of the transferring </w:t>
      </w:r>
      <w:r w:rsidR="008847F6" w:rsidRPr="008847F6">
        <w:rPr>
          <w:rStyle w:val="DeltaViewInsertion"/>
          <w:b w:val="0"/>
          <w:color w:val="000000"/>
          <w:szCs w:val="16"/>
          <w:u w:val="none"/>
        </w:rPr>
        <w:t xml:space="preserve">Holder; </w:t>
      </w:r>
      <w:r w:rsidR="008847F6" w:rsidRPr="008847F6">
        <w:rPr>
          <w:rStyle w:val="DeltaViewInsertion"/>
          <w:b w:val="0"/>
          <w:color w:val="000000"/>
          <w:szCs w:val="16"/>
          <w:u w:val="single"/>
        </w:rPr>
        <w:t>provided</w:t>
      </w:r>
      <w:r w:rsidR="008847F6" w:rsidRPr="008847F6">
        <w:rPr>
          <w:rStyle w:val="DeltaViewInsertion"/>
          <w:b w:val="0"/>
          <w:color w:val="000000"/>
          <w:szCs w:val="16"/>
          <w:u w:val="none"/>
        </w:rPr>
        <w:t xml:space="preserve"> </w:t>
      </w:r>
      <w:r w:rsidR="008847F6" w:rsidRPr="008847F6">
        <w:rPr>
          <w:rStyle w:val="DeltaViewInsertion"/>
          <w:b w:val="0"/>
          <w:color w:val="000000"/>
          <w:szCs w:val="16"/>
          <w:u w:val="single"/>
        </w:rPr>
        <w:t>further</w:t>
      </w:r>
      <w:r w:rsidR="008847F6" w:rsidRPr="008847F6">
        <w:rPr>
          <w:rStyle w:val="DeltaViewInsertion"/>
          <w:b w:val="0"/>
          <w:color w:val="000000"/>
          <w:szCs w:val="16"/>
          <w:u w:val="none"/>
        </w:rPr>
        <w:t xml:space="preserve"> that all transferees who would not qualify individually</w:t>
      </w:r>
      <w:r w:rsidR="008847F6">
        <w:rPr>
          <w:rStyle w:val="DeltaViewInsertion"/>
          <w:b w:val="0"/>
          <w:color w:val="000000"/>
          <w:szCs w:val="16"/>
          <w:u w:val="none"/>
        </w:rPr>
        <w:t xml:space="preserve"> for assignment of rights shall, as a condition to the applicable transfer, establish </w:t>
      </w:r>
      <w:r w:rsidR="008847F6" w:rsidRPr="008847F6">
        <w:rPr>
          <w:rStyle w:val="DeltaViewInsertion"/>
          <w:b w:val="0"/>
          <w:color w:val="000000"/>
          <w:szCs w:val="16"/>
          <w:u w:val="none"/>
        </w:rPr>
        <w:t>a single attorney-in-fact for the purpose of exercising any rights, receiving notices, or taking any action under this Agreement.</w:t>
      </w:r>
      <w:r>
        <w:t xml:space="preserve">  The terms and conditions of this Agreement inure to the benefit of and are binding upon the respective successors and permitted assignees of the parties.  Nothing in this Agreement, express or implied, is intended to confer upon any party other than the parties hereto or their respective successors and permitted assignees any rights, remedies, obligations or liabilities under or by reason of this Agreement, except as expressly provided herein.</w:t>
      </w:r>
      <w:bookmarkStart w:id="742" w:name="_Toc116180696"/>
      <w:bookmarkStart w:id="743" w:name="_Toc131593486"/>
      <w:bookmarkStart w:id="744" w:name="_Toc136067445"/>
      <w:bookmarkEnd w:id="736"/>
      <w:bookmarkEnd w:id="737"/>
      <w:bookmarkEnd w:id="738"/>
    </w:p>
    <w:p w:rsidR="00B95ADB" w:rsidRDefault="00B95ADB">
      <w:pPr>
        <w:pStyle w:val="Heading2"/>
        <w:rPr>
          <w:vanish/>
          <w:specVanish/>
        </w:rPr>
      </w:pPr>
      <w:bookmarkStart w:id="745" w:name="_DV_M365"/>
      <w:bookmarkStart w:id="746" w:name="_Toc165866794"/>
      <w:bookmarkStart w:id="747" w:name="_Toc505091177"/>
      <w:bookmarkEnd w:id="745"/>
      <w:r>
        <w:t>Governing Law</w:t>
      </w:r>
      <w:bookmarkEnd w:id="747"/>
    </w:p>
    <w:p w:rsidR="00B95ADB" w:rsidRDefault="00B95ADB">
      <w:pPr>
        <w:pStyle w:val="Bod"/>
      </w:pPr>
      <w:r>
        <w:t>.</w:t>
      </w:r>
      <w:bookmarkStart w:id="748" w:name="_DV_C184"/>
      <w:r>
        <w:rPr>
          <w:rStyle w:val="FootnoteReference"/>
          <w:color w:val="000000"/>
        </w:rPr>
        <w:footnoteReference w:id="56"/>
      </w:r>
      <w:bookmarkStart w:id="749" w:name="_DV_M368"/>
      <w:bookmarkEnd w:id="742"/>
      <w:bookmarkEnd w:id="746"/>
      <w:bookmarkEnd w:id="748"/>
      <w:bookmarkEnd w:id="749"/>
      <w:r>
        <w:t xml:space="preserve">  </w:t>
      </w:r>
      <w:bookmarkStart w:id="750" w:name="_DV_M370"/>
      <w:bookmarkEnd w:id="0"/>
      <w:bookmarkEnd w:id="750"/>
      <w:r>
        <w:t>This Agreement shall be governed by the internal law of the [State of Delaware]</w:t>
      </w:r>
      <w:r w:rsidR="00ED1EFF">
        <w:t>,</w:t>
      </w:r>
      <w:r w:rsidR="00571C10">
        <w:rPr>
          <w:rStyle w:val="FootnoteReference"/>
        </w:rPr>
        <w:footnoteReference w:id="57"/>
      </w:r>
      <w:r w:rsidR="00ED1EFF">
        <w:t xml:space="preserve"> without regard to conflict of law principles that would result in the application of any law other than the law of the [State of Delaware].</w:t>
      </w:r>
      <w:bookmarkStart w:id="751" w:name="_Toc116180697"/>
      <w:bookmarkStart w:id="752" w:name="_Toc131593487"/>
      <w:bookmarkStart w:id="753" w:name="_Toc136067446"/>
      <w:bookmarkEnd w:id="743"/>
      <w:bookmarkEnd w:id="744"/>
    </w:p>
    <w:p w:rsidR="00B95ADB" w:rsidRDefault="00B95ADB">
      <w:pPr>
        <w:pStyle w:val="Heading2"/>
        <w:rPr>
          <w:vanish/>
          <w:specVanish/>
        </w:rPr>
      </w:pPr>
      <w:bookmarkStart w:id="754" w:name="_DV_M373"/>
      <w:bookmarkStart w:id="755" w:name="_Toc165866795"/>
      <w:bookmarkStart w:id="756" w:name="_Toc505091178"/>
      <w:bookmarkEnd w:id="754"/>
      <w:r>
        <w:t>Counterparts</w:t>
      </w:r>
      <w:bookmarkStart w:id="757" w:name="_DV_M374"/>
      <w:bookmarkEnd w:id="756"/>
      <w:bookmarkEnd w:id="757"/>
    </w:p>
    <w:p w:rsidR="00B95ADB" w:rsidRDefault="00B95ADB">
      <w:pPr>
        <w:pStyle w:val="Bod"/>
      </w:pPr>
      <w:r>
        <w:t>.</w:t>
      </w:r>
      <w:bookmarkStart w:id="758" w:name="_DV_M375"/>
      <w:bookmarkEnd w:id="751"/>
      <w:bookmarkEnd w:id="755"/>
      <w:bookmarkEnd w:id="758"/>
      <w:r>
        <w:t xml:space="preserve">  This Agreement may be executed in two (2) or more counterparts, each of which shall be deemed an original, </w:t>
      </w:r>
      <w:bookmarkStart w:id="759" w:name="_DV_M376"/>
      <w:bookmarkEnd w:id="759"/>
      <w:r>
        <w:t xml:space="preserve">but all of which together shall constitute one and the same instrument.  </w:t>
      </w:r>
      <w:bookmarkStart w:id="760" w:name="_DV_C197"/>
      <w:bookmarkStart w:id="761" w:name="_Toc116180698"/>
      <w:bookmarkStart w:id="762" w:name="_Toc131593488"/>
      <w:bookmarkStart w:id="763" w:name="_Toc136067447"/>
      <w:bookmarkEnd w:id="752"/>
      <w:bookmarkEnd w:id="753"/>
      <w:r>
        <w:rPr>
          <w:rStyle w:val="DeltaViewInsertion"/>
          <w:b w:val="0"/>
          <w:color w:val="000000"/>
          <w:szCs w:val="16"/>
          <w:u w:val="none"/>
        </w:rPr>
        <w:t>Counterparts may be delivered via facsimile, electronic mail (including pdf</w:t>
      </w:r>
      <w:r>
        <w:t xml:space="preserve"> or any electronic signature complying with the U.S. federal ESIGN Act of 2000, </w:t>
      </w:r>
      <w:r>
        <w:rPr>
          <w:i/>
        </w:rPr>
        <w:t>e.g.</w:t>
      </w:r>
      <w:r>
        <w:t>, www.docusign.com</w:t>
      </w:r>
      <w:r>
        <w:rPr>
          <w:rStyle w:val="DeltaViewInsertion"/>
          <w:b w:val="0"/>
          <w:color w:val="000000"/>
          <w:szCs w:val="16"/>
          <w:u w:val="none"/>
        </w:rPr>
        <w:t>) or other transmission method and any counterpart so delivered shall be deemed to have been duly and validly delivered and be valid and effective for all purposes</w:t>
      </w:r>
      <w:r>
        <w:rPr>
          <w:rStyle w:val="DeltaViewInsertion"/>
          <w:color w:val="000000"/>
          <w:szCs w:val="16"/>
          <w:u w:val="none"/>
        </w:rPr>
        <w:t>.</w:t>
      </w:r>
      <w:r>
        <w:rPr>
          <w:rStyle w:val="DeltaViewInsertion"/>
          <w:color w:val="000000"/>
          <w:szCs w:val="16"/>
        </w:rPr>
        <w:t xml:space="preserve">  </w:t>
      </w:r>
      <w:bookmarkEnd w:id="760"/>
    </w:p>
    <w:p w:rsidR="00B95ADB" w:rsidRDefault="00B95ADB">
      <w:pPr>
        <w:pStyle w:val="Heading2"/>
        <w:rPr>
          <w:vanish/>
          <w:specVanish/>
        </w:rPr>
      </w:pPr>
      <w:bookmarkStart w:id="764" w:name="_DV_M377"/>
      <w:bookmarkStart w:id="765" w:name="_Toc165866796"/>
      <w:bookmarkStart w:id="766" w:name="_Toc505091179"/>
      <w:bookmarkEnd w:id="764"/>
      <w:r>
        <w:t>Titles and Subtitles</w:t>
      </w:r>
      <w:bookmarkEnd w:id="766"/>
    </w:p>
    <w:p w:rsidR="00B95ADB" w:rsidRDefault="00B95ADB">
      <w:pPr>
        <w:pStyle w:val="Bod"/>
      </w:pPr>
      <w:r>
        <w:t>.  The titles and subtitles used in this Agreement are for convenience only and are not to be considered in construing or interpreting this Agreement.</w:t>
      </w:r>
      <w:bookmarkStart w:id="767" w:name="_DV_M378"/>
      <w:bookmarkStart w:id="768" w:name="_Toc116180699"/>
      <w:bookmarkStart w:id="769" w:name="_Toc131593489"/>
      <w:bookmarkStart w:id="770" w:name="_Toc136067448"/>
      <w:bookmarkEnd w:id="761"/>
      <w:bookmarkEnd w:id="762"/>
      <w:bookmarkEnd w:id="763"/>
      <w:bookmarkEnd w:id="765"/>
      <w:bookmarkEnd w:id="767"/>
    </w:p>
    <w:p w:rsidR="00B95ADB" w:rsidRDefault="00B95ADB">
      <w:pPr>
        <w:pStyle w:val="Heading2"/>
        <w:rPr>
          <w:vanish/>
          <w:specVanish/>
        </w:rPr>
      </w:pPr>
      <w:bookmarkStart w:id="771" w:name="_DV_M379"/>
      <w:bookmarkStart w:id="772" w:name="_Toc165866797"/>
      <w:bookmarkStart w:id="773" w:name="_Ref264906347"/>
      <w:bookmarkStart w:id="774" w:name="_Toc505091180"/>
      <w:bookmarkEnd w:id="771"/>
      <w:r>
        <w:t>Notices</w:t>
      </w:r>
      <w:bookmarkEnd w:id="774"/>
    </w:p>
    <w:p w:rsidR="006775D3" w:rsidRDefault="00B95ADB">
      <w:pPr>
        <w:pStyle w:val="Bod"/>
      </w:pPr>
      <w:r>
        <w:t xml:space="preserve">.  </w:t>
      </w:r>
    </w:p>
    <w:p w:rsidR="00B95ADB" w:rsidRDefault="00B95ADB" w:rsidP="006775D3">
      <w:pPr>
        <w:pStyle w:val="Heading3"/>
        <w:rPr>
          <w:lang w:val="en-US"/>
        </w:rPr>
      </w:pPr>
      <w:r>
        <w:t xml:space="preserve">All notices and other communications given or made pursuant to this Agreement shall be in writing and shall be deemed effectively given upon the earlier of actual receipt or (i) personal delivery to the party to be notified; (ii) when sent, if sent by  electronic mail or facsimile during the recipient’s normal business hours, and if not sent during normal business hours, then on the recipient’s next business day; (iii) five (5) days after having been sent by registered or certified mail, return receipt requested, postage prepaid; or (iv) one (1) </w:t>
      </w:r>
      <w:r>
        <w:rPr>
          <w:rStyle w:val="DeltaViewInsertion"/>
          <w:b w:val="0"/>
          <w:color w:val="000000"/>
          <w:szCs w:val="16"/>
          <w:u w:val="none"/>
        </w:rPr>
        <w:t xml:space="preserve">business </w:t>
      </w:r>
      <w:r>
        <w:t>day after</w:t>
      </w:r>
      <w:r>
        <w:rPr>
          <w:rStyle w:val="DeltaViewInsertion"/>
          <w:b w:val="0"/>
          <w:color w:val="000000"/>
          <w:szCs w:val="16"/>
          <w:u w:val="none"/>
        </w:rPr>
        <w:t xml:space="preserve"> the business day of</w:t>
      </w:r>
      <w:r>
        <w:t xml:space="preserve"> deposit with a nationally recognized overnight courier, freight prepaid, specifying next-day delivery, with written verification of receipt.  All communications shall be sent to the respective parties at their addresses as set forth on </w:t>
      </w:r>
      <w:bookmarkStart w:id="775" w:name="_DV_M380"/>
      <w:bookmarkEnd w:id="768"/>
      <w:bookmarkEnd w:id="772"/>
      <w:bookmarkEnd w:id="775"/>
      <w:r>
        <w:rPr>
          <w:u w:val="single"/>
        </w:rPr>
        <w:t>Schedule A</w:t>
      </w:r>
      <w:r>
        <w:t xml:space="preserve"> [or </w:t>
      </w:r>
      <w:r>
        <w:rPr>
          <w:u w:val="single"/>
        </w:rPr>
        <w:t>Schedule B</w:t>
      </w:r>
      <w:r>
        <w:t xml:space="preserve"> (as applicable)] hereto, or to </w:t>
      </w:r>
      <w:r>
        <w:rPr>
          <w:rStyle w:val="DeltaViewInsertion"/>
          <w:b w:val="0"/>
          <w:color w:val="000000"/>
          <w:szCs w:val="16"/>
          <w:u w:val="none"/>
        </w:rPr>
        <w:t xml:space="preserve">the principal office of the Company and to the attention of the Chief Executive Officer, in the case of the Company, or to </w:t>
      </w:r>
      <w:r>
        <w:t xml:space="preserve">such email address, facsimile number, or address as subsequently modified by written notice given in accordance with this </w:t>
      </w:r>
      <w:r>
        <w:rPr>
          <w:u w:val="single"/>
        </w:rPr>
        <w:t xml:space="preserve">Subsection </w:t>
      </w:r>
      <w:r>
        <w:rPr>
          <w:u w:val="single"/>
        </w:rPr>
        <w:fldChar w:fldCharType="begin"/>
      </w:r>
      <w:r>
        <w:rPr>
          <w:u w:val="single"/>
        </w:rPr>
        <w:instrText xml:space="preserve"> REF _Ref264906347 \r \h </w:instrText>
      </w:r>
      <w:r>
        <w:rPr>
          <w:u w:val="single"/>
        </w:rPr>
      </w:r>
      <w:r>
        <w:rPr>
          <w:u w:val="single"/>
        </w:rPr>
        <w:instrText xml:space="preserve"> \* MERGEFORMAT </w:instrText>
      </w:r>
      <w:r>
        <w:rPr>
          <w:u w:val="single"/>
        </w:rPr>
        <w:fldChar w:fldCharType="separate"/>
      </w:r>
      <w:r w:rsidR="00222212">
        <w:rPr>
          <w:u w:val="single"/>
        </w:rPr>
        <w:t>6.5</w:t>
      </w:r>
      <w:r>
        <w:rPr>
          <w:u w:val="single"/>
        </w:rPr>
        <w:fldChar w:fldCharType="end"/>
      </w:r>
      <w:r>
        <w:t>.  If notice is given to the Company, a copy shall also be sent to [</w:t>
      </w:r>
      <w:r>
        <w:rPr>
          <w:i/>
        </w:rPr>
        <w:t>Company counsel name and address</w:t>
      </w:r>
      <w:r>
        <w:t>] and if notice is given to Stockholders, a copy shall also be given to [</w:t>
      </w:r>
      <w:r>
        <w:rPr>
          <w:i/>
        </w:rPr>
        <w:t>Investor Counsel Name and Address</w:t>
      </w:r>
      <w:r>
        <w:t>].</w:t>
      </w:r>
      <w:bookmarkEnd w:id="769"/>
      <w:bookmarkEnd w:id="770"/>
      <w:bookmarkEnd w:id="773"/>
    </w:p>
    <w:p w:rsidR="006775D3" w:rsidRPr="004F7C3F" w:rsidRDefault="006775D3" w:rsidP="006775D3">
      <w:pPr>
        <w:pStyle w:val="Heading3"/>
      </w:pPr>
      <w:r w:rsidRPr="008847F6">
        <w:rPr>
          <w:u w:val="single"/>
        </w:rPr>
        <w:t>Consent to Electronic Notice</w:t>
      </w:r>
      <w:r w:rsidRPr="005A285F">
        <w:t xml:space="preserve">.  Each </w:t>
      </w:r>
      <w:r w:rsidR="008847F6">
        <w:rPr>
          <w:lang w:val="en-US"/>
        </w:rPr>
        <w:t>Investor and Key Holder</w:t>
      </w:r>
      <w:r>
        <w:rPr>
          <w:lang w:val="en-US"/>
        </w:rPr>
        <w:t xml:space="preserve"> </w:t>
      </w:r>
      <w:r w:rsidRPr="005A285F">
        <w:t xml:space="preserve">consents to the delivery of any stockholder notice pursuant to the Delaware General Corporation Law (the “DGCL”), as amended or superseded from time to time, by electronic transmission pursuant to Section 232 of the DGCL </w:t>
      </w:r>
      <w:r>
        <w:rPr>
          <w:lang w:val="en-US"/>
        </w:rPr>
        <w:t xml:space="preserve">(or any successor thereto) </w:t>
      </w:r>
      <w:r w:rsidRPr="005A285F">
        <w:t xml:space="preserve">at the electronic mail address or the facsimile number </w:t>
      </w:r>
      <w:r>
        <w:rPr>
          <w:lang w:val="en-US"/>
        </w:rPr>
        <w:t>[</w:t>
      </w:r>
      <w:r w:rsidRPr="005A285F">
        <w:t>set forth below such Investor’s or Key Holder’s name on the Schedules hereto, as updated from time to time by notice to the Company, or</w:t>
      </w:r>
      <w:r>
        <w:rPr>
          <w:lang w:val="en-US"/>
        </w:rPr>
        <w:t>]</w:t>
      </w:r>
      <w:r w:rsidRPr="005A285F">
        <w:t xml:space="preserve"> as on the books of the Company.  </w:t>
      </w:r>
      <w:r>
        <w:rPr>
          <w:lang w:val="en-US"/>
        </w:rPr>
        <w:t>[</w:t>
      </w:r>
      <w:r w:rsidRPr="005A285F">
        <w:t xml:space="preserve">To the extent that any notice given </w:t>
      </w:r>
      <w:r w:rsidR="008847F6">
        <w:rPr>
          <w:lang w:val="en-US"/>
        </w:rPr>
        <w:t>by means of</w:t>
      </w:r>
      <w:r w:rsidRPr="005A285F">
        <w:t xml:space="preserve"> electronic transmission is returned or undeliverable for any reason, the foregoing consent shall be deemed to have been revoked until a new or corrected electronic mail address has been provided, and such attempted Electronic Notice shall be ineffective and deemed to not have been given.</w:t>
      </w:r>
      <w:r>
        <w:rPr>
          <w:lang w:val="en-US"/>
        </w:rPr>
        <w:t>]</w:t>
      </w:r>
      <w:r w:rsidRPr="005A285F">
        <w:t xml:space="preserve">  Each </w:t>
      </w:r>
      <w:r w:rsidR="008847F6">
        <w:rPr>
          <w:lang w:val="en-US"/>
        </w:rPr>
        <w:t>Investor and Key Holder</w:t>
      </w:r>
      <w:r w:rsidRPr="005A285F">
        <w:t xml:space="preserve"> agrees to promptly notify the Company of any change in such </w:t>
      </w:r>
      <w:r>
        <w:rPr>
          <w:lang w:val="en-US"/>
        </w:rPr>
        <w:t>stockholder</w:t>
      </w:r>
      <w:r w:rsidRPr="005A285F">
        <w:t xml:space="preserve">’s electronic mail address, </w:t>
      </w:r>
      <w:r w:rsidR="008847F6">
        <w:rPr>
          <w:lang w:val="en-US"/>
        </w:rPr>
        <w:t>and that</w:t>
      </w:r>
      <w:r w:rsidRPr="005A285F">
        <w:t xml:space="preserve"> failure to do so shall not affect the foregoing.</w:t>
      </w:r>
    </w:p>
    <w:p w:rsidR="00B95ADB" w:rsidRDefault="00B95ADB">
      <w:pPr>
        <w:pStyle w:val="Heading2"/>
        <w:rPr>
          <w:vanish/>
          <w:specVanish/>
        </w:rPr>
      </w:pPr>
      <w:bookmarkStart w:id="776" w:name="_DV_M381"/>
      <w:bookmarkStart w:id="777" w:name="_Toc116180700"/>
      <w:bookmarkStart w:id="778" w:name="_Toc165866798"/>
      <w:bookmarkStart w:id="779" w:name="_Toc131593490"/>
      <w:bookmarkStart w:id="780" w:name="_Toc136067449"/>
      <w:bookmarkStart w:id="781" w:name="_Ref264904918"/>
      <w:bookmarkStart w:id="782" w:name="_Ref264906397"/>
      <w:bookmarkStart w:id="783" w:name="_Toc505091181"/>
      <w:bookmarkEnd w:id="776"/>
      <w:r>
        <w:t>Amendments and Waivers</w:t>
      </w:r>
      <w:bookmarkEnd w:id="783"/>
    </w:p>
    <w:p w:rsidR="00B95ADB" w:rsidRDefault="00B95ADB">
      <w:pPr>
        <w:pStyle w:val="Bod"/>
      </w:pPr>
      <w:r>
        <w:t>.</w:t>
      </w:r>
      <w:bookmarkStart w:id="784" w:name="_DV_C199"/>
      <w:r>
        <w:rPr>
          <w:rStyle w:val="FootnoteReference"/>
          <w:color w:val="000000"/>
        </w:rPr>
        <w:footnoteReference w:id="58"/>
      </w:r>
      <w:bookmarkStart w:id="785" w:name="_DV_M383"/>
      <w:bookmarkEnd w:id="777"/>
      <w:bookmarkEnd w:id="778"/>
      <w:bookmarkEnd w:id="784"/>
      <w:bookmarkEnd w:id="785"/>
      <w:r>
        <w:t xml:space="preserve">  Any term of this Agreement may be amended</w:t>
      </w:r>
      <w:r w:rsidR="00ED1EFF">
        <w:t>, modified or terminated</w:t>
      </w:r>
      <w:r>
        <w:t xml:space="preserve"> and the observance of any term of this Agreement may be waived (either generally or in a particular instance, and either retroactively or prospectively) only with the written consent of the Company and the holders of [</w:t>
      </w:r>
      <w:r w:rsidR="00ED1EFF">
        <w:t xml:space="preserve">at least </w:t>
      </w:r>
      <w:r>
        <w:t xml:space="preserve">a majority] of the Registrable Securities then outstanding; </w:t>
      </w:r>
      <w:r>
        <w:rPr>
          <w:u w:val="single"/>
        </w:rPr>
        <w:t>provided</w:t>
      </w:r>
      <w:r>
        <w:t xml:space="preserve"> that the Company may in its sole discretion waive compliance with </w:t>
      </w:r>
      <w:r>
        <w:rPr>
          <w:u w:val="single"/>
        </w:rPr>
        <w:t xml:space="preserve">Subsection </w:t>
      </w:r>
      <w:bookmarkStart w:id="786" w:name="_DV_M384"/>
      <w:bookmarkEnd w:id="786"/>
      <w:r>
        <w:rPr>
          <w:u w:val="single"/>
        </w:rPr>
        <w:fldChar w:fldCharType="begin"/>
      </w:r>
      <w:r>
        <w:rPr>
          <w:rStyle w:val="DeltaViewInsertion"/>
          <w:b w:val="0"/>
          <w:color w:val="000000"/>
          <w:szCs w:val="16"/>
          <w:u w:val="single"/>
        </w:rPr>
        <w:instrText xml:space="preserve"> REF _Ref264906364 \r \h </w:instrText>
      </w:r>
      <w:r>
        <w:rPr>
          <w:u w:val="single"/>
        </w:rPr>
      </w:r>
      <w:r>
        <w:rPr>
          <w:u w:val="single"/>
        </w:rPr>
        <w:instrText xml:space="preserve"> \* MERGEFORMAT </w:instrText>
      </w:r>
      <w:r>
        <w:rPr>
          <w:u w:val="single"/>
        </w:rPr>
        <w:fldChar w:fldCharType="separate"/>
      </w:r>
      <w:r w:rsidR="00222212">
        <w:rPr>
          <w:rStyle w:val="DeltaViewInsertion"/>
          <w:b w:val="0"/>
          <w:color w:val="000000"/>
          <w:szCs w:val="16"/>
          <w:u w:val="single"/>
        </w:rPr>
        <w:t>2.12(c)</w:t>
      </w:r>
      <w:r>
        <w:rPr>
          <w:u w:val="single"/>
        </w:rPr>
        <w:fldChar w:fldCharType="end"/>
      </w:r>
      <w:r>
        <w:t xml:space="preserve"> (and the Company’s failure to object promptly in writing </w:t>
      </w:r>
      <w:r>
        <w:rPr>
          <w:rStyle w:val="DeltaViewInsertion"/>
          <w:b w:val="0"/>
          <w:color w:val="000000"/>
          <w:szCs w:val="16"/>
          <w:u w:val="none"/>
        </w:rPr>
        <w:t>after notification of</w:t>
      </w:r>
      <w:r>
        <w:t xml:space="preserve"> a proposed assignment allegedly in violation of </w:t>
      </w:r>
      <w:r>
        <w:rPr>
          <w:u w:val="single"/>
        </w:rPr>
        <w:t xml:space="preserve">Subsection </w:t>
      </w:r>
      <w:bookmarkStart w:id="787" w:name="_DV_M385"/>
      <w:bookmarkEnd w:id="787"/>
      <w:r>
        <w:rPr>
          <w:u w:val="single"/>
        </w:rPr>
        <w:fldChar w:fldCharType="begin"/>
      </w:r>
      <w:r>
        <w:rPr>
          <w:rStyle w:val="DeltaViewInsertion"/>
          <w:b w:val="0"/>
          <w:color w:val="000000"/>
          <w:szCs w:val="16"/>
          <w:u w:val="single"/>
        </w:rPr>
        <w:instrText xml:space="preserve"> REF _Ref264906364 \r \h </w:instrText>
      </w:r>
      <w:r>
        <w:rPr>
          <w:u w:val="single"/>
        </w:rPr>
      </w:r>
      <w:r>
        <w:rPr>
          <w:u w:val="single"/>
        </w:rPr>
        <w:fldChar w:fldCharType="separate"/>
      </w:r>
      <w:r w:rsidR="00222212">
        <w:rPr>
          <w:rStyle w:val="DeltaViewInsertion"/>
          <w:b w:val="0"/>
          <w:color w:val="000000"/>
          <w:szCs w:val="16"/>
          <w:u w:val="single"/>
        </w:rPr>
        <w:t>2.12(c)</w:t>
      </w:r>
      <w:r>
        <w:rPr>
          <w:u w:val="single"/>
        </w:rPr>
        <w:fldChar w:fldCharType="end"/>
      </w:r>
      <w:r>
        <w:t xml:space="preserve"> shall be deemed to be a waiver)</w:t>
      </w:r>
      <w:r>
        <w:rPr>
          <w:rStyle w:val="DeltaViewInsertion"/>
          <w:b w:val="0"/>
          <w:color w:val="000000"/>
          <w:szCs w:val="16"/>
          <w:u w:val="none"/>
        </w:rPr>
        <w:t xml:space="preserve">; and </w:t>
      </w:r>
      <w:r>
        <w:rPr>
          <w:rStyle w:val="DeltaViewInsertion"/>
          <w:b w:val="0"/>
          <w:color w:val="000000"/>
          <w:szCs w:val="16"/>
          <w:u w:val="single"/>
        </w:rPr>
        <w:t>provided</w:t>
      </w:r>
      <w:r>
        <w:rPr>
          <w:rStyle w:val="DeltaViewInsertion"/>
          <w:b w:val="0"/>
          <w:color w:val="000000"/>
          <w:szCs w:val="16"/>
          <w:u w:val="none"/>
        </w:rPr>
        <w:t xml:space="preserve"> </w:t>
      </w:r>
      <w:r>
        <w:rPr>
          <w:rStyle w:val="DeltaViewInsertion"/>
          <w:b w:val="0"/>
          <w:color w:val="000000"/>
          <w:szCs w:val="16"/>
          <w:u w:val="single"/>
        </w:rPr>
        <w:t>further</w:t>
      </w:r>
      <w:r>
        <w:rPr>
          <w:rStyle w:val="DeltaViewInsertion"/>
          <w:b w:val="0"/>
          <w:color w:val="000000"/>
          <w:szCs w:val="16"/>
          <w:u w:val="none"/>
        </w:rPr>
        <w:t xml:space="preserve"> that any provision hereof may be waived by any waiving party on such party’s own behalf, without the consent of any other party</w:t>
      </w:r>
      <w:r>
        <w:t xml:space="preserve">.  Notwithstanding the foregoing, </w:t>
      </w:r>
      <w:r w:rsidR="00ED1EFF">
        <w:t xml:space="preserve">(a) </w:t>
      </w:r>
      <w:r>
        <w:t>this Agreement may not be amended</w:t>
      </w:r>
      <w:r w:rsidR="00ED1EFF">
        <w:t>, modified</w:t>
      </w:r>
      <w:r>
        <w:t xml:space="preserve"> or terminated and the observance of any term hereof may not be waived with respect to any Investor without the written consent of such Investor, unless such amendment, </w:t>
      </w:r>
      <w:r w:rsidR="00ED1EFF">
        <w:t xml:space="preserve">modification, </w:t>
      </w:r>
      <w:r>
        <w:t xml:space="preserve">termination, or waiver applies to all Investors in the same fashion (it being agreed that a waiver of the provisions of </w:t>
      </w:r>
      <w:r>
        <w:rPr>
          <w:u w:val="single"/>
        </w:rPr>
        <w:t xml:space="preserve">Section </w:t>
      </w:r>
      <w:r>
        <w:rPr>
          <w:u w:val="single"/>
        </w:rPr>
        <w:fldChar w:fldCharType="begin"/>
      </w:r>
      <w:r>
        <w:rPr>
          <w:u w:val="single"/>
        </w:rPr>
        <w:instrText xml:space="preserve"> REF _Ref264906386 \r \h </w:instrText>
      </w:r>
      <w:r>
        <w:rPr>
          <w:u w:val="single"/>
        </w:rPr>
      </w:r>
      <w:r>
        <w:rPr>
          <w:u w:val="single"/>
        </w:rPr>
        <w:fldChar w:fldCharType="separate"/>
      </w:r>
      <w:r w:rsidR="00222212">
        <w:rPr>
          <w:u w:val="single"/>
        </w:rPr>
        <w:t>4</w:t>
      </w:r>
      <w:r>
        <w:rPr>
          <w:u w:val="single"/>
        </w:rPr>
        <w:fldChar w:fldCharType="end"/>
      </w:r>
      <w:r>
        <w:t xml:space="preserve"> with respect to a particular transaction shall be deemed to apply to all Investors in the same fashion if such waiver does so by its terms, notwithstanding the fact that certain Investors may nonetheless, by agreement with the Company, purchase securities in such transaction)</w:t>
      </w:r>
      <w:r w:rsidR="00ED1EFF" w:rsidRPr="00ED1EFF">
        <w:t xml:space="preserve"> </w:t>
      </w:r>
      <w:r w:rsidR="00ED1EFF">
        <w:t xml:space="preserve">and (b) </w:t>
      </w:r>
      <w:r w:rsidR="00ED1EFF">
        <w:rPr>
          <w:u w:val="single"/>
        </w:rPr>
        <w:t>Subsections 3.1</w:t>
      </w:r>
      <w:r w:rsidR="00ED1EFF">
        <w:t xml:space="preserve"> and </w:t>
      </w:r>
      <w:r w:rsidR="00ED1EFF">
        <w:rPr>
          <w:u w:val="single"/>
        </w:rPr>
        <w:t>3.2</w:t>
      </w:r>
      <w:r w:rsidR="00ED1EFF" w:rsidRPr="00A01A4C">
        <w:t xml:space="preserve">, </w:t>
      </w:r>
      <w:r w:rsidR="00ED1EFF">
        <w:rPr>
          <w:u w:val="single"/>
        </w:rPr>
        <w:t>Section 4</w:t>
      </w:r>
      <w:r w:rsidR="00A01A4C">
        <w:t xml:space="preserve"> and any other section of</w:t>
      </w:r>
      <w:r w:rsidR="00ED1EFF">
        <w:t xml:space="preserve"> this Agreement </w:t>
      </w:r>
      <w:r w:rsidR="00A01A4C">
        <w:t>applicable</w:t>
      </w:r>
      <w:r w:rsidR="00ED1EFF">
        <w:t xml:space="preserve"> to the Major Investors (including this clause (b) of this </w:t>
      </w:r>
      <w:r w:rsidR="00ED1EFF">
        <w:rPr>
          <w:u w:val="single"/>
        </w:rPr>
        <w:t>Subsection 6.6</w:t>
      </w:r>
      <w:r w:rsidR="00ED1EFF">
        <w:t>) may not be amended, modified, terminated or waived without the written consent of the holders of at least a majority of the Registrable Securities then outstanding and held by the Major Investors.  [Further, this Agreement may not be amended, modified or terminated,</w:t>
      </w:r>
      <w:r>
        <w:t xml:space="preserve"> and no provision hereof may be waived, in each case, in any way which would adversely affect the rights of the Key Holders hereunder in a manner disproportionate to any adverse effect such amendment</w:t>
      </w:r>
      <w:r w:rsidR="00ED1EFF">
        <w:t>, modification, termination</w:t>
      </w:r>
      <w:r>
        <w:t xml:space="preserve"> or waiver would have on the rights of the Investors hereunder, without also the written consent of the holders of at least a majority of the Registrable Securities held by the Key Holders.] </w:t>
      </w:r>
      <w:r w:rsidR="00ED1EFF">
        <w:t xml:space="preserve"> Notwithstanding the foregoing, </w:t>
      </w:r>
      <w:r w:rsidR="00ED1EFF">
        <w:rPr>
          <w:u w:val="single"/>
        </w:rPr>
        <w:t>Schedule A</w:t>
      </w:r>
      <w:r w:rsidR="00ED1EFF">
        <w:t xml:space="preserve"> hereto may be amended by the Company from time to time to add transferees of any Registrable Securities in compliance with the terms of this Agreement without the consent of the other parties; and </w:t>
      </w:r>
      <w:r w:rsidR="00ED1EFF">
        <w:rPr>
          <w:u w:val="single"/>
        </w:rPr>
        <w:t>Schedule A</w:t>
      </w:r>
      <w:r w:rsidR="00ED1EFF">
        <w:t xml:space="preserve"> hereto may also be amended by the Company after the date </w:t>
      </w:r>
      <w:r w:rsidR="00A01A4C">
        <w:t>of this Agreement</w:t>
      </w:r>
      <w:r w:rsidR="00ED1EFF">
        <w:t xml:space="preserve"> without the consent of the other parties to add information regarding any additional Investor who becomes a party to this Agreement in accordance with </w:t>
      </w:r>
      <w:r w:rsidR="00ED1EFF">
        <w:rPr>
          <w:u w:val="single"/>
        </w:rPr>
        <w:t>Subsection 6.9</w:t>
      </w:r>
      <w:r w:rsidR="00ED1EFF">
        <w:t xml:space="preserve">.  The Company shall give prompt notice of any amendment, modification </w:t>
      </w:r>
      <w:r>
        <w:t>or termination hereof or waiver hereunder to any party hereto that did not consent in writing to such amendment,</w:t>
      </w:r>
      <w:r w:rsidR="00923EDD">
        <w:t xml:space="preserve"> modification,</w:t>
      </w:r>
      <w:r>
        <w:t xml:space="preserve"> termination, or waiver.  Any amendment, </w:t>
      </w:r>
      <w:r w:rsidR="00ED1EFF">
        <w:t xml:space="preserve">modification, </w:t>
      </w:r>
      <w:r>
        <w:t xml:space="preserve">termination, or waiver </w:t>
      </w:r>
      <w:bookmarkStart w:id="788" w:name="_DV_C202"/>
      <w:r>
        <w:t>effected</w:t>
      </w:r>
      <w:bookmarkStart w:id="789" w:name="_DV_M386"/>
      <w:bookmarkEnd w:id="788"/>
      <w:bookmarkEnd w:id="789"/>
      <w:r>
        <w:t xml:space="preserve"> in accordance with this </w:t>
      </w:r>
      <w:r>
        <w:rPr>
          <w:u w:val="single"/>
        </w:rPr>
        <w:t xml:space="preserve">Subsection </w:t>
      </w:r>
      <w:r>
        <w:rPr>
          <w:rStyle w:val="DeltaViewInsertion"/>
          <w:b w:val="0"/>
          <w:color w:val="000000"/>
          <w:szCs w:val="16"/>
          <w:u w:val="single"/>
        </w:rPr>
        <w:fldChar w:fldCharType="begin"/>
      </w:r>
      <w:r>
        <w:rPr>
          <w:u w:val="single"/>
        </w:rPr>
        <w:instrText xml:space="preserve"> REF _Ref264906397 \r \h </w:instrText>
      </w:r>
      <w:r>
        <w:rPr>
          <w:rStyle w:val="DeltaViewInsertion"/>
          <w:b w:val="0"/>
          <w:color w:val="000000"/>
          <w:szCs w:val="16"/>
          <w:u w:val="single"/>
        </w:rPr>
      </w:r>
      <w:r>
        <w:rPr>
          <w:rStyle w:val="DeltaViewInsertion"/>
          <w:b w:val="0"/>
          <w:color w:val="000000"/>
          <w:szCs w:val="16"/>
          <w:u w:val="single"/>
        </w:rPr>
        <w:instrText xml:space="preserve"> \* MERGEFORMAT </w:instrText>
      </w:r>
      <w:r>
        <w:rPr>
          <w:rStyle w:val="DeltaViewInsertion"/>
          <w:b w:val="0"/>
          <w:color w:val="000000"/>
          <w:szCs w:val="16"/>
          <w:u w:val="single"/>
        </w:rPr>
        <w:fldChar w:fldCharType="separate"/>
      </w:r>
      <w:r w:rsidR="00222212">
        <w:rPr>
          <w:u w:val="single"/>
        </w:rPr>
        <w:t>6.6</w:t>
      </w:r>
      <w:r>
        <w:rPr>
          <w:rStyle w:val="DeltaViewInsertion"/>
          <w:b w:val="0"/>
          <w:color w:val="000000"/>
          <w:szCs w:val="16"/>
          <w:u w:val="single"/>
        </w:rPr>
        <w:fldChar w:fldCharType="end"/>
      </w:r>
      <w:r>
        <w:t xml:space="preserve"> shall be binding on all parties hereto, regardless of whether any such party has consented thereto.  No waivers of or exceptions to any term, condition, or provision of this Agreement, in any one or more instances, shall be deemed to be or construed as a further or continuing waiver of any such term, condition, or provision.</w:t>
      </w:r>
      <w:bookmarkEnd w:id="779"/>
      <w:bookmarkEnd w:id="780"/>
      <w:bookmarkEnd w:id="781"/>
      <w:bookmarkEnd w:id="782"/>
    </w:p>
    <w:p w:rsidR="00B95ADB" w:rsidRDefault="00B95ADB">
      <w:pPr>
        <w:pStyle w:val="Heading2"/>
        <w:rPr>
          <w:vanish/>
          <w:specVanish/>
        </w:rPr>
      </w:pPr>
      <w:bookmarkStart w:id="790" w:name="_DV_M387"/>
      <w:bookmarkStart w:id="791" w:name="_Toc116180701"/>
      <w:bookmarkStart w:id="792" w:name="_Toc165866799"/>
      <w:bookmarkStart w:id="793" w:name="_Toc131593491"/>
      <w:bookmarkStart w:id="794" w:name="_Toc136067450"/>
      <w:bookmarkStart w:id="795" w:name="_Toc505091182"/>
      <w:bookmarkEnd w:id="790"/>
      <w:r>
        <w:t>Severability</w:t>
      </w:r>
      <w:bookmarkEnd w:id="795"/>
    </w:p>
    <w:p w:rsidR="00B95ADB" w:rsidRDefault="00B95ADB">
      <w:pPr>
        <w:pStyle w:val="Bod"/>
      </w:pPr>
      <w:r>
        <w:t>.  In case any one or more of the provisions contained in this Agreement is for any reason held to be invalid, illegal or unenforceable in any respect, such invalidity, illegality, or unenforceability shall not affect any other provision of this Agreement, and such invalid, illegal, or unenforceable provision shall be reformed and construed so that it will be valid, legal, and enforceable to the maximum extent permitted by law.</w:t>
      </w:r>
      <w:bookmarkStart w:id="796" w:name="_DV_M388"/>
      <w:bookmarkEnd w:id="791"/>
      <w:bookmarkEnd w:id="792"/>
      <w:bookmarkEnd w:id="793"/>
      <w:bookmarkEnd w:id="794"/>
      <w:bookmarkEnd w:id="796"/>
    </w:p>
    <w:p w:rsidR="00B95ADB" w:rsidRDefault="00B95ADB">
      <w:pPr>
        <w:pStyle w:val="Heading2"/>
        <w:rPr>
          <w:vanish/>
          <w:specVanish/>
        </w:rPr>
      </w:pPr>
      <w:bookmarkStart w:id="797" w:name="_DV_M389"/>
      <w:bookmarkStart w:id="798" w:name="_Toc116180702"/>
      <w:bookmarkStart w:id="799" w:name="_Toc165866800"/>
      <w:bookmarkStart w:id="800" w:name="_Toc131593492"/>
      <w:bookmarkStart w:id="801" w:name="_Toc136067451"/>
      <w:bookmarkStart w:id="802" w:name="_Toc505091183"/>
      <w:bookmarkEnd w:id="797"/>
      <w:r>
        <w:t>Aggregation of Stock</w:t>
      </w:r>
      <w:bookmarkEnd w:id="802"/>
    </w:p>
    <w:p w:rsidR="00B95ADB" w:rsidRDefault="00B95ADB">
      <w:pPr>
        <w:pStyle w:val="Bod"/>
      </w:pPr>
      <w:r>
        <w:t>.</w:t>
      </w:r>
      <w:bookmarkStart w:id="803" w:name="_DV_C205"/>
      <w:r>
        <w:rPr>
          <w:rStyle w:val="FootnoteReference"/>
          <w:color w:val="000000"/>
        </w:rPr>
        <w:footnoteReference w:id="59"/>
      </w:r>
      <w:bookmarkStart w:id="804" w:name="_DV_M391"/>
      <w:bookmarkEnd w:id="798"/>
      <w:bookmarkEnd w:id="799"/>
      <w:bookmarkEnd w:id="803"/>
      <w:bookmarkEnd w:id="804"/>
      <w:r>
        <w:t xml:space="preserve">  All shares of Registrable Securities held or acquired by Affiliates shall be aggregated together for the purpose of determining the availability of any rights under this Agreement and such Affiliated persons may apportion such rights as among themselves in any manner they deem appropriate.</w:t>
      </w:r>
      <w:bookmarkEnd w:id="800"/>
      <w:bookmarkEnd w:id="801"/>
    </w:p>
    <w:p w:rsidR="00B95ADB" w:rsidRDefault="00B95ADB">
      <w:pPr>
        <w:pStyle w:val="Heading2"/>
        <w:rPr>
          <w:vanish/>
          <w:specVanish/>
        </w:rPr>
      </w:pPr>
      <w:bookmarkStart w:id="805" w:name="_DV_M392"/>
      <w:bookmarkStart w:id="806" w:name="_Toc116180703"/>
      <w:bookmarkStart w:id="807" w:name="_Toc165866801"/>
      <w:bookmarkStart w:id="808" w:name="_Toc131593493"/>
      <w:bookmarkStart w:id="809" w:name="_Toc136067452"/>
      <w:bookmarkStart w:id="810" w:name="_Ref264904786"/>
      <w:bookmarkStart w:id="811" w:name="_Ref431298388"/>
      <w:bookmarkStart w:id="812" w:name="_Toc505091184"/>
      <w:bookmarkEnd w:id="805"/>
      <w:r>
        <w:t>Additional Investors</w:t>
      </w:r>
      <w:bookmarkEnd w:id="811"/>
      <w:bookmarkEnd w:id="812"/>
    </w:p>
    <w:p w:rsidR="00B95ADB" w:rsidRDefault="00B95ADB">
      <w:pPr>
        <w:pStyle w:val="Bod"/>
      </w:pPr>
      <w:r>
        <w:t xml:space="preserve">.  Notwithstanding anything to the contrary contained herein, if the Company issues additional shares of the Company’s Series [_] Preferred Stock after the date hereof, [whether pursuant to the Purchase Agreement or otherwise,] any purchaser of such shares of Series [_] Preferred Stock may become a party to this Agreement by executing and delivering an additional counterpart signature page to this Agreement, and thereafter shall be deemed an “Investor” for all purposes hereunder.  No action or consent by the Investors shall be required for such joinder to this Agreement by such additional </w:t>
      </w:r>
      <w:r>
        <w:rPr>
          <w:rStyle w:val="DeltaViewInsertion"/>
          <w:b w:val="0"/>
          <w:color w:val="000000"/>
          <w:szCs w:val="16"/>
          <w:u w:val="none"/>
        </w:rPr>
        <w:t>Investor</w:t>
      </w:r>
      <w:r>
        <w:t xml:space="preserve">, so long as such additional </w:t>
      </w:r>
      <w:r>
        <w:rPr>
          <w:rStyle w:val="DeltaViewInsertion"/>
          <w:b w:val="0"/>
          <w:color w:val="000000"/>
          <w:szCs w:val="16"/>
          <w:u w:val="none"/>
        </w:rPr>
        <w:t>Investor</w:t>
      </w:r>
      <w:r>
        <w:t xml:space="preserve"> has agreed in writing to be bound by all of the obligations as an “Investor” hereunder.</w:t>
      </w:r>
      <w:bookmarkStart w:id="813" w:name="_DV_M393"/>
      <w:bookmarkStart w:id="814" w:name="_Toc116180704"/>
      <w:bookmarkStart w:id="815" w:name="_Toc131593494"/>
      <w:bookmarkStart w:id="816" w:name="_Toc136067453"/>
      <w:bookmarkEnd w:id="806"/>
      <w:bookmarkEnd w:id="807"/>
      <w:bookmarkEnd w:id="808"/>
      <w:bookmarkEnd w:id="809"/>
      <w:bookmarkEnd w:id="810"/>
      <w:bookmarkEnd w:id="813"/>
    </w:p>
    <w:p w:rsidR="00B95ADB" w:rsidRDefault="00B95ADB">
      <w:pPr>
        <w:pStyle w:val="Heading2"/>
        <w:rPr>
          <w:vanish/>
          <w:specVanish/>
        </w:rPr>
      </w:pPr>
      <w:bookmarkStart w:id="817" w:name="_DV_M394"/>
      <w:bookmarkStart w:id="818" w:name="_Toc165866802"/>
      <w:bookmarkStart w:id="819" w:name="_Ref431386062"/>
      <w:bookmarkStart w:id="820" w:name="_Toc505091185"/>
      <w:bookmarkEnd w:id="817"/>
      <w:r>
        <w:t>Entire Agreement</w:t>
      </w:r>
      <w:bookmarkEnd w:id="819"/>
      <w:bookmarkEnd w:id="820"/>
    </w:p>
    <w:p w:rsidR="00B95ADB" w:rsidRDefault="00B95ADB">
      <w:pPr>
        <w:pStyle w:val="Bod"/>
      </w:pPr>
      <w:r>
        <w:t xml:space="preserve">.  This Agreement (including any Schedules and Exhibits hereto) constitutes the full and entire understanding and agreement </w:t>
      </w:r>
      <w:r>
        <w:rPr>
          <w:rStyle w:val="DeltaViewInsertion"/>
          <w:b w:val="0"/>
          <w:color w:val="000000"/>
          <w:szCs w:val="16"/>
          <w:u w:val="none"/>
        </w:rPr>
        <w:t>among</w:t>
      </w:r>
      <w:r>
        <w:t xml:space="preserve"> the parties with respect to the subject matter hereof, and any other written or oral agreement relating to the subject matter hereof existing between the parties is expressly canceled.  [Upon the effectiveness of this Agreement, the Prior Agreement shall be deemed amended and restated and superseded and replaced in its entirety by this Agreement, and shall be of no further force or effect.]</w:t>
      </w:r>
      <w:bookmarkStart w:id="821" w:name="_DV_C209"/>
      <w:r>
        <w:rPr>
          <w:rStyle w:val="FootnoteReference"/>
          <w:color w:val="000000"/>
        </w:rPr>
        <w:footnoteReference w:id="60"/>
      </w:r>
      <w:bookmarkEnd w:id="814"/>
      <w:bookmarkEnd w:id="815"/>
      <w:bookmarkEnd w:id="816"/>
      <w:bookmarkEnd w:id="818"/>
      <w:bookmarkEnd w:id="821"/>
    </w:p>
    <w:p w:rsidR="00B95ADB" w:rsidRDefault="00B95ADB">
      <w:pPr>
        <w:pStyle w:val="Heading2"/>
        <w:rPr>
          <w:vanish/>
          <w:color w:val="000000"/>
          <w:szCs w:val="16"/>
          <w:specVanish/>
        </w:rPr>
      </w:pPr>
      <w:bookmarkStart w:id="823" w:name="_DV_M396"/>
      <w:bookmarkStart w:id="824" w:name="_Toc116180705"/>
      <w:bookmarkStart w:id="825" w:name="_Toc165866803"/>
      <w:bookmarkStart w:id="826" w:name="_Toc131593495"/>
      <w:bookmarkStart w:id="827" w:name="_Toc136067454"/>
      <w:bookmarkStart w:id="828" w:name="_Toc355608303"/>
      <w:bookmarkStart w:id="829" w:name="_Toc505091186"/>
      <w:bookmarkEnd w:id="823"/>
      <w:r>
        <w:t>Dispute Resolution</w:t>
      </w:r>
      <w:bookmarkEnd w:id="828"/>
      <w:bookmarkEnd w:id="829"/>
    </w:p>
    <w:p w:rsidR="00B95ADB" w:rsidRDefault="00B95ADB">
      <w:pPr>
        <w:pStyle w:val="Bod"/>
        <w:rPr>
          <w:color w:val="000000"/>
          <w:szCs w:val="16"/>
        </w:rPr>
      </w:pPr>
      <w:r>
        <w:rPr>
          <w:color w:val="000000"/>
          <w:szCs w:val="16"/>
        </w:rPr>
        <w:t>.</w:t>
      </w:r>
      <w:bookmarkStart w:id="830" w:name="_DV_M399"/>
      <w:bookmarkEnd w:id="824"/>
      <w:bookmarkEnd w:id="825"/>
      <w:bookmarkEnd w:id="830"/>
      <w:r>
        <w:rPr>
          <w:color w:val="000000"/>
          <w:szCs w:val="16"/>
        </w:rPr>
        <w:t xml:space="preserve">  </w:t>
      </w:r>
      <w:bookmarkStart w:id="831" w:name="_Toc252196005"/>
      <w:bookmarkStart w:id="832" w:name="_Toc252196052"/>
      <w:bookmarkStart w:id="833" w:name="_Toc252196217"/>
      <w:bookmarkStart w:id="834" w:name="_Toc252196603"/>
      <w:bookmarkStart w:id="835" w:name="_Toc252196852"/>
      <w:r>
        <w:t>The parties (a) hereby irrevocably and unconditionally submit to the jurisdiction of the state courts of [</w:t>
      </w:r>
      <w:r>
        <w:rPr>
          <w:i/>
        </w:rPr>
        <w:t>state</w:t>
      </w:r>
      <w:r>
        <w:t>] and to the jurisdiction of the United States District Court for the District of [</w:t>
      </w:r>
      <w:r>
        <w:rPr>
          <w:i/>
        </w:rPr>
        <w:t>judicial district</w:t>
      </w:r>
      <w:r>
        <w:t>] for the purpose of any suit, action or other proceeding arising out of or based upon this Agreement, (b) agree not to commence any suit, action or other proceeding arising out of or based upon this Agreement except in the state courts of [</w:t>
      </w:r>
      <w:r>
        <w:rPr>
          <w:i/>
        </w:rPr>
        <w:t>state</w:t>
      </w:r>
      <w:r>
        <w:t>]</w:t>
      </w:r>
      <w:r>
        <w:rPr>
          <w:i/>
        </w:rPr>
        <w:t xml:space="preserve"> </w:t>
      </w:r>
      <w:r>
        <w:t>or the United States District Court for the District of [</w:t>
      </w:r>
      <w:r>
        <w:rPr>
          <w:i/>
        </w:rPr>
        <w:t>judicial district</w:t>
      </w:r>
      <w:r>
        <w:t xml:space="preserve">], and (c) hereby waive, and agree not to assert, by way of motion, as a defense, or otherwise, in any such suit, action or proceeding, any claim that it is not subject personally to the jurisdiction of the above-named courts, that its property is exempt or immune from attachment or execution, that the suit, action or proceeding is brought in an inconvenient forum, that the venue of the suit, action or proceeding is improper or that this Agreement or the subject matter hereof may not be enforced in or by such court.  </w:t>
      </w:r>
    </w:p>
    <w:p w:rsidR="00B95ADB" w:rsidRDefault="00CE2C13">
      <w:pPr>
        <w:pStyle w:val="Plain"/>
      </w:pPr>
      <w:r>
        <w:rPr>
          <w:caps/>
        </w:rPr>
        <w:t>[</w:t>
      </w:r>
      <w:r w:rsidR="00B95ADB">
        <w:rPr>
          <w:caps/>
        </w:rPr>
        <w:t>Waiver of Jury Trial</w:t>
      </w:r>
      <w:r w:rsidR="00B95ADB">
        <w:t>:</w:t>
      </w:r>
      <w:r w:rsidR="00B95ADB">
        <w:rPr>
          <w:b/>
        </w:rPr>
        <w:t xml:space="preserve"> </w:t>
      </w:r>
      <w:r w:rsidR="00B95ADB">
        <w:t>EACH PARTY HEREBY WAIVES ITS RIGHTS TO A JURY TRIAL OF ANY CLAIM OR CAUSE OF ACTION BASED UPON OR ARISING OUT OF THIS AGREEMENT, THE OTHER TRANSACTION DOCUMENTS, THE SECURITIES OR THE SUBJECT MATTER HEREOF OR THEREOF.  THE SCOPE OF THIS WAIVER IS INTENDED TO BE ALL-ENCOMPASSING OF ANY AND ALL DISPUTES THAT MAY BE FILED IN ANY COURT AND THAT RELATE TO THE SUBJECT MATTER OF THIS TRANSACTION, INCLUDING, WITHOUT LIMITATION, CONTRACT CLAIMS, TORT CLAIMS (INCLUDING NEGLIGENCE), BREACH OF DUTY CLAIMS, AND ALL OTHER COMMON LAW AND STATUTORY CLAIMS.  THIS SECTION HAS BEEN FULLY DISCUSSED BY EACH OF THE PARTIES HERETO AND THESE PROVISIONS WILL NOT BE SUBJECT TO ANY EXCEPTIONS.  EACH PARTY HERETO HEREBY FURTHER WARRANTS AND REPRESENTS THAT SUCH PARTY HAS REVIEWED THIS WAIVER WITH ITS LEGAL COUNSEL, AND THAT SUCH PARTY KNOWINGLY AND VOLUNTARILY WAIVES ITS JURY TRIAL RIGHTS FOLLOWING CONSULTATION WITH LEGAL COUNSEL.</w:t>
      </w:r>
      <w:r>
        <w:t>]</w:t>
      </w:r>
    </w:p>
    <w:p w:rsidR="00B95ADB" w:rsidRDefault="00B95ADB">
      <w:pPr>
        <w:pStyle w:val="Plain"/>
      </w:pPr>
      <w:r>
        <w:t>[</w:t>
      </w:r>
      <w:r>
        <w:rPr>
          <w:i/>
        </w:rPr>
        <w:t>Alternative</w:t>
      </w:r>
      <w:r>
        <w:t>:</w:t>
      </w:r>
      <w:r w:rsidR="00923EDD">
        <w:rPr>
          <w:rStyle w:val="FootnoteReference"/>
        </w:rPr>
        <w:footnoteReference w:id="61"/>
      </w:r>
      <w:r>
        <w:t xml:space="preserve"> Any unresolved controversy or claim arising out of or relating to this Agreement, except as (i) otherwise provided in this Agreement, or (ii) any such controversies or claims arising out of either party’s intellectual property rights for which a provisional remedy or equitable relief is sought, shall be submitted to arbitration by one arbitrator mutually agreed upon by the parties, and if no agreement can be reached within thirty (30) days after names of potential arbitrators have been proposed by the American Arbitration Association (the “</w:t>
      </w:r>
      <w:r>
        <w:rPr>
          <w:b/>
        </w:rPr>
        <w:t>AAA</w:t>
      </w:r>
      <w:r>
        <w:t>”), then by one arbitrator having reasonable experience in corporate finance transactions of the type provided for in this Agreement and who is chosen by the AAA.  The arbitration shall take place in [</w:t>
      </w:r>
      <w:r>
        <w:rPr>
          <w:i/>
        </w:rPr>
        <w:t>location</w:t>
      </w:r>
      <w:r>
        <w:t>], in accordance with the AAA rules then in effect, and judgment upon any award rendered in such arbitration will be binding and may be entered in any court having jurisdiction thereof.  There shall be limited discovery prior to the arbitration hearing as follows: (a) exchange of witness lists and copies of documentary evidence and documents relating to or arising out of the issues to be arbitrated, (b) depositions of all party witnesses and (c) such other depositions as may be allowed by the arbitrators upon a showing of good cause.  Depositions shall be conducted in accordance with the [</w:t>
      </w:r>
      <w:r>
        <w:rPr>
          <w:i/>
        </w:rPr>
        <w:t>state</w:t>
      </w:r>
      <w:r>
        <w:t xml:space="preserve">] Code of Civil Procedure, the arbitrator shall be required to provide in writing to the parties the basis for the award or order of such arbitrator, and a court reporter shall record all hearings, with such record constituting the official transcript of such proceedings.  </w:t>
      </w:r>
    </w:p>
    <w:p w:rsidR="00B95ADB" w:rsidRDefault="00B95ADB">
      <w:pPr>
        <w:pStyle w:val="Bod"/>
      </w:pPr>
      <w:r>
        <w:t>[Each party will bear its own costs in respect of any disputes arising under this Agreement.]  [The prevailing party shall be entitled to reasonable attorney’s fees, costs, and necessary disbursements in addition to any other relief to which such party may be entitled.]  Each of the parties to this Agreement consents to personal jurisdiction for any equitable action sought in the U.S. District Court for the District of [_____] or any court of the [State][Commonwealth] of [</w:t>
      </w:r>
      <w:r>
        <w:rPr>
          <w:i/>
        </w:rPr>
        <w:t>state</w:t>
      </w:r>
      <w:r>
        <w:t>] having subject matter jurisdiction.]</w:t>
      </w:r>
      <w:bookmarkEnd w:id="826"/>
      <w:bookmarkEnd w:id="827"/>
      <w:bookmarkEnd w:id="831"/>
      <w:bookmarkEnd w:id="832"/>
      <w:bookmarkEnd w:id="833"/>
      <w:bookmarkEnd w:id="834"/>
      <w:bookmarkEnd w:id="835"/>
    </w:p>
    <w:p w:rsidR="00260F4E" w:rsidRPr="002E1EE2" w:rsidRDefault="00260F4E" w:rsidP="00260F4E">
      <w:pPr>
        <w:pStyle w:val="Plain"/>
        <w:keepNext/>
      </w:pPr>
      <w:r>
        <w:t>[</w:t>
      </w:r>
      <w:r>
        <w:rPr>
          <w:i/>
        </w:rPr>
        <w:t>Alternative 2</w:t>
      </w:r>
      <w:r>
        <w:t>:</w:t>
      </w:r>
      <w:r>
        <w:rPr>
          <w:rStyle w:val="FootnoteReference"/>
        </w:rPr>
        <w:footnoteReference w:id="62"/>
      </w:r>
      <w:r>
        <w:t xml:space="preserve">  </w:t>
      </w:r>
    </w:p>
    <w:p w:rsidR="00260F4E" w:rsidRDefault="00260F4E" w:rsidP="00260F4E">
      <w:pPr>
        <w:pStyle w:val="Heading3"/>
      </w:pPr>
      <w:r w:rsidRPr="002E1EE2">
        <w:t>The parties hereto agree that any dispute or controversy arising out of,</w:t>
      </w:r>
      <w:r>
        <w:t xml:space="preserve"> </w:t>
      </w:r>
      <w:r w:rsidRPr="002E1EE2">
        <w:t>relating to, or in connection with this Agreement or the transactions contemplated hereby (a</w:t>
      </w:r>
      <w:r>
        <w:t xml:space="preserve"> </w:t>
      </w:r>
      <w:r w:rsidRPr="002E1EE2">
        <w:t>“</w:t>
      </w:r>
      <w:r w:rsidRPr="00A657D0">
        <w:rPr>
          <w:b/>
        </w:rPr>
        <w:t>Dispute</w:t>
      </w:r>
      <w:r w:rsidRPr="002E1EE2">
        <w:t>”) shall be arbitrated pursuant to the Delaware Rapid Arbitration Act, 10 Del. C § 5801,</w:t>
      </w:r>
      <w:r>
        <w:t xml:space="preserve"> </w:t>
      </w:r>
      <w:r w:rsidRPr="002E1EE2">
        <w:t>et seq. (the “</w:t>
      </w:r>
      <w:r w:rsidRPr="00A657D0">
        <w:rPr>
          <w:b/>
        </w:rPr>
        <w:t>DRAA</w:t>
      </w:r>
      <w:r w:rsidRPr="002E1EE2">
        <w:t>”). The parties agree to take all steps necessary or advisable to submit any</w:t>
      </w:r>
      <w:r>
        <w:t xml:space="preserve"> </w:t>
      </w:r>
      <w:r w:rsidRPr="002E1EE2">
        <w:t>Dispute that cannot be resolved by the parties for arbitration under the DRAA (the “</w:t>
      </w:r>
      <w:r w:rsidRPr="00ED4AB2">
        <w:rPr>
          <w:b/>
        </w:rPr>
        <w:t>Arbitration</w:t>
      </w:r>
      <w:r w:rsidRPr="002E1EE2">
        <w:t>”)</w:t>
      </w:r>
      <w:r>
        <w:t xml:space="preserve"> </w:t>
      </w:r>
      <w:r w:rsidRPr="002E1EE2">
        <w:t xml:space="preserve">in accordance with this </w:t>
      </w:r>
      <w:r w:rsidRPr="003C5467">
        <w:rPr>
          <w:u w:val="single"/>
        </w:rPr>
        <w:t>Subsection 6.1</w:t>
      </w:r>
      <w:r>
        <w:rPr>
          <w:u w:val="single"/>
          <w:lang w:val="en-US"/>
        </w:rPr>
        <w:t>1</w:t>
      </w:r>
      <w:r w:rsidRPr="002E1EE2">
        <w:t>, and each party represents and warrants that it is not a</w:t>
      </w:r>
      <w:r>
        <w:t xml:space="preserve"> </w:t>
      </w:r>
      <w:r w:rsidRPr="002E1EE2">
        <w:t>“consumer” as such term is defined in 6 Del. C. § 2731. By executing this Agreement, (i) each</w:t>
      </w:r>
      <w:r>
        <w:t xml:space="preserve"> </w:t>
      </w:r>
      <w:r w:rsidRPr="002E1EE2">
        <w:t>party waives, and acknowledges and agrees that it shall be deemed to have waived, any</w:t>
      </w:r>
      <w:r>
        <w:t xml:space="preserve"> </w:t>
      </w:r>
      <w:r w:rsidRPr="002E1EE2">
        <w:t>objection to the application of the procedures set forth in the DRAA, (ii) consents to the</w:t>
      </w:r>
      <w:r>
        <w:t xml:space="preserve"> </w:t>
      </w:r>
      <w:r w:rsidRPr="002E1EE2">
        <w:t>procedures set forth in the DRAA, and (iii) acknowledges and agrees that it has chosen freely to</w:t>
      </w:r>
      <w:r>
        <w:t xml:space="preserve"> </w:t>
      </w:r>
      <w:r w:rsidRPr="002E1EE2">
        <w:t>waive the matters set forth in subsections (b) and (c) of Section 5803 of the DRAA. In</w:t>
      </w:r>
      <w:r>
        <w:t xml:space="preserve"> </w:t>
      </w:r>
      <w:r w:rsidRPr="002E1EE2">
        <w:t xml:space="preserve">connection therewith, each party agrees that it </w:t>
      </w:r>
      <w:r w:rsidR="00A01A4C">
        <w:rPr>
          <w:lang w:val="en-US"/>
        </w:rPr>
        <w:t>will</w:t>
      </w:r>
      <w:r w:rsidRPr="002E1EE2">
        <w:t xml:space="preserve"> raise no objection to the</w:t>
      </w:r>
      <w:r>
        <w:t xml:space="preserve"> </w:t>
      </w:r>
      <w:r w:rsidRPr="002E1EE2">
        <w:t xml:space="preserve">submission of the Dispute to Arbitration in accordance with this </w:t>
      </w:r>
      <w:r w:rsidRPr="003C5467">
        <w:rPr>
          <w:u w:val="single"/>
        </w:rPr>
        <w:t>Subsection 6.</w:t>
      </w:r>
      <w:r w:rsidR="00CD57B1">
        <w:rPr>
          <w:u w:val="single"/>
          <w:lang w:val="en-US"/>
        </w:rPr>
        <w:t>11</w:t>
      </w:r>
      <w:r w:rsidRPr="002E1EE2">
        <w:t xml:space="preserve"> and</w:t>
      </w:r>
      <w:r w:rsidR="00A01A4C">
        <w:rPr>
          <w:lang w:val="en-US"/>
        </w:rPr>
        <w:t xml:space="preserve"> understands</w:t>
      </w:r>
      <w:r w:rsidRPr="002E1EE2">
        <w:t xml:space="preserve"> that it waives</w:t>
      </w:r>
      <w:r>
        <w:t xml:space="preserve"> </w:t>
      </w:r>
      <w:r w:rsidRPr="002E1EE2">
        <w:t>any right to lay claim to jurisdiction in any venue and any and all rights to have the Dispute</w:t>
      </w:r>
      <w:r>
        <w:t xml:space="preserve"> </w:t>
      </w:r>
      <w:r w:rsidRPr="002E1EE2">
        <w:t>decided by a jury.</w:t>
      </w:r>
    </w:p>
    <w:p w:rsidR="00260F4E" w:rsidRDefault="00260F4E" w:rsidP="00260F4E">
      <w:pPr>
        <w:pStyle w:val="Heading3"/>
      </w:pPr>
      <w:r>
        <w:t>The Arbitration shall be conducted in accordance with the Delaware Rapid Arbitration Rules, as such Rules may be amended or changed from time to time; provided that the parties may agree to depart from the Rules by (i) adopting new or different rules to govern the Arbitration or (ii) modifying or rejecting the application of certain of the Rules.</w:t>
      </w:r>
      <w:r>
        <w:rPr>
          <w:rStyle w:val="FootnoteReference"/>
        </w:rPr>
        <w:footnoteReference w:id="63"/>
      </w:r>
      <w:r>
        <w:t xml:space="preserve">  To be effective, any departure from the Rules shall require the consent of the Arbitrator and shall be in writing and signed by an authorized representative of each such party.   </w:t>
      </w:r>
    </w:p>
    <w:p w:rsidR="00260F4E" w:rsidRDefault="00260F4E" w:rsidP="00260F4E">
      <w:pPr>
        <w:pStyle w:val="Heading3"/>
      </w:pPr>
      <w:r>
        <w:t>The Arbitration shall take place in Wilmington, Delaware, or such other location as the parties and the Arbitrator may agree.</w:t>
      </w:r>
      <w:r>
        <w:rPr>
          <w:rStyle w:val="FootnoteReference"/>
        </w:rPr>
        <w:footnoteReference w:id="64"/>
      </w:r>
      <w:r w:rsidRPr="00FB3298">
        <w:t xml:space="preserve"> </w:t>
      </w:r>
    </w:p>
    <w:p w:rsidR="00260F4E" w:rsidRDefault="00260F4E" w:rsidP="00260F4E">
      <w:pPr>
        <w:pStyle w:val="Heading3"/>
      </w:pPr>
      <w:r>
        <w:t>The Arbitration shall be presided over by one arbitrator (the “</w:t>
      </w:r>
      <w:r w:rsidRPr="00ED4AB2">
        <w:rPr>
          <w:b/>
        </w:rPr>
        <w:t>Arbitrator</w:t>
      </w:r>
      <w:r>
        <w:t>”) who shall be [insert name of person]. In the event that [named person] fails to accept appointment as Arbitrator for any reason within five (5) days of being notified of such person’s appointment or otherwise becomes unwilling or unable to serve as arbitrator, the parties shall promptly meet and confer to identify a mutually agreeable replacement arbitrator (the “</w:t>
      </w:r>
      <w:r w:rsidRPr="00ED4AB2">
        <w:rPr>
          <w:b/>
        </w:rPr>
        <w:t>Replacement Arbitrator</w:t>
      </w:r>
      <w:r>
        <w:t>”). The Replacement Arbitrator shall be [describe qualifications of the Replacement Arbitrator]. In the event that the parties are unable to agree upon the identity of the Replacement Arbitrator within forty-five (45) days of the commencement of the Arbitration, or the Replacement Arbitrator is unable or unwilling to serve, then either party may file a petition with the Court of Chancery pursuant to Section 5805 of the DRAA.</w:t>
      </w:r>
      <w:r>
        <w:rPr>
          <w:rStyle w:val="FootnoteReference"/>
        </w:rPr>
        <w:footnoteReference w:id="65"/>
      </w:r>
      <w:r>
        <w:t xml:space="preserve">  </w:t>
      </w:r>
    </w:p>
    <w:p w:rsidR="00260F4E" w:rsidRDefault="00260F4E" w:rsidP="00260F4E">
      <w:pPr>
        <w:pStyle w:val="Heading3"/>
      </w:pPr>
      <w:r>
        <w:t>Each of the parties shall, subject to such limitations as the Arbitrator may prescribe, be entitled to collect documents and testimony from each other party, and the Arbitrator shall have the power to administer oaths and compel the production of witnesses and documents. The Arbitrator shall have the power to issue subpoenas and commissions for the taking of documents and testimony from third parties.</w:t>
      </w:r>
      <w:r>
        <w:rPr>
          <w:rStyle w:val="FootnoteReference"/>
        </w:rPr>
        <w:footnoteReference w:id="66"/>
      </w:r>
      <w:r>
        <w:t xml:space="preserve">  </w:t>
      </w:r>
    </w:p>
    <w:p w:rsidR="00260F4E" w:rsidRDefault="00260F4E" w:rsidP="00260F4E">
      <w:pPr>
        <w:pStyle w:val="Heading3"/>
      </w:pPr>
      <w:r>
        <w:t>The Arbitrator shall conduct the hearing, administer oaths, and make such rulings as are appropriate to the conduct of the proceedings. The Arbitrator shall allow each of the parties an opportunity to present evidence and witnesses and to cross examine witnesses presented by the opposing party.</w:t>
      </w:r>
      <w:r>
        <w:rPr>
          <w:rStyle w:val="FootnoteReference"/>
        </w:rPr>
        <w:footnoteReference w:id="67"/>
      </w:r>
      <w:r>
        <w:t xml:space="preserve">  </w:t>
      </w:r>
    </w:p>
    <w:p w:rsidR="00260F4E" w:rsidRDefault="00260F4E" w:rsidP="00260F4E">
      <w:pPr>
        <w:pStyle w:val="Heading3"/>
      </w:pPr>
      <w:r>
        <w:t>The arbitral award (the “</w:t>
      </w:r>
      <w:r w:rsidRPr="00ED4AB2">
        <w:rPr>
          <w:b/>
        </w:rPr>
        <w:t>Award</w:t>
      </w:r>
      <w:r>
        <w:t>”) shall (i) be rendered within [120] days after the Arbitrator’s acceptance of his or her appointment;</w:t>
      </w:r>
      <w:r>
        <w:rPr>
          <w:rStyle w:val="FootnoteReference"/>
        </w:rPr>
        <w:footnoteReference w:id="68"/>
      </w:r>
      <w:r>
        <w:t xml:space="preserve"> (ii) be delivered in writing; (iii) state the reasons for the Award;</w:t>
      </w:r>
      <w:r>
        <w:rPr>
          <w:rStyle w:val="FootnoteReference"/>
        </w:rPr>
        <w:footnoteReference w:id="69"/>
      </w:r>
      <w:r>
        <w:t xml:space="preserve"> (iv) be the sole and exclusive final and binding remedy with respect to the Dispute between and among the parties without the possibility of challenge or appeal, which are hereby waived;</w:t>
      </w:r>
      <w:r>
        <w:rPr>
          <w:rStyle w:val="FootnoteReference"/>
        </w:rPr>
        <w:footnoteReference w:id="70"/>
      </w:r>
      <w:r>
        <w:t xml:space="preserve"> and (v) be accompanied by a form of judgment. The Award shall be deemed an award of the United States, the relationship between the parties shall be deemed commercial in nature, and any Dispute arbitrated pursuant to this </w:t>
      </w:r>
      <w:r w:rsidRPr="003C5467">
        <w:rPr>
          <w:u w:val="single"/>
        </w:rPr>
        <w:t>Subs</w:t>
      </w:r>
      <w:r>
        <w:rPr>
          <w:u w:val="single"/>
        </w:rPr>
        <w:t>ection </w:t>
      </w:r>
      <w:r w:rsidRPr="003C5467">
        <w:rPr>
          <w:u w:val="single"/>
        </w:rPr>
        <w:t>6.1</w:t>
      </w:r>
      <w:r w:rsidR="00E132EE">
        <w:rPr>
          <w:u w:val="single"/>
          <w:lang w:val="en-US"/>
        </w:rPr>
        <w:t>1</w:t>
      </w:r>
      <w:r>
        <w:t xml:space="preserve"> shall be deemed commercial. The Arbitrator shall have the authority to grant any equitable or legal remedies, including, without limitation, entering preliminary or permanent injunctive relief; provided, however, that the Arbitrator shall not have the authority to award (and the parties waive the right to seek an award of) punitive or exemplary damages.</w:t>
      </w:r>
      <w:r>
        <w:rPr>
          <w:rStyle w:val="FootnoteReference"/>
        </w:rPr>
        <w:footnoteReference w:id="71"/>
      </w:r>
      <w:r w:rsidRPr="00F65E95">
        <w:t xml:space="preserve"> </w:t>
      </w:r>
    </w:p>
    <w:p w:rsidR="00260F4E" w:rsidRDefault="00260F4E" w:rsidP="00260F4E">
      <w:pPr>
        <w:pStyle w:val="Heading3"/>
      </w:pPr>
      <w:r>
        <w:t>The parties hereto agree that, subject to any non-waivable disclosure obligations under federal law, the Arbitration,</w:t>
      </w:r>
      <w:r>
        <w:rPr>
          <w:rStyle w:val="FootnoteReference"/>
        </w:rPr>
        <w:footnoteReference w:id="72"/>
      </w:r>
      <w:r>
        <w:t xml:space="preserve"> and all matters relating thereto or arising thereunder, including, without limitation, the existence of the Dispute, the Arbitration and all of its elements (including any pleadings, briefs or other documents submitted or exchanged, any testimony or other oral submissions, [any third-party discovery proceedings, including any discovery obtained pursuant thereto,]</w:t>
      </w:r>
      <w:r>
        <w:rPr>
          <w:rStyle w:val="FootnoteReference"/>
        </w:rPr>
        <w:footnoteReference w:id="73"/>
      </w:r>
      <w:r>
        <w:t xml:space="preserve"> and any decision of the Arbitrator or Award), shall be kept strictly confidential, and each party hereby agrees that such information shall not be disclosed beyond: (i) the Arbitrator and necessary support personnel; (ii) the participants in the Arbitration; (iii) those assisting the parties in the preparation or presentation of the Arbitration; (iv) other employees or agents of the parties with a need to know such information; and (v) any third parties that are subpoenaed or otherwise provide discovery in the Arbitration proceedings, only to the extent necessary to obtain such discovery.</w:t>
      </w:r>
      <w:r>
        <w:rPr>
          <w:rStyle w:val="FootnoteReference"/>
        </w:rPr>
        <w:footnoteReference w:id="74"/>
      </w:r>
      <w:r>
        <w:t xml:space="preserve">  In all events, the parties [and any third parties] participating in the Arbitration proceedings shall treat information pertaining to the Arbitration with the same care that they treat their most valuable proprietary secrets. In the event that federal law imposes upon either party an obligation to disclose the fact of the Arbitration or the nature of the claims or counterclaims asserted, such party(-ies) shall disclose no more than the minimum information required by law after first consulting with and attempting in good faith to reach agreement with the opposing party(-ies) regarding the scope and content of any such required disclosure.</w:t>
      </w:r>
      <w:r w:rsidRPr="006A2F33">
        <w:t xml:space="preserve"> </w:t>
      </w:r>
    </w:p>
    <w:p w:rsidR="00260F4E" w:rsidRDefault="00260F4E" w:rsidP="00260F4E">
      <w:pPr>
        <w:pStyle w:val="Heading3"/>
      </w:pPr>
      <w:r>
        <w:t>Each party hereto shall bear its own legal fees and costs in connection with the Arbitration; provided, however, that each such party shall pay one-half of any filing fees, fees and expenses of the Arbitrator or other similar costs incurred by the parties in connection with the prosecution of the Arbitration.</w:t>
      </w:r>
      <w:r>
        <w:rPr>
          <w:rStyle w:val="FootnoteReference"/>
        </w:rPr>
        <w:footnoteReference w:id="75"/>
      </w:r>
      <w:r>
        <w:t xml:space="preserve">    </w:t>
      </w:r>
    </w:p>
    <w:p w:rsidR="00260F4E" w:rsidRDefault="00260F4E" w:rsidP="00260F4E">
      <w:pPr>
        <w:pStyle w:val="Heading3"/>
      </w:pPr>
      <w:r>
        <w:t>Notwithstanding any provisions of this Agreement, or any statute protecting the confidentiality of the Arbitration and proceedings taken in connection therewith, in the event that either party in the Arbitration (the “</w:t>
      </w:r>
      <w:r w:rsidRPr="00ED4AB2">
        <w:rPr>
          <w:b/>
        </w:rPr>
        <w:t>Respondent</w:t>
      </w:r>
      <w:r>
        <w:t>”) is required to defend himself,</w:t>
      </w:r>
      <w:r w:rsidRPr="006A2F33">
        <w:t xml:space="preserve"> </w:t>
      </w:r>
      <w:r>
        <w:t>herself or itself in response to later proceedings instituted by the other in any court, relating to matters decided in the Arbitration, such party shall be relieved of any obligation to hold confidential the Arbitration and its proceedings in order to submit, confidentially if and to the extent possible, sufficient information to such court to allow it to determine whether the doctrines of res judicata, collateral estoppel, bar by judgment, or other, similar doctrines apply to such subsequent proceedings.</w:t>
      </w:r>
      <w:r w:rsidRPr="00794D73">
        <w:t xml:space="preserve"> </w:t>
      </w:r>
    </w:p>
    <w:p w:rsidR="00260F4E" w:rsidRDefault="00260F4E" w:rsidP="00260F4E">
      <w:pPr>
        <w:pStyle w:val="Heading3"/>
      </w:pPr>
      <w:r>
        <w:t xml:space="preserve">Notwithstanding anything to the contrary set forth in this </w:t>
      </w:r>
      <w:r w:rsidRPr="003C5467">
        <w:rPr>
          <w:u w:val="single"/>
        </w:rPr>
        <w:t>Subsection 6.1</w:t>
      </w:r>
      <w:r w:rsidR="00E132EE">
        <w:rPr>
          <w:u w:val="single"/>
          <w:lang w:val="en-US"/>
        </w:rPr>
        <w:t>1</w:t>
      </w:r>
      <w:r>
        <w:t xml:space="preserve">, if any amendment to the Act is enacted after the date of this Agreement, and such amendment would render any provision of this </w:t>
      </w:r>
      <w:r w:rsidRPr="003C5467">
        <w:rPr>
          <w:u w:val="single"/>
        </w:rPr>
        <w:t>Subsection 6.1</w:t>
      </w:r>
      <w:r w:rsidR="00E132EE">
        <w:rPr>
          <w:u w:val="single"/>
          <w:lang w:val="en-US"/>
        </w:rPr>
        <w:t>1</w:t>
      </w:r>
      <w:r>
        <w:t xml:space="preserve"> unenforceable thereunder, such provision shall be excluded and the remaining provisions of this </w:t>
      </w:r>
      <w:r w:rsidRPr="003C5467">
        <w:rPr>
          <w:u w:val="single"/>
        </w:rPr>
        <w:t>Subsection 6.1</w:t>
      </w:r>
      <w:r w:rsidR="00E132EE">
        <w:rPr>
          <w:u w:val="single"/>
          <w:lang w:val="en-US"/>
        </w:rPr>
        <w:t>1</w:t>
      </w:r>
      <w:r>
        <w:t xml:space="preserve"> shall be enforced to the fullest extent permitted by law.</w:t>
      </w:r>
      <w:r w:rsidRPr="00E13026">
        <w:t xml:space="preserve"> </w:t>
      </w:r>
    </w:p>
    <w:p w:rsidR="00260F4E" w:rsidRDefault="00260F4E" w:rsidP="00260F4E">
      <w:pPr>
        <w:pStyle w:val="Heading3"/>
      </w:pPr>
      <w:r>
        <w:t>[Any challenge to the final award of the Arbitrator shall be brought before the Supreme Court of the State of Delaware within the time frame provided in the DRAA, and pursuant to the Rules of such Court.</w:t>
      </w:r>
      <w:r>
        <w:rPr>
          <w:rStyle w:val="FootnoteReference"/>
        </w:rPr>
        <w:footnoteReference w:id="76"/>
      </w:r>
      <w:r>
        <w:t>] [</w:t>
      </w:r>
      <w:r w:rsidRPr="00672E7C">
        <w:rPr>
          <w:i/>
        </w:rPr>
        <w:t>Alternative</w:t>
      </w:r>
      <w:r>
        <w:rPr>
          <w:i/>
        </w:rPr>
        <w:t xml:space="preserve"> A</w:t>
      </w:r>
      <w:r w:rsidRPr="00672E7C">
        <w:rPr>
          <w:i/>
        </w:rPr>
        <w:t>:</w:t>
      </w:r>
      <w:r>
        <w:rPr>
          <w:rStyle w:val="FootnoteReference"/>
          <w:i/>
        </w:rPr>
        <w:footnoteReference w:id="77"/>
      </w:r>
      <w:r>
        <w:t xml:space="preserve"> Any challenge to the final award of the Arbitrator shall be made before a panel of three (3) appellate arbitrators, who shall be [insert names or description of appellate arbitrators].</w:t>
      </w:r>
      <w:bookmarkStart w:id="836" w:name="_Ref474938186"/>
      <w:r>
        <w:rPr>
          <w:rStyle w:val="FootnoteReference"/>
        </w:rPr>
        <w:footnoteReference w:id="78"/>
      </w:r>
      <w:bookmarkEnd w:id="836"/>
      <w:r>
        <w:t xml:space="preserve"> The appellate panel may only vacate, modify, or correct the final award in conformity with the Federal Arbitration Act.</w:t>
      </w:r>
      <w:r>
        <w:rPr>
          <w:rStyle w:val="FootnoteReference"/>
        </w:rPr>
        <w:footnoteReference w:id="79"/>
      </w:r>
      <w:r>
        <w:t>] [</w:t>
      </w:r>
      <w:r w:rsidRPr="00F66092">
        <w:rPr>
          <w:i/>
        </w:rPr>
        <w:t>Alternative B:</w:t>
      </w:r>
      <w:r>
        <w:rPr>
          <w:rStyle w:val="FootnoteReference"/>
          <w:i/>
        </w:rPr>
        <w:footnoteReference w:id="80"/>
      </w:r>
      <w:r>
        <w:t xml:space="preserve"> Any challenge to the final award of the Arbitrator shall be made before a panel of three (3) appellate arbitrators, who shall be [insert names or description of appellate arbitrators].</w:t>
      </w:r>
      <w:r>
        <w:rPr>
          <w:rStyle w:val="FootnoteReference"/>
        </w:rPr>
        <w:footnoteReference w:id="81"/>
      </w:r>
      <w:r>
        <w:t xml:space="preserve"> The scope of the appeal shall not be limited to the scope of a challenge under the Federal Arbitration Act, but instead shall be the same as any appeal from a judgment in a civil action filed in court.]]</w:t>
      </w:r>
    </w:p>
    <w:p w:rsidR="00B95ADB" w:rsidRDefault="00B95ADB">
      <w:pPr>
        <w:pStyle w:val="Heading2"/>
        <w:rPr>
          <w:vanish/>
          <w:specVanish/>
        </w:rPr>
      </w:pPr>
      <w:bookmarkStart w:id="837" w:name="_DV_M400"/>
      <w:bookmarkStart w:id="838" w:name="_Toc116180706"/>
      <w:bookmarkStart w:id="839" w:name="_Toc165866804"/>
      <w:bookmarkStart w:id="840" w:name="_Toc131593496"/>
      <w:bookmarkStart w:id="841" w:name="_Toc136067455"/>
      <w:bookmarkStart w:id="842" w:name="_Toc355608304"/>
      <w:bookmarkStart w:id="843" w:name="_Toc505091187"/>
      <w:bookmarkEnd w:id="837"/>
      <w:r>
        <w:t>Delays or Omissions</w:t>
      </w:r>
      <w:bookmarkEnd w:id="842"/>
      <w:bookmarkEnd w:id="843"/>
    </w:p>
    <w:p w:rsidR="00B95ADB" w:rsidRDefault="00B95ADB" w:rsidP="00923EDD">
      <w:pPr>
        <w:pStyle w:val="Bod"/>
      </w:pPr>
      <w:r>
        <w:t>.  No delay or omission to exercise any right, power, or remedy accruing to any party under this Agreement, upon any breach or default of any other party under this Agreement, shall impair any such right, power, or remedy of such nonbreaching or nondefaulting party, nor shall it be construed to be a waiver of or acquiescence to any such breach or default, or to any similar breach or default thereafter occurring, nor shall any waiver of any single breach or default be deemed a waiver of any other breach or default theretofore or thereafter occurring.  All remedies, whether under this Agreement or by law or otherwise afforded to any party, shall be cumulative and not alternative.</w:t>
      </w:r>
      <w:bookmarkStart w:id="844" w:name="_DV_M401"/>
      <w:bookmarkStart w:id="845" w:name="_DV_M402"/>
      <w:bookmarkStart w:id="846" w:name="_DV_M403"/>
      <w:bookmarkEnd w:id="838"/>
      <w:bookmarkEnd w:id="839"/>
      <w:bookmarkEnd w:id="840"/>
      <w:bookmarkEnd w:id="841"/>
      <w:bookmarkEnd w:id="844"/>
      <w:bookmarkEnd w:id="845"/>
      <w:bookmarkEnd w:id="846"/>
    </w:p>
    <w:p w:rsidR="00EC28D4" w:rsidRPr="00EC28D4" w:rsidRDefault="00EC28D4" w:rsidP="00923EDD">
      <w:pPr>
        <w:pStyle w:val="Bod"/>
      </w:pPr>
    </w:p>
    <w:p w:rsidR="00B95ADB" w:rsidRDefault="00B95ADB">
      <w:pPr>
        <w:pStyle w:val="BodyText"/>
        <w:spacing w:after="240"/>
        <w:jc w:val="center"/>
        <w:rPr>
          <w:color w:val="000000"/>
          <w:sz w:val="24"/>
          <w:szCs w:val="16"/>
        </w:rPr>
      </w:pPr>
      <w:bookmarkStart w:id="847" w:name="_DV_M404"/>
      <w:bookmarkEnd w:id="847"/>
      <w:r>
        <w:rPr>
          <w:color w:val="000000"/>
          <w:sz w:val="24"/>
          <w:szCs w:val="16"/>
        </w:rPr>
        <w:t>[Remainder of Page Intentionally Left Blank]</w:t>
      </w:r>
    </w:p>
    <w:p w:rsidR="00B95ADB" w:rsidRDefault="00B95ADB">
      <w:pPr>
        <w:pStyle w:val="BodyText"/>
        <w:ind w:firstLine="1440"/>
        <w:jc w:val="both"/>
        <w:rPr>
          <w:color w:val="000000"/>
          <w:sz w:val="24"/>
          <w:szCs w:val="16"/>
        </w:rPr>
        <w:sectPr w:rsidR="00B95ADB">
          <w:headerReference w:type="default" r:id="rId16"/>
          <w:footerReference w:type="default" r:id="rId17"/>
          <w:headerReference w:type="first" r:id="rId18"/>
          <w:footerReference w:type="first" r:id="rId19"/>
          <w:pgSz w:w="12240" w:h="15840" w:code="1"/>
          <w:pgMar w:top="1440" w:right="1440" w:bottom="1440" w:left="1440" w:header="720" w:footer="720" w:gutter="0"/>
          <w:pgNumType w:start="1"/>
          <w:cols w:space="720"/>
          <w:noEndnote/>
          <w:titlePg/>
          <w:docGrid w:linePitch="326"/>
        </w:sectPr>
      </w:pPr>
      <w:bookmarkStart w:id="848" w:name="_DV_M405"/>
      <w:bookmarkEnd w:id="848"/>
    </w:p>
    <w:p w:rsidR="00B95ADB" w:rsidRDefault="00B95ADB">
      <w:pPr>
        <w:pStyle w:val="Bod"/>
      </w:pPr>
      <w:r>
        <w:t>IN WITNESS WHEREOF, the parties have executed this Agreement as of the date first written above.</w:t>
      </w:r>
    </w:p>
    <w:p w:rsidR="00B95ADB" w:rsidRDefault="00B95ADB">
      <w:pPr>
        <w:pStyle w:val="Company-1"/>
        <w:rPr>
          <w:i/>
        </w:rPr>
      </w:pPr>
      <w:r>
        <w:rPr>
          <w:i/>
        </w:rPr>
        <w:t>[Insert Company Name]</w:t>
      </w:r>
    </w:p>
    <w:p w:rsidR="00B95ADB" w:rsidRDefault="00B95ADB">
      <w:pPr>
        <w:pStyle w:val="Company-1"/>
      </w:pPr>
      <w:r>
        <w:t>By:</w:t>
      </w:r>
      <w:r>
        <w:tab/>
      </w:r>
      <w:r>
        <w:rPr>
          <w:u w:val="single"/>
        </w:rPr>
        <w:tab/>
      </w:r>
    </w:p>
    <w:p w:rsidR="00B95ADB" w:rsidRDefault="00B95ADB">
      <w:pPr>
        <w:pStyle w:val="Company-1"/>
        <w:rPr>
          <w:u w:val="single"/>
        </w:rPr>
      </w:pPr>
      <w:r>
        <w:t>Name:</w:t>
      </w:r>
      <w:r>
        <w:rPr>
          <w:u w:val="single"/>
        </w:rPr>
        <w:tab/>
      </w:r>
    </w:p>
    <w:p w:rsidR="00B95ADB" w:rsidRDefault="00B95ADB">
      <w:pPr>
        <w:pStyle w:val="Company-1"/>
        <w:rPr>
          <w:u w:val="single"/>
        </w:rPr>
      </w:pPr>
      <w:r>
        <w:t>Title:</w:t>
      </w:r>
      <w:r>
        <w:tab/>
      </w:r>
      <w:r>
        <w:rPr>
          <w:u w:val="single"/>
        </w:rPr>
        <w:tab/>
      </w:r>
    </w:p>
    <w:p w:rsidR="00B95ADB" w:rsidRDefault="00B95ADB">
      <w:pPr>
        <w:pStyle w:val="Company-1"/>
        <w:rPr>
          <w:u w:val="single"/>
        </w:rPr>
      </w:pPr>
    </w:p>
    <w:p w:rsidR="00B95ADB" w:rsidRDefault="00B95ADB">
      <w:pPr>
        <w:pStyle w:val="Company-1"/>
      </w:pPr>
      <w:r>
        <w:t>KEY HOLDERS:</w:t>
      </w:r>
    </w:p>
    <w:p w:rsidR="00B95ADB" w:rsidRDefault="00B95ADB">
      <w:pPr>
        <w:pStyle w:val="Company-1"/>
      </w:pPr>
      <w:r>
        <w:t>Signature:</w:t>
      </w:r>
      <w:r>
        <w:rPr>
          <w:u w:val="single"/>
        </w:rPr>
        <w:tab/>
      </w:r>
    </w:p>
    <w:p w:rsidR="00B95ADB" w:rsidRDefault="00B95ADB">
      <w:pPr>
        <w:pStyle w:val="Company-1"/>
        <w:rPr>
          <w:u w:val="single"/>
        </w:rPr>
      </w:pPr>
      <w:r>
        <w:t>Name:</w:t>
      </w:r>
      <w:r>
        <w:rPr>
          <w:u w:val="single"/>
        </w:rPr>
        <w:tab/>
      </w:r>
    </w:p>
    <w:p w:rsidR="00B95ADB" w:rsidRDefault="00B95ADB">
      <w:pPr>
        <w:pStyle w:val="Company-1"/>
      </w:pPr>
    </w:p>
    <w:p w:rsidR="00B95ADB" w:rsidRDefault="00B95ADB">
      <w:pPr>
        <w:pStyle w:val="Company-1"/>
      </w:pPr>
      <w:r>
        <w:t>INVESTORS:</w:t>
      </w:r>
    </w:p>
    <w:p w:rsidR="00B95ADB" w:rsidRDefault="00B95ADB">
      <w:pPr>
        <w:pStyle w:val="Company-1"/>
      </w:pPr>
      <w:r>
        <w:t>By:</w:t>
      </w:r>
      <w:r>
        <w:tab/>
      </w:r>
      <w:r>
        <w:rPr>
          <w:u w:val="single"/>
        </w:rPr>
        <w:tab/>
      </w:r>
    </w:p>
    <w:p w:rsidR="00B95ADB" w:rsidRDefault="00B95ADB">
      <w:pPr>
        <w:pStyle w:val="Company-1"/>
      </w:pPr>
      <w:r>
        <w:t>Name:</w:t>
      </w:r>
      <w:r>
        <w:rPr>
          <w:u w:val="single"/>
        </w:rPr>
        <w:tab/>
      </w:r>
    </w:p>
    <w:p w:rsidR="00B95ADB" w:rsidRDefault="00B95ADB">
      <w:pPr>
        <w:pStyle w:val="Company-1"/>
        <w:rPr>
          <w:color w:val="000000"/>
          <w:szCs w:val="16"/>
        </w:rPr>
      </w:pPr>
      <w:r>
        <w:t>Title:</w:t>
      </w:r>
      <w:r>
        <w:tab/>
      </w:r>
      <w:r>
        <w:rPr>
          <w:u w:val="single"/>
        </w:rPr>
        <w:tab/>
      </w:r>
    </w:p>
    <w:p w:rsidR="00B95ADB" w:rsidRDefault="00B95ADB">
      <w:pPr>
        <w:spacing w:after="0"/>
        <w:rPr>
          <w:color w:val="000000"/>
          <w:szCs w:val="16"/>
        </w:rPr>
        <w:sectPr w:rsidR="00B95ADB">
          <w:footerReference w:type="default" r:id="rId20"/>
          <w:pgSz w:w="12240" w:h="15840" w:code="1"/>
          <w:pgMar w:top="1440" w:right="1440" w:bottom="1440" w:left="1440" w:header="720" w:footer="720" w:gutter="0"/>
          <w:pgNumType w:start="1"/>
          <w:cols w:space="720"/>
          <w:noEndnote/>
        </w:sectPr>
      </w:pPr>
    </w:p>
    <w:p w:rsidR="00B95ADB" w:rsidRDefault="00B95ADB">
      <w:pPr>
        <w:jc w:val="center"/>
        <w:rPr>
          <w:b/>
          <w:color w:val="000000"/>
          <w:szCs w:val="16"/>
        </w:rPr>
      </w:pPr>
      <w:bookmarkStart w:id="849" w:name="_DV_M406"/>
      <w:bookmarkEnd w:id="849"/>
      <w:r>
        <w:rPr>
          <w:b/>
          <w:color w:val="000000"/>
          <w:szCs w:val="16"/>
        </w:rPr>
        <w:t>SCHEDULE A</w:t>
      </w:r>
    </w:p>
    <w:p w:rsidR="00B95ADB" w:rsidRDefault="00B95ADB">
      <w:pPr>
        <w:spacing w:after="360"/>
        <w:jc w:val="center"/>
        <w:rPr>
          <w:b/>
          <w:color w:val="000000"/>
          <w:szCs w:val="16"/>
        </w:rPr>
      </w:pPr>
      <w:bookmarkStart w:id="850" w:name="_DV_M407"/>
      <w:bookmarkEnd w:id="850"/>
      <w:r>
        <w:rPr>
          <w:b/>
          <w:color w:val="000000"/>
          <w:szCs w:val="16"/>
        </w:rPr>
        <w:t>Investors</w:t>
      </w:r>
    </w:p>
    <w:p w:rsidR="00B95ADB" w:rsidRDefault="00B95ADB">
      <w:pPr>
        <w:pStyle w:val="Date"/>
        <w:spacing w:after="0"/>
        <w:rPr>
          <w:i/>
          <w:color w:val="000000"/>
          <w:szCs w:val="16"/>
        </w:rPr>
      </w:pPr>
      <w:bookmarkStart w:id="851" w:name="_DV_M408"/>
      <w:bookmarkEnd w:id="851"/>
      <w:r>
        <w:rPr>
          <w:i/>
          <w:color w:val="000000"/>
          <w:szCs w:val="16"/>
        </w:rPr>
        <w:t>[Investor Name</w:t>
      </w:r>
    </w:p>
    <w:p w:rsidR="00B95ADB" w:rsidRDefault="00B95ADB">
      <w:pPr>
        <w:spacing w:after="0"/>
        <w:rPr>
          <w:i/>
          <w:color w:val="000000"/>
          <w:szCs w:val="16"/>
        </w:rPr>
      </w:pPr>
      <w:bookmarkStart w:id="852" w:name="_DV_M409"/>
      <w:bookmarkEnd w:id="852"/>
      <w:r>
        <w:rPr>
          <w:i/>
          <w:color w:val="000000"/>
          <w:szCs w:val="16"/>
        </w:rPr>
        <w:t>Address</w:t>
      </w:r>
    </w:p>
    <w:p w:rsidR="00B95ADB" w:rsidRDefault="00B95ADB">
      <w:pPr>
        <w:spacing w:after="0"/>
        <w:rPr>
          <w:i/>
          <w:color w:val="000000"/>
          <w:szCs w:val="16"/>
        </w:rPr>
      </w:pPr>
      <w:bookmarkStart w:id="853" w:name="_DV_M410"/>
      <w:bookmarkEnd w:id="853"/>
      <w:r>
        <w:rPr>
          <w:i/>
          <w:color w:val="000000"/>
          <w:szCs w:val="16"/>
        </w:rPr>
        <w:t>Phone Number</w:t>
      </w:r>
    </w:p>
    <w:p w:rsidR="00B95ADB" w:rsidRDefault="00B95ADB">
      <w:pPr>
        <w:spacing w:after="0"/>
        <w:rPr>
          <w:i/>
          <w:color w:val="000000"/>
          <w:szCs w:val="16"/>
        </w:rPr>
      </w:pPr>
      <w:bookmarkStart w:id="854" w:name="_DV_M411"/>
      <w:bookmarkEnd w:id="854"/>
      <w:r>
        <w:rPr>
          <w:i/>
          <w:color w:val="000000"/>
          <w:szCs w:val="16"/>
        </w:rPr>
        <w:t>Fax Number</w:t>
      </w:r>
    </w:p>
    <w:p w:rsidR="00B95ADB" w:rsidRDefault="00B95ADB">
      <w:pPr>
        <w:spacing w:after="0"/>
        <w:rPr>
          <w:i/>
          <w:color w:val="000000"/>
          <w:szCs w:val="16"/>
        </w:rPr>
      </w:pPr>
      <w:bookmarkStart w:id="855" w:name="_DV_M412"/>
      <w:bookmarkEnd w:id="855"/>
      <w:r>
        <w:rPr>
          <w:i/>
          <w:color w:val="000000"/>
          <w:szCs w:val="16"/>
        </w:rPr>
        <w:t>Email]</w:t>
      </w:r>
    </w:p>
    <w:p w:rsidR="00B95ADB" w:rsidRDefault="00B95ADB">
      <w:pPr>
        <w:spacing w:after="0"/>
        <w:rPr>
          <w:i/>
          <w:color w:val="000000"/>
          <w:szCs w:val="16"/>
        </w:rPr>
      </w:pPr>
    </w:p>
    <w:p w:rsidR="00B95ADB" w:rsidRDefault="00B95ADB">
      <w:pPr>
        <w:pStyle w:val="Date"/>
        <w:spacing w:after="0"/>
        <w:rPr>
          <w:i/>
          <w:color w:val="000000"/>
          <w:szCs w:val="16"/>
        </w:rPr>
      </w:pPr>
      <w:bookmarkStart w:id="856" w:name="_DV_M413"/>
      <w:bookmarkEnd w:id="856"/>
      <w:r>
        <w:rPr>
          <w:i/>
          <w:color w:val="000000"/>
          <w:szCs w:val="16"/>
        </w:rPr>
        <w:t>[Investor Name</w:t>
      </w:r>
    </w:p>
    <w:p w:rsidR="00B95ADB" w:rsidRDefault="00B95ADB">
      <w:pPr>
        <w:spacing w:after="0"/>
        <w:rPr>
          <w:i/>
          <w:color w:val="000000"/>
          <w:szCs w:val="16"/>
        </w:rPr>
      </w:pPr>
      <w:bookmarkStart w:id="857" w:name="_DV_M414"/>
      <w:bookmarkEnd w:id="857"/>
      <w:r>
        <w:rPr>
          <w:i/>
          <w:color w:val="000000"/>
          <w:szCs w:val="16"/>
        </w:rPr>
        <w:t>Address</w:t>
      </w:r>
    </w:p>
    <w:p w:rsidR="00B95ADB" w:rsidRDefault="00B95ADB">
      <w:pPr>
        <w:spacing w:after="0"/>
        <w:rPr>
          <w:i/>
          <w:color w:val="000000"/>
          <w:szCs w:val="16"/>
        </w:rPr>
      </w:pPr>
      <w:bookmarkStart w:id="858" w:name="_DV_M415"/>
      <w:bookmarkEnd w:id="858"/>
      <w:r>
        <w:rPr>
          <w:i/>
          <w:color w:val="000000"/>
          <w:szCs w:val="16"/>
        </w:rPr>
        <w:t>Phone Number</w:t>
      </w:r>
    </w:p>
    <w:p w:rsidR="00B95ADB" w:rsidRDefault="00B95ADB">
      <w:pPr>
        <w:spacing w:after="0"/>
        <w:rPr>
          <w:i/>
          <w:color w:val="000000"/>
          <w:szCs w:val="16"/>
        </w:rPr>
      </w:pPr>
      <w:bookmarkStart w:id="859" w:name="_DV_M416"/>
      <w:bookmarkEnd w:id="859"/>
      <w:r>
        <w:rPr>
          <w:i/>
          <w:color w:val="000000"/>
          <w:szCs w:val="16"/>
        </w:rPr>
        <w:t>Fax Number</w:t>
      </w:r>
    </w:p>
    <w:p w:rsidR="00B95ADB" w:rsidRDefault="00B95ADB">
      <w:pPr>
        <w:spacing w:after="0"/>
        <w:rPr>
          <w:i/>
          <w:color w:val="000000"/>
          <w:szCs w:val="16"/>
        </w:rPr>
      </w:pPr>
      <w:bookmarkStart w:id="860" w:name="_DV_M417"/>
      <w:bookmarkEnd w:id="860"/>
      <w:r>
        <w:rPr>
          <w:i/>
          <w:color w:val="000000"/>
          <w:szCs w:val="16"/>
        </w:rPr>
        <w:t>Email]</w:t>
      </w:r>
    </w:p>
    <w:p w:rsidR="00B95ADB" w:rsidRDefault="00B95ADB">
      <w:pPr>
        <w:spacing w:after="0"/>
        <w:rPr>
          <w:i/>
          <w:color w:val="000000"/>
          <w:szCs w:val="16"/>
        </w:rPr>
      </w:pPr>
    </w:p>
    <w:p w:rsidR="00B95ADB" w:rsidRDefault="00B95ADB">
      <w:pPr>
        <w:pStyle w:val="Date"/>
        <w:spacing w:after="0"/>
        <w:rPr>
          <w:i/>
          <w:color w:val="000000"/>
          <w:szCs w:val="16"/>
        </w:rPr>
      </w:pPr>
      <w:bookmarkStart w:id="861" w:name="_DV_M418"/>
      <w:bookmarkEnd w:id="861"/>
      <w:r>
        <w:rPr>
          <w:i/>
          <w:color w:val="000000"/>
          <w:szCs w:val="16"/>
        </w:rPr>
        <w:t>[Investor Name</w:t>
      </w:r>
    </w:p>
    <w:p w:rsidR="00B95ADB" w:rsidRDefault="00B95ADB">
      <w:pPr>
        <w:spacing w:after="0"/>
        <w:rPr>
          <w:i/>
          <w:color w:val="000000"/>
          <w:szCs w:val="16"/>
        </w:rPr>
      </w:pPr>
      <w:bookmarkStart w:id="862" w:name="_DV_M419"/>
      <w:bookmarkEnd w:id="862"/>
      <w:r>
        <w:rPr>
          <w:i/>
          <w:color w:val="000000"/>
          <w:szCs w:val="16"/>
        </w:rPr>
        <w:t>Address</w:t>
      </w:r>
    </w:p>
    <w:p w:rsidR="00B95ADB" w:rsidRDefault="00B95ADB">
      <w:pPr>
        <w:spacing w:after="0"/>
        <w:rPr>
          <w:i/>
          <w:color w:val="000000"/>
          <w:szCs w:val="16"/>
        </w:rPr>
      </w:pPr>
      <w:bookmarkStart w:id="863" w:name="_DV_M420"/>
      <w:bookmarkEnd w:id="863"/>
      <w:r>
        <w:rPr>
          <w:i/>
          <w:color w:val="000000"/>
          <w:szCs w:val="16"/>
        </w:rPr>
        <w:t>Phone Number</w:t>
      </w:r>
    </w:p>
    <w:p w:rsidR="00B95ADB" w:rsidRDefault="00B95ADB">
      <w:pPr>
        <w:spacing w:after="0"/>
        <w:rPr>
          <w:i/>
          <w:color w:val="000000"/>
          <w:szCs w:val="16"/>
        </w:rPr>
      </w:pPr>
      <w:bookmarkStart w:id="864" w:name="_DV_M421"/>
      <w:bookmarkEnd w:id="864"/>
      <w:r>
        <w:rPr>
          <w:i/>
          <w:color w:val="000000"/>
          <w:szCs w:val="16"/>
        </w:rPr>
        <w:t>Fax Number</w:t>
      </w:r>
    </w:p>
    <w:p w:rsidR="00B95ADB" w:rsidRDefault="00B95ADB">
      <w:pPr>
        <w:spacing w:after="0"/>
        <w:rPr>
          <w:color w:val="000000"/>
          <w:szCs w:val="16"/>
        </w:rPr>
      </w:pPr>
      <w:bookmarkStart w:id="865" w:name="_DV_M422"/>
      <w:bookmarkEnd w:id="865"/>
      <w:r>
        <w:rPr>
          <w:i/>
          <w:color w:val="000000"/>
          <w:szCs w:val="16"/>
        </w:rPr>
        <w:t>Email]</w:t>
      </w:r>
    </w:p>
    <w:p w:rsidR="00B95ADB" w:rsidRDefault="00B95ADB">
      <w:pPr>
        <w:jc w:val="center"/>
        <w:rPr>
          <w:b/>
          <w:color w:val="000000"/>
          <w:szCs w:val="16"/>
        </w:rPr>
      </w:pPr>
      <w:bookmarkStart w:id="866" w:name="_DV_M423"/>
      <w:bookmarkEnd w:id="866"/>
      <w:r>
        <w:rPr>
          <w:b/>
          <w:color w:val="000000"/>
          <w:szCs w:val="16"/>
        </w:rPr>
        <w:br w:type="page"/>
        <w:t>[SCHEDULE B</w:t>
      </w:r>
    </w:p>
    <w:p w:rsidR="00B95ADB" w:rsidRDefault="00B95ADB">
      <w:pPr>
        <w:spacing w:after="360"/>
        <w:jc w:val="center"/>
        <w:rPr>
          <w:b/>
          <w:color w:val="000000"/>
          <w:szCs w:val="16"/>
        </w:rPr>
      </w:pPr>
      <w:bookmarkStart w:id="867" w:name="_DV_M424"/>
      <w:bookmarkEnd w:id="867"/>
      <w:r>
        <w:rPr>
          <w:b/>
          <w:color w:val="000000"/>
          <w:szCs w:val="16"/>
        </w:rPr>
        <w:t>Key Holders]</w:t>
      </w:r>
    </w:p>
    <w:p w:rsidR="00B95ADB" w:rsidRDefault="00B95ADB">
      <w:pPr>
        <w:pStyle w:val="Date"/>
        <w:spacing w:after="0"/>
        <w:rPr>
          <w:i/>
          <w:color w:val="000000"/>
          <w:szCs w:val="16"/>
        </w:rPr>
      </w:pPr>
      <w:bookmarkStart w:id="868" w:name="_DV_M425"/>
      <w:bookmarkEnd w:id="868"/>
      <w:r>
        <w:rPr>
          <w:i/>
          <w:color w:val="000000"/>
          <w:szCs w:val="16"/>
        </w:rPr>
        <w:t>[Key Holder Name</w:t>
      </w:r>
    </w:p>
    <w:p w:rsidR="00B95ADB" w:rsidRDefault="00B95ADB">
      <w:pPr>
        <w:spacing w:after="0"/>
        <w:rPr>
          <w:i/>
          <w:color w:val="000000"/>
          <w:szCs w:val="16"/>
        </w:rPr>
      </w:pPr>
      <w:bookmarkStart w:id="869" w:name="_DV_M426"/>
      <w:bookmarkEnd w:id="869"/>
      <w:r>
        <w:rPr>
          <w:i/>
          <w:color w:val="000000"/>
          <w:szCs w:val="16"/>
        </w:rPr>
        <w:t>Address</w:t>
      </w:r>
    </w:p>
    <w:p w:rsidR="00B95ADB" w:rsidRDefault="00B95ADB">
      <w:pPr>
        <w:spacing w:after="0"/>
        <w:rPr>
          <w:i/>
          <w:color w:val="000000"/>
          <w:szCs w:val="16"/>
        </w:rPr>
      </w:pPr>
      <w:bookmarkStart w:id="870" w:name="_DV_M427"/>
      <w:bookmarkEnd w:id="870"/>
      <w:r>
        <w:rPr>
          <w:i/>
          <w:color w:val="000000"/>
          <w:szCs w:val="16"/>
        </w:rPr>
        <w:t>Phone Number</w:t>
      </w:r>
    </w:p>
    <w:p w:rsidR="00B95ADB" w:rsidRDefault="00B95ADB">
      <w:pPr>
        <w:spacing w:after="0"/>
        <w:rPr>
          <w:i/>
          <w:color w:val="000000"/>
          <w:szCs w:val="16"/>
        </w:rPr>
      </w:pPr>
      <w:bookmarkStart w:id="871" w:name="_DV_M428"/>
      <w:bookmarkEnd w:id="871"/>
      <w:r>
        <w:rPr>
          <w:i/>
          <w:color w:val="000000"/>
          <w:szCs w:val="16"/>
        </w:rPr>
        <w:t>Fax Number</w:t>
      </w:r>
    </w:p>
    <w:p w:rsidR="00B95ADB" w:rsidRDefault="00B95ADB">
      <w:pPr>
        <w:spacing w:after="0"/>
        <w:rPr>
          <w:i/>
          <w:color w:val="000000"/>
          <w:szCs w:val="16"/>
        </w:rPr>
      </w:pPr>
      <w:bookmarkStart w:id="872" w:name="_DV_M429"/>
      <w:bookmarkEnd w:id="872"/>
      <w:r>
        <w:rPr>
          <w:i/>
          <w:color w:val="000000"/>
          <w:szCs w:val="16"/>
        </w:rPr>
        <w:t>Email]</w:t>
      </w:r>
    </w:p>
    <w:p w:rsidR="00B95ADB" w:rsidRDefault="00B95ADB">
      <w:pPr>
        <w:spacing w:after="0"/>
        <w:rPr>
          <w:i/>
          <w:color w:val="000000"/>
          <w:szCs w:val="16"/>
        </w:rPr>
      </w:pPr>
    </w:p>
    <w:p w:rsidR="00B95ADB" w:rsidRDefault="00B95ADB">
      <w:pPr>
        <w:pStyle w:val="Date"/>
        <w:spacing w:after="0"/>
        <w:rPr>
          <w:i/>
          <w:color w:val="000000"/>
          <w:szCs w:val="16"/>
        </w:rPr>
      </w:pPr>
      <w:bookmarkStart w:id="873" w:name="_DV_M430"/>
      <w:bookmarkEnd w:id="873"/>
      <w:r>
        <w:rPr>
          <w:i/>
          <w:color w:val="000000"/>
          <w:szCs w:val="16"/>
        </w:rPr>
        <w:t>[Key Holder Name</w:t>
      </w:r>
    </w:p>
    <w:p w:rsidR="00B95ADB" w:rsidRDefault="00B95ADB">
      <w:pPr>
        <w:spacing w:after="0"/>
        <w:rPr>
          <w:i/>
          <w:color w:val="000000"/>
          <w:szCs w:val="16"/>
        </w:rPr>
      </w:pPr>
      <w:bookmarkStart w:id="874" w:name="_DV_M431"/>
      <w:bookmarkEnd w:id="874"/>
      <w:r>
        <w:rPr>
          <w:i/>
          <w:color w:val="000000"/>
          <w:szCs w:val="16"/>
        </w:rPr>
        <w:t>Address</w:t>
      </w:r>
    </w:p>
    <w:p w:rsidR="00B95ADB" w:rsidRDefault="00B95ADB">
      <w:pPr>
        <w:spacing w:after="0"/>
        <w:rPr>
          <w:i/>
          <w:color w:val="000000"/>
          <w:szCs w:val="16"/>
        </w:rPr>
      </w:pPr>
      <w:bookmarkStart w:id="875" w:name="_DV_M432"/>
      <w:bookmarkEnd w:id="875"/>
      <w:r>
        <w:rPr>
          <w:i/>
          <w:color w:val="000000"/>
          <w:szCs w:val="16"/>
        </w:rPr>
        <w:t>Phone Number</w:t>
      </w:r>
    </w:p>
    <w:p w:rsidR="00B95ADB" w:rsidRDefault="00B95ADB">
      <w:pPr>
        <w:spacing w:after="0"/>
        <w:rPr>
          <w:i/>
          <w:color w:val="000000"/>
          <w:szCs w:val="16"/>
        </w:rPr>
      </w:pPr>
      <w:bookmarkStart w:id="876" w:name="_DV_M433"/>
      <w:bookmarkEnd w:id="876"/>
      <w:r>
        <w:rPr>
          <w:i/>
          <w:color w:val="000000"/>
          <w:szCs w:val="16"/>
        </w:rPr>
        <w:t>Fax Number</w:t>
      </w:r>
    </w:p>
    <w:p w:rsidR="00B95ADB" w:rsidRDefault="00B95ADB">
      <w:pPr>
        <w:spacing w:after="0"/>
        <w:rPr>
          <w:i/>
          <w:color w:val="000000"/>
          <w:szCs w:val="16"/>
        </w:rPr>
      </w:pPr>
      <w:bookmarkStart w:id="877" w:name="_DV_M434"/>
      <w:bookmarkEnd w:id="877"/>
      <w:r>
        <w:rPr>
          <w:i/>
          <w:color w:val="000000"/>
          <w:szCs w:val="16"/>
        </w:rPr>
        <w:t>Email]</w:t>
      </w:r>
    </w:p>
    <w:p w:rsidR="00B95ADB" w:rsidRDefault="00B95ADB">
      <w:pPr>
        <w:spacing w:after="0"/>
        <w:rPr>
          <w:i/>
          <w:color w:val="000000"/>
          <w:szCs w:val="16"/>
        </w:rPr>
      </w:pPr>
    </w:p>
    <w:p w:rsidR="00B95ADB" w:rsidRDefault="00B95ADB">
      <w:pPr>
        <w:pStyle w:val="Date"/>
        <w:spacing w:after="0"/>
        <w:rPr>
          <w:i/>
          <w:color w:val="000000"/>
          <w:szCs w:val="16"/>
        </w:rPr>
      </w:pPr>
      <w:bookmarkStart w:id="878" w:name="_DV_M435"/>
      <w:bookmarkEnd w:id="878"/>
      <w:r>
        <w:rPr>
          <w:i/>
          <w:color w:val="000000"/>
          <w:szCs w:val="16"/>
        </w:rPr>
        <w:t>[Key Holder Name</w:t>
      </w:r>
    </w:p>
    <w:p w:rsidR="00B95ADB" w:rsidRDefault="00B95ADB">
      <w:pPr>
        <w:spacing w:after="0"/>
        <w:rPr>
          <w:i/>
          <w:color w:val="000000"/>
          <w:szCs w:val="16"/>
        </w:rPr>
      </w:pPr>
      <w:bookmarkStart w:id="879" w:name="_DV_M436"/>
      <w:bookmarkEnd w:id="879"/>
      <w:r>
        <w:rPr>
          <w:i/>
          <w:color w:val="000000"/>
          <w:szCs w:val="16"/>
        </w:rPr>
        <w:t>Address</w:t>
      </w:r>
    </w:p>
    <w:p w:rsidR="00B95ADB" w:rsidRDefault="00B95ADB">
      <w:pPr>
        <w:spacing w:after="0"/>
        <w:rPr>
          <w:i/>
          <w:color w:val="000000"/>
          <w:szCs w:val="16"/>
        </w:rPr>
      </w:pPr>
      <w:bookmarkStart w:id="880" w:name="_DV_M437"/>
      <w:bookmarkEnd w:id="880"/>
      <w:r>
        <w:rPr>
          <w:i/>
          <w:color w:val="000000"/>
          <w:szCs w:val="16"/>
        </w:rPr>
        <w:t>Phone Number</w:t>
      </w:r>
    </w:p>
    <w:p w:rsidR="00B95ADB" w:rsidRDefault="00B95ADB">
      <w:pPr>
        <w:spacing w:after="0"/>
        <w:rPr>
          <w:i/>
          <w:color w:val="000000"/>
          <w:szCs w:val="16"/>
        </w:rPr>
      </w:pPr>
      <w:bookmarkStart w:id="881" w:name="_DV_M438"/>
      <w:bookmarkEnd w:id="881"/>
      <w:r>
        <w:rPr>
          <w:i/>
          <w:color w:val="000000"/>
          <w:szCs w:val="16"/>
        </w:rPr>
        <w:t>Fax Number</w:t>
      </w:r>
    </w:p>
    <w:p w:rsidR="00B95ADB" w:rsidRDefault="00B95ADB">
      <w:pPr>
        <w:spacing w:after="0"/>
        <w:rPr>
          <w:color w:val="000000"/>
          <w:szCs w:val="16"/>
        </w:rPr>
      </w:pPr>
      <w:bookmarkStart w:id="882" w:name="_DV_M439"/>
      <w:bookmarkEnd w:id="882"/>
      <w:r>
        <w:rPr>
          <w:i/>
          <w:color w:val="000000"/>
          <w:szCs w:val="16"/>
        </w:rPr>
        <w:t>Email]</w:t>
      </w:r>
    </w:p>
    <w:p w:rsidR="00B95ADB" w:rsidRDefault="00B95ADB">
      <w:pPr>
        <w:spacing w:after="0"/>
        <w:rPr>
          <w:color w:val="000000"/>
          <w:szCs w:val="16"/>
        </w:rPr>
        <w:sectPr w:rsidR="00B95ADB">
          <w:footerReference w:type="default" r:id="rId21"/>
          <w:footerReference w:type="first" r:id="rId22"/>
          <w:pgSz w:w="12240" w:h="15840" w:code="1"/>
          <w:pgMar w:top="1440" w:right="1440" w:bottom="1440" w:left="1440" w:header="720" w:footer="720" w:gutter="0"/>
          <w:pgNumType w:start="1"/>
          <w:cols w:space="720"/>
          <w:noEndnote/>
          <w:docGrid w:linePitch="326"/>
        </w:sectPr>
      </w:pPr>
    </w:p>
    <w:p w:rsidR="00B95ADB" w:rsidRDefault="00B95ADB">
      <w:pPr>
        <w:jc w:val="center"/>
        <w:rPr>
          <w:color w:val="000000"/>
          <w:szCs w:val="16"/>
        </w:rPr>
      </w:pPr>
      <w:bookmarkStart w:id="883" w:name="_DV_M440"/>
      <w:bookmarkEnd w:id="883"/>
      <w:r>
        <w:rPr>
          <w:b/>
          <w:color w:val="000000"/>
          <w:szCs w:val="16"/>
        </w:rPr>
        <w:t>[EXHIBIT A</w:t>
      </w:r>
    </w:p>
    <w:p w:rsidR="00B95ADB" w:rsidRDefault="00B95ADB">
      <w:pPr>
        <w:spacing w:after="360"/>
        <w:jc w:val="center"/>
        <w:rPr>
          <w:b/>
          <w:color w:val="000000"/>
          <w:szCs w:val="16"/>
        </w:rPr>
      </w:pPr>
      <w:bookmarkStart w:id="884" w:name="_DV_M441"/>
      <w:bookmarkEnd w:id="884"/>
      <w:r>
        <w:rPr>
          <w:b/>
          <w:color w:val="000000"/>
          <w:szCs w:val="16"/>
        </w:rPr>
        <w:t>Form Of Noncompetition and Nonsolicitation Agreement]</w:t>
      </w:r>
    </w:p>
    <w:sectPr w:rsidR="00B95ADB">
      <w:headerReference w:type="default" r:id="rId23"/>
      <w:footerReference w:type="default" r:id="rId24"/>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81E" w:rsidRDefault="0039181E">
      <w:r>
        <w:separator/>
      </w:r>
    </w:p>
  </w:endnote>
  <w:endnote w:type="continuationSeparator" w:id="0">
    <w:p w:rsidR="0039181E" w:rsidRDefault="00391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34</w:t>
    </w:r>
    <w:r>
      <w:rPr>
        <w:rStyle w:val="PageNumber"/>
      </w:rPr>
      <w:fldChar w:fldCharType="end"/>
    </w:r>
  </w:p>
  <w:p w:rsidR="00B95ADB" w:rsidRDefault="00B95ADB">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spacing w:after="0"/>
      <w:jc w:val="left"/>
    </w:pPr>
    <w:r>
      <w:rPr>
        <w:sz w:val="16"/>
        <w:szCs w:val="16"/>
      </w:rPr>
      <w:t xml:space="preserve">Last updated </w:t>
    </w:r>
    <w:r w:rsidR="001F1108">
      <w:rPr>
        <w:sz w:val="16"/>
      </w:rPr>
      <w:t>January 2018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Pr="00E77AD7" w:rsidRDefault="00E77AD7" w:rsidP="00E77AD7">
    <w:pPr>
      <w:pStyle w:val="Footer"/>
    </w:pPr>
    <w:r w:rsidRPr="00E77AD7">
      <w:rPr>
        <w:sz w:val="16"/>
        <w:szCs w:val="16"/>
      </w:rPr>
      <w:t xml:space="preserve">Last updated </w:t>
    </w:r>
    <w:r w:rsidR="001F1108">
      <w:rPr>
        <w:sz w:val="16"/>
      </w:rPr>
      <w:t>January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pStyle w:val="Footer"/>
    </w:pPr>
    <w:r>
      <w:rPr>
        <w:sz w:val="16"/>
        <w:szCs w:val="16"/>
      </w:rPr>
      <w:t xml:space="preserve">Last updated </w:t>
    </w:r>
    <w:r w:rsidR="001F1108">
      <w:rPr>
        <w:sz w:val="16"/>
      </w:rPr>
      <w:t>January 2018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E77AD7">
    <w:pPr>
      <w:pStyle w:val="Footer"/>
      <w:tabs>
        <w:tab w:val="clear" w:pos="4320"/>
        <w:tab w:val="center" w:pos="4680"/>
      </w:tabs>
      <w:jc w:val="left"/>
      <w:rPr>
        <w:sz w:val="16"/>
        <w:szCs w:val="16"/>
      </w:rPr>
    </w:pPr>
    <w:r w:rsidRPr="00E77AD7">
      <w:rPr>
        <w:sz w:val="16"/>
        <w:szCs w:val="16"/>
      </w:rPr>
      <w:t xml:space="preserve">Last updated </w:t>
    </w:r>
    <w:r w:rsidR="00A30E38">
      <w:rPr>
        <w:sz w:val="16"/>
      </w:rPr>
      <w:t>August</w:t>
    </w:r>
    <w:r w:rsidR="00787C05" w:rsidRPr="00787C05">
      <w:rPr>
        <w:sz w:val="16"/>
        <w:szCs w:val="16"/>
      </w:rPr>
      <w:t xml:space="preserve"> 2017</w:t>
    </w:r>
    <w:r w:rsidR="00B95ADB">
      <w:rPr>
        <w:sz w:val="16"/>
        <w:szCs w:val="16"/>
      </w:rPr>
      <w:tab/>
    </w:r>
    <w:r w:rsidR="00B95ADB">
      <w:rPr>
        <w:rStyle w:val="PageNumber"/>
        <w:szCs w:val="16"/>
      </w:rPr>
      <w:fldChar w:fldCharType="begin"/>
    </w:r>
    <w:r w:rsidR="00B95ADB">
      <w:rPr>
        <w:rStyle w:val="PageNumber"/>
        <w:szCs w:val="16"/>
      </w:rPr>
      <w:instrText xml:space="preserve"> PAGE </w:instrText>
    </w:r>
    <w:r w:rsidR="00B95ADB">
      <w:rPr>
        <w:rStyle w:val="PageNumber"/>
        <w:szCs w:val="16"/>
      </w:rPr>
      <w:fldChar w:fldCharType="separate"/>
    </w:r>
    <w:r w:rsidR="001F1108">
      <w:rPr>
        <w:rStyle w:val="PageNumber"/>
        <w:noProof/>
        <w:szCs w:val="16"/>
      </w:rPr>
      <w:t>ii</w:t>
    </w:r>
    <w:r w:rsidR="00B95ADB">
      <w:rPr>
        <w:rStyle w:val="PageNumber"/>
        <w:szCs w:val="16"/>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E77AD7">
    <w:pPr>
      <w:pStyle w:val="Footer"/>
      <w:tabs>
        <w:tab w:val="clear" w:pos="4320"/>
        <w:tab w:val="center" w:pos="4680"/>
      </w:tabs>
      <w:jc w:val="left"/>
      <w:rPr>
        <w:rStyle w:val="PageNumber"/>
        <w:szCs w:val="16"/>
      </w:rPr>
    </w:pPr>
    <w:r w:rsidRPr="00E77AD7">
      <w:rPr>
        <w:sz w:val="16"/>
        <w:szCs w:val="16"/>
      </w:rPr>
      <w:t xml:space="preserve">Last updated </w:t>
    </w:r>
    <w:r w:rsidR="001F1108">
      <w:rPr>
        <w:sz w:val="16"/>
      </w:rPr>
      <w:t>January 2018</w:t>
    </w:r>
    <w:r w:rsidR="00B95ADB">
      <w:rPr>
        <w:sz w:val="16"/>
        <w:szCs w:val="16"/>
      </w:rPr>
      <w:tab/>
    </w:r>
    <w:r w:rsidR="00B95ADB">
      <w:rPr>
        <w:szCs w:val="16"/>
      </w:rPr>
      <w:fldChar w:fldCharType="begin"/>
    </w:r>
    <w:r w:rsidR="00B95ADB">
      <w:rPr>
        <w:szCs w:val="16"/>
      </w:rPr>
      <w:instrText xml:space="preserve"> PAGE   \* MERGEFORMAT </w:instrText>
    </w:r>
    <w:r w:rsidR="00B95ADB">
      <w:rPr>
        <w:szCs w:val="16"/>
      </w:rPr>
      <w:fldChar w:fldCharType="separate"/>
    </w:r>
    <w:r w:rsidR="001F1108">
      <w:rPr>
        <w:noProof/>
        <w:szCs w:val="16"/>
      </w:rPr>
      <w:t>41</w:t>
    </w:r>
    <w:r w:rsidR="00B95ADB">
      <w:rPr>
        <w:noProof/>
        <w:szCs w:val="16"/>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Pr="00E77AD7" w:rsidRDefault="00E77AD7" w:rsidP="00E77AD7">
    <w:pPr>
      <w:pStyle w:val="Footer"/>
      <w:rPr>
        <w:rStyle w:val="PageNumber"/>
      </w:rPr>
    </w:pPr>
    <w:r w:rsidRPr="00E77AD7">
      <w:rPr>
        <w:sz w:val="16"/>
        <w:szCs w:val="16"/>
      </w:rPr>
      <w:t xml:space="preserve">Last updated </w:t>
    </w:r>
    <w:r w:rsidR="001F1108">
      <w:rPr>
        <w:sz w:val="16"/>
      </w:rPr>
      <w:t>January 2018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pStyle w:val="Footer"/>
      <w:tabs>
        <w:tab w:val="left" w:pos="4680"/>
      </w:tabs>
      <w:spacing w:after="0"/>
      <w:jc w:val="center"/>
      <w:rPr>
        <w:rFonts w:ascii="Times New Roman Bold" w:hAnsi="Times New Roman Bold"/>
        <w:b/>
        <w:smallCaps/>
        <w:sz w:val="20"/>
      </w:rPr>
    </w:pPr>
    <w:r>
      <w:rPr>
        <w:rFonts w:ascii="Times New Roman Bold" w:hAnsi="Times New Roman Bold"/>
        <w:b/>
        <w:smallCaps/>
        <w:sz w:val="20"/>
      </w:rPr>
      <w:t>Signature Page to Investors’ Rights Agreement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spacing w:after="0"/>
      <w:jc w:val="left"/>
      <w:rPr>
        <w:rStyle w:val="PageNumber"/>
      </w:rPr>
    </w:pPr>
    <w:r>
      <w:rPr>
        <w:sz w:val="16"/>
        <w:szCs w:val="16"/>
      </w:rPr>
      <w:t xml:space="preserve">Last updated </w:t>
    </w:r>
    <w:r w:rsidR="001F1108">
      <w:rPr>
        <w:sz w:val="16"/>
      </w:rPr>
      <w:t>January 2018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pStyle w:val="Footer"/>
      <w:jc w:val="left"/>
      <w:rPr>
        <w:sz w:val="16"/>
        <w:szCs w:val="16"/>
      </w:rPr>
    </w:pPr>
    <w:r>
      <w:rPr>
        <w:sz w:val="16"/>
        <w:szCs w:val="16"/>
      </w:rPr>
      <w:t>Last updated March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81E" w:rsidRDefault="0039181E">
      <w:pPr>
        <w:autoSpaceDE/>
        <w:autoSpaceDN/>
        <w:adjustRightInd/>
        <w:spacing w:after="0"/>
        <w:jc w:val="left"/>
      </w:pPr>
      <w:r>
        <w:separator/>
      </w:r>
    </w:p>
  </w:footnote>
  <w:footnote w:type="continuationSeparator" w:id="0">
    <w:p w:rsidR="0039181E" w:rsidRDefault="0039181E">
      <w:r>
        <w:continuationSeparator/>
      </w:r>
    </w:p>
  </w:footnote>
  <w:footnote w:type="continuationNotice" w:id="1">
    <w:p w:rsidR="0039181E" w:rsidRDefault="0039181E">
      <w:pPr>
        <w:spacing w:after="0"/>
      </w:pPr>
    </w:p>
  </w:footnote>
  <w:footnote w:id="2">
    <w:p w:rsidR="00B95ADB" w:rsidRDefault="00B95ADB">
      <w:pPr>
        <w:pStyle w:val="FootnoteText"/>
      </w:pPr>
      <w:bookmarkStart w:id="25" w:name="_DV_C207"/>
      <w:bookmarkStart w:id="26" w:name="_DV_C186"/>
      <w:r>
        <w:rPr>
          <w:rStyle w:val="FootnoteReference"/>
        </w:rPr>
        <w:footnoteRef/>
      </w:r>
      <w:r>
        <w:tab/>
        <w:t>This first set of Recitals is appropriate when you are drafting legal documents in connection with the Company’s sale of its first series of preferred stock (Series A).  Consider adding references to Key Holders in the Recitals, as appropriate.</w:t>
      </w:r>
    </w:p>
  </w:footnote>
  <w:footnote w:id="3">
    <w:p w:rsidR="00B95ADB" w:rsidRDefault="00B95ADB">
      <w:pPr>
        <w:pStyle w:val="FootnoteText"/>
      </w:pPr>
      <w:bookmarkStart w:id="31" w:name="_DV_C182"/>
      <w:r>
        <w:rPr>
          <w:rStyle w:val="FootnoteReference"/>
        </w:rPr>
        <w:footnoteRef/>
      </w:r>
      <w:r>
        <w:t xml:space="preserve"> </w:t>
      </w:r>
      <w:r>
        <w:tab/>
        <w:t xml:space="preserve">This second set of Recitals assumes that a preexisting Investors’ Rights Agreement is being superseded and replaced with a new version. It contemplates two different series of preferred stock (Series A and B).  Appropriate modifications to this form will be required based on the actual series of preferred stock outstanding and the respective rights of such series.  This Agreement contemplates the amendment and restatement of the Prior Agreement so that the parties to the existing agreement become parties to this Agreement regardless of whether they execute this Agreement; alternatively, the existing agreement could be terminated and all existing investors would be required to execute this Agreement.  See also </w:t>
      </w:r>
      <w:r>
        <w:rPr>
          <w:u w:val="single"/>
        </w:rPr>
        <w:t xml:space="preserve">Section </w:t>
      </w:r>
      <w:r w:rsidR="0044102D">
        <w:rPr>
          <w:u w:val="single"/>
        </w:rPr>
        <w:fldChar w:fldCharType="begin"/>
      </w:r>
      <w:r w:rsidR="0044102D">
        <w:rPr>
          <w:u w:val="single"/>
        </w:rPr>
        <w:instrText xml:space="preserve"> REF _Ref431386062 \n \h </w:instrText>
      </w:r>
      <w:r w:rsidR="0044102D">
        <w:rPr>
          <w:u w:val="single"/>
        </w:rPr>
      </w:r>
      <w:r w:rsidR="0044102D">
        <w:rPr>
          <w:u w:val="single"/>
        </w:rPr>
        <w:fldChar w:fldCharType="separate"/>
      </w:r>
      <w:r w:rsidR="0044102D">
        <w:rPr>
          <w:u w:val="single"/>
        </w:rPr>
        <w:t>6.10</w:t>
      </w:r>
      <w:r w:rsidR="0044102D">
        <w:rPr>
          <w:u w:val="single"/>
        </w:rPr>
        <w:fldChar w:fldCharType="end"/>
      </w:r>
      <w:r>
        <w:rPr>
          <w:rStyle w:val="DeltaViewInsertion"/>
          <w:b w:val="0"/>
          <w:u w:val="none"/>
        </w:rPr>
        <w:t>.</w:t>
      </w:r>
      <w:r w:rsidR="0044102D">
        <w:rPr>
          <w:rStyle w:val="DeltaViewInsertion"/>
          <w:b w:val="0"/>
          <w:u w:val="none"/>
          <w:lang w:val="en-US"/>
        </w:rPr>
        <w:t xml:space="preserve"> </w:t>
      </w:r>
      <w:r>
        <w:t xml:space="preserve"> Consider adding references to Key Holders in the Recitals, as appropriate.</w:t>
      </w:r>
    </w:p>
  </w:footnote>
  <w:footnote w:id="4">
    <w:p w:rsidR="00B95ADB" w:rsidRDefault="00B95ADB">
      <w:pPr>
        <w:pStyle w:val="FootnoteText"/>
      </w:pPr>
      <w:r>
        <w:rPr>
          <w:rStyle w:val="FootnoteReference"/>
        </w:rPr>
        <w:footnoteRef/>
      </w:r>
      <w:r>
        <w:t xml:space="preserve"> </w:t>
      </w:r>
      <w:r>
        <w:tab/>
        <w:t xml:space="preserve">Consider whether members of the same household, </w:t>
      </w:r>
      <w:r>
        <w:rPr>
          <w:i/>
        </w:rPr>
        <w:t>e.g.</w:t>
      </w:r>
      <w:r>
        <w:t>, life partners or others covered under the applicable domestic relations statute, should be included in the definition.</w:t>
      </w:r>
    </w:p>
  </w:footnote>
  <w:footnote w:id="5">
    <w:p w:rsidR="00B95ADB" w:rsidRDefault="00B95ADB">
      <w:pPr>
        <w:pStyle w:val="FootnoteText"/>
      </w:pPr>
      <w:r>
        <w:rPr>
          <w:rStyle w:val="FootnoteReference"/>
        </w:rPr>
        <w:footnoteRef/>
      </w:r>
      <w:r>
        <w:t xml:space="preserve"> </w:t>
      </w:r>
      <w:r>
        <w:tab/>
        <w:t xml:space="preserve">In a Series A round at a high-tech start-up, it is likely that the only key employees in addition to management, if any, are those who are responsible for developing the Company’s key intellectual property assets.  It may be simpler for these early-stage companies to list the Key Employees by name. In later rounds, it may be appropriate to include others, </w:t>
      </w:r>
      <w:r>
        <w:rPr>
          <w:i/>
        </w:rPr>
        <w:t>e.g.</w:t>
      </w:r>
      <w:r>
        <w:t>, important salespeople or consultants and define Key Employees by function (</w:t>
      </w:r>
      <w:r>
        <w:rPr>
          <w:i/>
        </w:rPr>
        <w:t>e.g.</w:t>
      </w:r>
      <w:r>
        <w:t>, division director).</w:t>
      </w:r>
    </w:p>
  </w:footnote>
  <w:footnote w:id="6">
    <w:p w:rsidR="00B95ADB" w:rsidRDefault="00B95ADB">
      <w:pPr>
        <w:pStyle w:val="FootnoteText"/>
      </w:pPr>
      <w:r>
        <w:rPr>
          <w:rStyle w:val="FootnoteReference"/>
        </w:rPr>
        <w:footnoteRef/>
      </w:r>
      <w:r>
        <w:t xml:space="preserve"> </w:t>
      </w:r>
      <w:r>
        <w:tab/>
        <w:t>Note that this definition is unnecessary unless there are multiple series of preferred stock.</w:t>
      </w:r>
    </w:p>
  </w:footnote>
  <w:footnote w:id="7">
    <w:p w:rsidR="00B95ADB" w:rsidRDefault="00B95ADB">
      <w:pPr>
        <w:pStyle w:val="FootnoteText"/>
      </w:pPr>
      <w:r>
        <w:rPr>
          <w:rStyle w:val="FootnoteReference"/>
        </w:rPr>
        <w:footnoteRef/>
      </w:r>
      <w:r>
        <w:t xml:space="preserve"> </w:t>
      </w:r>
      <w:r>
        <w:tab/>
        <w:t>If the Company’s Certificate of Incorporation contains a “pay-to-play” provision, consider whether shares issued upon a “Special Mandatory Conversion” pursuant thereto should lose their status as Registrable Securities.  See Section 5A of Part C of Article Fourth of the Model Certificate of Incorporation.</w:t>
      </w:r>
    </w:p>
  </w:footnote>
  <w:footnote w:id="8">
    <w:p w:rsidR="00B95ADB" w:rsidRDefault="00B95ADB">
      <w:pPr>
        <w:pStyle w:val="FootnoteText"/>
      </w:pPr>
      <w:r>
        <w:rPr>
          <w:rStyle w:val="FootnoteReference"/>
        </w:rPr>
        <w:footnoteRef/>
      </w:r>
      <w:r>
        <w:t xml:space="preserve"> </w:t>
      </w:r>
      <w:r>
        <w:tab/>
        <w:t>Typically, Key Holders of common stock are not granted registration rights.  In certain instances it may be appropriate to grant Key Holders (</w:t>
      </w:r>
      <w:r>
        <w:rPr>
          <w:i/>
        </w:rPr>
        <w:t>e.g.</w:t>
      </w:r>
      <w:r>
        <w:t>, founders, significant early-round angel investors) piggyback and/or S-3 registration rights, although often they will be subordinate to investors on underwriter cutbacks.  If such rights are granted, provision must be made throughout this form to include such rights and provide for appropriate cutbacks and limitations and protection in the event of amendments and waivers.</w:t>
      </w:r>
    </w:p>
  </w:footnote>
  <w:footnote w:id="9">
    <w:p w:rsidR="00B95ADB" w:rsidRDefault="00B95ADB">
      <w:pPr>
        <w:pStyle w:val="FootnoteText"/>
      </w:pPr>
      <w:r>
        <w:rPr>
          <w:rStyle w:val="FootnoteReference"/>
        </w:rPr>
        <w:footnoteRef/>
      </w:r>
      <w:r>
        <w:tab/>
        <w:t>Registrable Securities are defined in terms of common stock because preferred stock of venture-capital-backed companies is usually not sold or marketed at an IPO.  The language “issued or issuable” should be present so that the definition works regardless of whether or not the preferred stock has yet been converted.  Note that the effect of the transferability section is such that certain sizeable transfers of shares pursuant to available exemptions under the Securities Act will not remove the registration rights associated with those shares.</w:t>
      </w:r>
    </w:p>
  </w:footnote>
  <w:footnote w:id="10">
    <w:p w:rsidR="00787C05" w:rsidRPr="00787C05" w:rsidRDefault="00787C05">
      <w:pPr>
        <w:pStyle w:val="FootnoteText"/>
        <w:rPr>
          <w:lang w:val="en-US"/>
        </w:rPr>
      </w:pPr>
      <w:r>
        <w:rPr>
          <w:rStyle w:val="FootnoteReference"/>
        </w:rPr>
        <w:footnoteRef/>
      </w:r>
      <w:r>
        <w:t xml:space="preserve"> </w:t>
      </w:r>
      <w:r>
        <w:rPr>
          <w:lang w:val="en-US"/>
        </w:rPr>
        <w:tab/>
        <w:t>If the holders of Series A Preferred Stock are not given the right to elect directors in the charter, refer instead to the Investor designees in the Voting Agreement.</w:t>
      </w:r>
    </w:p>
  </w:footnote>
  <w:footnote w:id="11">
    <w:p w:rsidR="00B95ADB" w:rsidRDefault="00B95ADB">
      <w:pPr>
        <w:pStyle w:val="FootnoteText"/>
      </w:pPr>
      <w:r>
        <w:rPr>
          <w:rStyle w:val="FootnoteReference"/>
        </w:rPr>
        <w:footnoteRef/>
      </w:r>
      <w:r>
        <w:t xml:space="preserve"> </w:t>
      </w:r>
      <w:r>
        <w:tab/>
        <w:t xml:space="preserve">The starting time period for initiating registration rights usually has these two components.  The first time period is designed to allow the investors to force the Company to go public if it has not already done so (three to five years is common for this), although practically speaking this rarely, if ever, happens.  The second time period is set around the expiration of any underwriter lock-ups after an IPO, which usually expire 180 days after the IPO.  See </w:t>
      </w:r>
      <w:r>
        <w:rPr>
          <w:u w:val="single"/>
        </w:rPr>
        <w:t xml:space="preserve">Section </w:t>
      </w:r>
      <w:r w:rsidR="0044102D">
        <w:rPr>
          <w:u w:val="single"/>
        </w:rPr>
        <w:fldChar w:fldCharType="begin"/>
      </w:r>
      <w:r w:rsidR="0044102D">
        <w:rPr>
          <w:u w:val="single"/>
        </w:rPr>
        <w:instrText xml:space="preserve"> REF _Ref431386093 \n \h </w:instrText>
      </w:r>
      <w:r w:rsidR="0044102D">
        <w:rPr>
          <w:u w:val="single"/>
        </w:rPr>
      </w:r>
      <w:r w:rsidR="0044102D">
        <w:rPr>
          <w:u w:val="single"/>
        </w:rPr>
        <w:fldChar w:fldCharType="separate"/>
      </w:r>
      <w:r w:rsidR="0044102D">
        <w:rPr>
          <w:u w:val="single"/>
        </w:rPr>
        <w:t>2.11</w:t>
      </w:r>
      <w:r w:rsidR="0044102D">
        <w:rPr>
          <w:u w:val="single"/>
        </w:rPr>
        <w:fldChar w:fldCharType="end"/>
      </w:r>
      <w:r>
        <w:rPr>
          <w:rStyle w:val="DeltaViewInsertion"/>
          <w:b w:val="0"/>
          <w:u w:val="none"/>
        </w:rPr>
        <w:t>.</w:t>
      </w:r>
    </w:p>
  </w:footnote>
  <w:footnote w:id="12">
    <w:p w:rsidR="00B95ADB" w:rsidRDefault="00B95ADB">
      <w:pPr>
        <w:pStyle w:val="FootnoteText"/>
      </w:pPr>
      <w:r>
        <w:rPr>
          <w:rStyle w:val="FootnoteReference"/>
        </w:rPr>
        <w:footnoteRef/>
      </w:r>
      <w:r>
        <w:tab/>
        <w:t>As with all percentage vote thresholds, consideration will need to be given to whether any single investor can either control or block the vote.  When dealing with multiple classes of preferred stock, it is important to understand the composition of the stockholder base to ensure that each series is getting the rights it bargained for.  The Company will want this percentage to be high enough so that a significant portion of the investor base is behind the demand to cause the Company to effect a registered offering, particularly an IPO.  Companies typically will resist allowing a single minority investor to cause a registration.  Experienced investors will want to ensure that less experienced investors do not have the right to cause a demand registration.  In some cases, holders of different series of preferred stock may request the right for that series to initiate a certain number of demand registrations.  Companies typically will resist this due to the cost and diversion of management resources when multiple constituencies have this right.</w:t>
      </w:r>
    </w:p>
  </w:footnote>
  <w:footnote w:id="13">
    <w:p w:rsidR="00B95ADB" w:rsidRDefault="00B95ADB">
      <w:pPr>
        <w:pStyle w:val="FootnoteText"/>
      </w:pPr>
      <w:r>
        <w:rPr>
          <w:rStyle w:val="FootnoteReference"/>
        </w:rPr>
        <w:footnoteRef/>
      </w:r>
      <w:r>
        <w:tab/>
        <w:t>A trigger threshold may be negotiated and can range from 20% to 100% of total Registrable Securities for demand registrations.  However, some companies do not impose a threshold, relying instead on the minimum offering size.</w:t>
      </w:r>
    </w:p>
  </w:footnote>
  <w:footnote w:id="14">
    <w:p w:rsidR="00B95ADB" w:rsidRDefault="00B95ADB">
      <w:pPr>
        <w:pStyle w:val="FootnoteText"/>
      </w:pPr>
      <w:r>
        <w:rPr>
          <w:rStyle w:val="FootnoteReference"/>
        </w:rPr>
        <w:footnoteRef/>
      </w:r>
      <w:r>
        <w:tab/>
        <w:t>This section is designed to give the Company a “blackout” period pursuant to which it can suspend  registrations due to the timing of certain other corporate events that could affect its stock.  A broader, more pro-Company alternative to listing specific, limited situations in which the Company can suspend registration is to provide more generally: “it would be materially detrimental to the Company and its stockholders for such registration statement to be filed and it is therefore necessary to defer the filing of such registration statement.”</w:t>
      </w:r>
    </w:p>
  </w:footnote>
  <w:footnote w:id="15">
    <w:p w:rsidR="00B95ADB" w:rsidRDefault="00B95ADB">
      <w:pPr>
        <w:pStyle w:val="FootnoteText"/>
      </w:pPr>
      <w:r>
        <w:rPr>
          <w:rStyle w:val="FootnoteReference"/>
        </w:rPr>
        <w:footnoteRef/>
      </w:r>
      <w:r>
        <w:t xml:space="preserve"> </w:t>
      </w:r>
      <w:r>
        <w:tab/>
        <w:t>It is common to limit use of the blackout provisions to one time in any 12-month period.  Some companies seek blackouts twice in 12 months or one time for every registration, but investors generally view this as too restrictive on investors (especially when combined with the delay period for Company registrations and the lock-up period).  A common formulation is to permit one blackout of up to 120 days in any 12-month period.  However, it provides greater flexibility to the Company and may also be better for the investors to provide instead for two 60-day periods in any 12-month period, which the Company can combine if necessary to achieve a total blackout of 120 days.</w:t>
      </w:r>
    </w:p>
  </w:footnote>
  <w:footnote w:id="16">
    <w:p w:rsidR="00B95ADB" w:rsidRDefault="00B95ADB">
      <w:pPr>
        <w:pStyle w:val="FootnoteText"/>
      </w:pPr>
      <w:r>
        <w:rPr>
          <w:rStyle w:val="FootnoteReference"/>
        </w:rPr>
        <w:footnoteRef/>
      </w:r>
      <w:r>
        <w:t xml:space="preserve"> </w:t>
      </w:r>
      <w:r>
        <w:tab/>
      </w:r>
      <w:r>
        <w:rPr>
          <w:rStyle w:val="DeltaViewInsertion"/>
          <w:b w:val="0"/>
          <w:szCs w:val="20"/>
          <w:u w:val="none"/>
        </w:rPr>
        <w:t xml:space="preserve">Note that the alternative carve-out provision from the limitation on the Company’s right to register securities for its own account during a blackout period does not include a carve-out for a registration relating to a Rule 145 </w:t>
      </w:r>
      <w:r>
        <w:t>transaction</w:t>
      </w:r>
      <w:r>
        <w:rPr>
          <w:rStyle w:val="DeltaViewInsertion"/>
          <w:b w:val="0"/>
          <w:szCs w:val="20"/>
          <w:u w:val="none"/>
        </w:rPr>
        <w:t xml:space="preserve">.  From the investors’ perspective, although it may be acceptable for the Company to delay a resale registration in the circumstances set forth in this provision, those circumstances should not entitle the Company to file, </w:t>
      </w:r>
      <w:r>
        <w:rPr>
          <w:rStyle w:val="DeltaViewInsertion"/>
          <w:b w:val="0"/>
          <w:i/>
          <w:szCs w:val="20"/>
          <w:u w:val="none"/>
        </w:rPr>
        <w:t>e.g.</w:t>
      </w:r>
      <w:r>
        <w:rPr>
          <w:rStyle w:val="DeltaViewInsertion"/>
          <w:b w:val="0"/>
          <w:szCs w:val="20"/>
          <w:u w:val="none"/>
        </w:rPr>
        <w:t>, a Form S-4 for a Rule 145 transaction, in priority to a registration requested by the Holders of Registrable Securities.  However, from the Company’s perspective, the inability to file the S-4 could be a hindrance to an acquisition.</w:t>
      </w:r>
    </w:p>
  </w:footnote>
  <w:footnote w:id="17">
    <w:p w:rsidR="00B95ADB" w:rsidRDefault="00B95ADB">
      <w:pPr>
        <w:pStyle w:val="FootnoteText"/>
      </w:pPr>
      <w:r>
        <w:rPr>
          <w:rStyle w:val="FootnoteReference"/>
        </w:rPr>
        <w:footnoteRef/>
      </w:r>
      <w:r>
        <w:tab/>
        <w:t>This language is commonly referred to as the “underwriter cutback” section.  In some offerings, an underwriter may determine it can successfully market only a certain number of securities and must therefore reduce the size of the overall registration.  When this happens, the holders of Registrable Securities are generally entitled to include their shares before anybody else (consider whether later series may want priority over earlier series).  If there is not enough room for these holders, the cutback should be pro rata based on shares held and not “shares requested to be included” (which only creates a race to request and an incentive to request all amounts held every time).  Also, if Key Holders have been given registration rights, consider priority of cutback for such Key Holders.</w:t>
      </w:r>
    </w:p>
  </w:footnote>
  <w:footnote w:id="18">
    <w:p w:rsidR="00B95ADB" w:rsidRDefault="00B95ADB">
      <w:pPr>
        <w:pStyle w:val="FootnoteText"/>
      </w:pPr>
      <w:r>
        <w:rPr>
          <w:rStyle w:val="FootnoteReference"/>
        </w:rPr>
        <w:footnoteRef/>
      </w:r>
      <w:r>
        <w:t xml:space="preserve"> </w:t>
      </w:r>
      <w:r>
        <w:tab/>
        <w:t>This section simply lists the undertakings of the Company in the event of a registration.  As a practical matter, this language will be superseded by any underwriting agreement as part of an underwritten offering.</w:t>
      </w:r>
    </w:p>
  </w:footnote>
  <w:footnote w:id="19">
    <w:p w:rsidR="00B95ADB" w:rsidRDefault="00B95ADB">
      <w:pPr>
        <w:pStyle w:val="FootnoteText"/>
      </w:pPr>
      <w:r>
        <w:rPr>
          <w:rStyle w:val="FootnoteReference"/>
        </w:rPr>
        <w:footnoteRef/>
      </w:r>
      <w:r>
        <w:t xml:space="preserve"> </w:t>
      </w:r>
      <w:r>
        <w:tab/>
        <w:t>Much ink has been spilled addressing the distinctions, or lack thereof, among the “best efforts,” “commercially reasonable efforts,” “reasonable efforts,” and similar performance standards.  This Agreement uses “commercially reasonable efforts” as the default performance standard.</w:t>
      </w:r>
    </w:p>
  </w:footnote>
  <w:footnote w:id="20">
    <w:p w:rsidR="00B95ADB" w:rsidRDefault="00B95ADB">
      <w:pPr>
        <w:pStyle w:val="FootnoteText"/>
      </w:pPr>
      <w:r>
        <w:rPr>
          <w:rStyle w:val="FootnoteReference"/>
        </w:rPr>
        <w:footnoteRef/>
      </w:r>
      <w:r>
        <w:t xml:space="preserve"> </w:t>
      </w:r>
      <w:r>
        <w:tab/>
        <w:t>This is generally viewed as a burdensome requirement for a Company, so it is often carved out of required registrations.</w:t>
      </w:r>
    </w:p>
  </w:footnote>
  <w:footnote w:id="21">
    <w:p w:rsidR="00B95ADB" w:rsidRDefault="00B95ADB">
      <w:pPr>
        <w:pStyle w:val="FootnoteText"/>
      </w:pPr>
      <w:r>
        <w:rPr>
          <w:rStyle w:val="FootnoteReference"/>
        </w:rPr>
        <w:footnoteRef/>
      </w:r>
      <w:r>
        <w:t xml:space="preserve"> </w:t>
      </w:r>
      <w:r>
        <w:tab/>
        <w:t>This inspection right is necessary to enable the selling Holders and underwriters to undertake their due diligence investigation in connection with the distribution.  In facilitating the due diligence investigations, the Company must be sensitive to its obligations under Regulation FD under the Securities Act.</w:t>
      </w:r>
    </w:p>
  </w:footnote>
  <w:footnote w:id="22">
    <w:p w:rsidR="00B95ADB" w:rsidRDefault="00B95ADB">
      <w:pPr>
        <w:pStyle w:val="FootnoteText"/>
      </w:pPr>
      <w:bookmarkStart w:id="305" w:name="_DV_C47"/>
      <w:r>
        <w:rPr>
          <w:rStyle w:val="FootnoteReference"/>
        </w:rPr>
        <w:footnoteRef/>
      </w:r>
      <w:r>
        <w:t xml:space="preserve"> </w:t>
      </w:r>
      <w:r>
        <w:tab/>
        <w:t>Note that as a practical matter underwriting agreements also provide for indemnification obligations, and therefore it is important to review the indemnification provisions carefully in connection with underwritten public offerings.</w:t>
      </w:r>
    </w:p>
    <w:bookmarkEnd w:id="305"/>
  </w:footnote>
  <w:footnote w:id="23">
    <w:p w:rsidR="00B95ADB" w:rsidRDefault="00B95ADB">
      <w:pPr>
        <w:pStyle w:val="FootnoteText"/>
        <w:rPr>
          <w:lang w:val="en-US"/>
        </w:rPr>
      </w:pPr>
      <w:bookmarkStart w:id="345" w:name="_DV_C55"/>
      <w:bookmarkStart w:id="346" w:name="_DV_C51"/>
      <w:r>
        <w:rPr>
          <w:rStyle w:val="FootnoteReference"/>
        </w:rPr>
        <w:footnoteRef/>
      </w:r>
      <w:r>
        <w:t xml:space="preserve"> The value and necessity of obligations to provide copies of SEC filed documents is questionable given the availability of all such documents on EDGAR.</w:t>
      </w:r>
    </w:p>
    <w:bookmarkEnd w:id="346"/>
  </w:footnote>
  <w:footnote w:id="24">
    <w:p w:rsidR="00B95ADB" w:rsidRDefault="00B95ADB">
      <w:pPr>
        <w:pStyle w:val="FootnoteText"/>
        <w:rPr>
          <w:lang w:val="en-US"/>
        </w:rPr>
      </w:pPr>
      <w:r>
        <w:rPr>
          <w:rStyle w:val="FootnoteReference"/>
        </w:rPr>
        <w:footnoteRef/>
      </w:r>
      <w:r>
        <w:t xml:space="preserve"> </w:t>
      </w:r>
      <w:r>
        <w:tab/>
        <w:t>Attention should be given to ensure that this provision does not provide any particular investor with a blocking right on future securities issuances beyond what is included in the Certificate of Incorporation.</w:t>
      </w:r>
    </w:p>
  </w:footnote>
  <w:footnote w:id="25">
    <w:p w:rsidR="00B95ADB" w:rsidRDefault="00B95ADB">
      <w:pPr>
        <w:pStyle w:val="FootnoteText"/>
      </w:pPr>
      <w:bookmarkStart w:id="364" w:name="_DV_C60"/>
      <w:r>
        <w:rPr>
          <w:rStyle w:val="FootnoteReference"/>
        </w:rPr>
        <w:footnoteRef/>
      </w:r>
      <w:r>
        <w:t xml:space="preserve"> </w:t>
      </w:r>
      <w:r>
        <w:tab/>
        <w:t>This section sets forth the period during which the investors and other holders will be prohibited from selling their securities following the IPO and potentially other registrations.  The lock-up agreement will be required by the underwriter of the offering and is usually set at 180 days for an IPO, because this is the time period most underwriters typically require.  Because the principal investors in the Company will almost certainly be required to provide whatever lock-up agreement is requested by the underwriters in order for an offering to be successful, the greatest value of the lock-up provision may be to ensure a similar lock-up of shares held by the smaller holders of Company stock.</w:t>
      </w:r>
    </w:p>
    <w:bookmarkEnd w:id="364"/>
  </w:footnote>
  <w:footnote w:id="26">
    <w:p w:rsidR="00B95ADB" w:rsidRDefault="00B95ADB">
      <w:pPr>
        <w:pStyle w:val="FootnoteText"/>
      </w:pPr>
      <w:bookmarkStart w:id="367" w:name="_DV_C64"/>
      <w:r>
        <w:rPr>
          <w:rStyle w:val="FootnoteReference"/>
        </w:rPr>
        <w:footnoteRef/>
      </w:r>
      <w:r>
        <w:t xml:space="preserve"> </w:t>
      </w:r>
      <w:r>
        <w:tab/>
        <w:t>The bracketed language provides for additional lock-ups for registrations other than the IPO.  Some investors may have issues with being locked-up for any registration other than the IPO but others may prefer to have this provision in order to help ensure the success of any subsequent offering.  A compromise position might be to say that with respect to any offering other than the IPO the Holders would be subject to a lock-up if requested by the managing underwriter and approved by Holders of X% of the Registrable Securities.</w:t>
      </w:r>
    </w:p>
    <w:bookmarkEnd w:id="367"/>
  </w:footnote>
  <w:footnote w:id="27">
    <w:p w:rsidR="00B95ADB" w:rsidRDefault="00B95ADB">
      <w:pPr>
        <w:pStyle w:val="FootnoteText"/>
      </w:pPr>
      <w:bookmarkStart w:id="370" w:name="_DV_C75"/>
      <w:r>
        <w:rPr>
          <w:rStyle w:val="FootnoteReference"/>
        </w:rPr>
        <w:footnoteRef/>
      </w:r>
      <w:r>
        <w:t xml:space="preserve"> </w:t>
      </w:r>
      <w:r>
        <w:tab/>
        <w:t xml:space="preserve">The bracketed language is intended to address the fact that FINRA Rule 2711(f)(4) and NYSE Rule 472 each prohibit </w:t>
      </w:r>
      <w:bookmarkStart w:id="371" w:name="_DV_C65"/>
      <w:r>
        <w:t>the</w:t>
      </w:r>
      <w:r>
        <w:rPr>
          <w:b/>
        </w:rPr>
        <w:t xml:space="preserve"> </w:t>
      </w:r>
      <w:bookmarkEnd w:id="371"/>
      <w:r>
        <w:t>publication or other distribution of a research report or the making of a public appearance concerning a subject company by a member 15 days prior to and after the expiration, waiver or termination of a lock-up agreement or any other agreement that the member has entered into with a subject company or its shareholders that restricts or prohibits the sale of securities held by the subject company or its shareholders after the completion of a securities offering, unless the securities are “actively traded” within the meaning of Rule 101(c)(1) of Regulation M under the Exchange Act.  Some underwriters are actually going farther and requiring that lock-up periods be extended to up to a total of 210 days in order to give them sufficient leeway.</w:t>
      </w:r>
    </w:p>
    <w:bookmarkEnd w:id="370"/>
  </w:footnote>
  <w:footnote w:id="28">
    <w:p w:rsidR="00B95ADB" w:rsidRDefault="00B95ADB">
      <w:pPr>
        <w:pStyle w:val="FootnoteText"/>
      </w:pPr>
      <w:bookmarkStart w:id="376" w:name="_DV_C80"/>
      <w:r>
        <w:rPr>
          <w:rStyle w:val="FootnoteReference"/>
        </w:rPr>
        <w:footnoteRef/>
      </w:r>
      <w:r>
        <w:t xml:space="preserve"> </w:t>
      </w:r>
      <w:r>
        <w:tab/>
        <w:t>Investors typically request that common stock acquired in the IPO or in the public market after the IPO should not be subject to the lock-up provisions.</w:t>
      </w:r>
    </w:p>
    <w:bookmarkEnd w:id="376"/>
  </w:footnote>
  <w:footnote w:id="29">
    <w:p w:rsidR="00B95ADB" w:rsidRDefault="00B95ADB">
      <w:pPr>
        <w:pStyle w:val="FootnoteText"/>
      </w:pPr>
      <w:bookmarkStart w:id="380" w:name="_DV_C86"/>
      <w:r>
        <w:rPr>
          <w:rStyle w:val="FootnoteReference"/>
        </w:rPr>
        <w:footnoteRef/>
      </w:r>
      <w:r>
        <w:t xml:space="preserve"> </w:t>
      </w:r>
      <w:r>
        <w:tab/>
        <w:t xml:space="preserve">An alternative, commonly used provision requires the Company to obtain a lock-up from all directors and officers and all stockholders individually owning more than [one - five] percent ([1 - 5]%) of the Company’s outstanding Common Stock (after giving effect to conversion into Common Stock of all outstanding Preferred Stock).  A potential problem with such formulation is that if not all larger stockholders are parties to this agreement or otherwise subject to the same restrictions then the failure to obtain a lock-up from even a single one of those stockholders  would invalidate the entire provision.  Consider also including a covenant requiring all future </w:t>
      </w:r>
      <w:bookmarkStart w:id="381" w:name="_DV_C82"/>
      <w:r>
        <w:t>stockholders</w:t>
      </w:r>
      <w:bookmarkEnd w:id="381"/>
      <w:r>
        <w:t xml:space="preserve"> to sign a similar market stand-off provision.  Compare </w:t>
      </w:r>
      <w:r>
        <w:rPr>
          <w:u w:val="single"/>
        </w:rPr>
        <w:t xml:space="preserve">Subsection </w:t>
      </w:r>
      <w:r w:rsidR="0044102D">
        <w:rPr>
          <w:u w:val="single"/>
        </w:rPr>
        <w:fldChar w:fldCharType="begin"/>
      </w:r>
      <w:r w:rsidR="0044102D">
        <w:rPr>
          <w:u w:val="single"/>
        </w:rPr>
        <w:instrText xml:space="preserve"> REF _Ref431386158 \n \h </w:instrText>
      </w:r>
      <w:r w:rsidR="0044102D">
        <w:rPr>
          <w:u w:val="single"/>
        </w:rPr>
      </w:r>
      <w:r w:rsidR="0044102D">
        <w:rPr>
          <w:u w:val="single"/>
        </w:rPr>
        <w:fldChar w:fldCharType="separate"/>
      </w:r>
      <w:r w:rsidR="0044102D">
        <w:rPr>
          <w:u w:val="single"/>
        </w:rPr>
        <w:t>5.3</w:t>
      </w:r>
      <w:r w:rsidR="0044102D">
        <w:rPr>
          <w:u w:val="single"/>
        </w:rPr>
        <w:fldChar w:fldCharType="end"/>
      </w:r>
      <w:r>
        <w:t>, which applies only to employees.</w:t>
      </w:r>
    </w:p>
    <w:bookmarkEnd w:id="380"/>
  </w:footnote>
  <w:footnote w:id="30">
    <w:p w:rsidR="00B95ADB" w:rsidRPr="002630EE" w:rsidRDefault="00B95ADB">
      <w:pPr>
        <w:pStyle w:val="FootnoteText"/>
        <w:rPr>
          <w:lang w:val="en-US"/>
        </w:rPr>
      </w:pPr>
      <w:bookmarkStart w:id="386" w:name="_DV_M211"/>
      <w:bookmarkStart w:id="387" w:name="_DV_C91"/>
      <w:bookmarkEnd w:id="386"/>
      <w:r>
        <w:rPr>
          <w:rStyle w:val="FootnoteReference"/>
        </w:rPr>
        <w:footnoteRef/>
      </w:r>
      <w:r>
        <w:t xml:space="preserve"> </w:t>
      </w:r>
      <w:r>
        <w:tab/>
      </w:r>
      <w:r>
        <w:rPr>
          <w:szCs w:val="20"/>
        </w:rPr>
        <w:t xml:space="preserve">Sometimes </w:t>
      </w:r>
      <w:r>
        <w:rPr>
          <w:i/>
          <w:szCs w:val="20"/>
        </w:rPr>
        <w:t>de minimis</w:t>
      </w:r>
      <w:r>
        <w:rPr>
          <w:szCs w:val="20"/>
        </w:rPr>
        <w:t xml:space="preserve"> thresholds are negotiated so that smaller employee stockholders in need of liquidity can be released without destroying all of the lock-ups and the offering.</w:t>
      </w:r>
      <w:bookmarkStart w:id="388" w:name="_DV_C87"/>
      <w:r>
        <w:rPr>
          <w:szCs w:val="20"/>
        </w:rPr>
        <w:t xml:space="preserve">  Note, however, that based on very recent experience with dealing with IPO underwriters, who are objecting to small holders not being subject </w:t>
      </w:r>
      <w:r>
        <w:rPr>
          <w:rStyle w:val="FootnoteReference"/>
          <w:position w:val="0"/>
          <w:sz w:val="20"/>
          <w:szCs w:val="20"/>
        </w:rPr>
        <w:t>to lock-ups, some funds are requiring that all stockholders be subject to lock-ups.</w:t>
      </w:r>
      <w:bookmarkEnd w:id="388"/>
      <w:r w:rsidR="002630EE">
        <w:rPr>
          <w:szCs w:val="20"/>
          <w:lang w:val="en-US"/>
        </w:rPr>
        <w:t xml:space="preserve"> </w:t>
      </w:r>
      <w:r w:rsidR="005B6ADD">
        <w:rPr>
          <w:szCs w:val="20"/>
          <w:lang w:val="en-US"/>
        </w:rPr>
        <w:t>Lawyers</w:t>
      </w:r>
      <w:r w:rsidR="002630EE" w:rsidRPr="002630EE">
        <w:rPr>
          <w:szCs w:val="20"/>
          <w:lang w:val="en-US"/>
        </w:rPr>
        <w:t xml:space="preserve"> should be aware that even if this </w:t>
      </w:r>
      <w:r w:rsidR="005B6ADD">
        <w:rPr>
          <w:szCs w:val="20"/>
          <w:lang w:val="en-US"/>
        </w:rPr>
        <w:t xml:space="preserve">last </w:t>
      </w:r>
      <w:r w:rsidR="002630EE" w:rsidRPr="002630EE">
        <w:rPr>
          <w:szCs w:val="20"/>
          <w:lang w:val="en-US"/>
        </w:rPr>
        <w:t xml:space="preserve">bracketed </w:t>
      </w:r>
      <w:r w:rsidR="005B6ADD">
        <w:rPr>
          <w:szCs w:val="20"/>
          <w:lang w:val="en-US"/>
        </w:rPr>
        <w:t>sentence</w:t>
      </w:r>
      <w:r w:rsidR="002630EE" w:rsidRPr="002630EE">
        <w:rPr>
          <w:szCs w:val="20"/>
          <w:lang w:val="en-US"/>
        </w:rPr>
        <w:t xml:space="preserve"> is included in this Agreement some underwriters will object to including similar language regarding discretionary waivers in the </w:t>
      </w:r>
      <w:r w:rsidR="005B6ADD">
        <w:rPr>
          <w:szCs w:val="20"/>
          <w:lang w:val="en-US"/>
        </w:rPr>
        <w:t>lock-up</w:t>
      </w:r>
      <w:r w:rsidR="002630EE" w:rsidRPr="002630EE">
        <w:rPr>
          <w:szCs w:val="20"/>
          <w:lang w:val="en-US"/>
        </w:rPr>
        <w:t xml:space="preserve"> agreements they require in connection with an IPO.   Investors having the benefit of the bracketed </w:t>
      </w:r>
      <w:r w:rsidR="005B6ADD">
        <w:rPr>
          <w:szCs w:val="20"/>
          <w:lang w:val="en-US"/>
        </w:rPr>
        <w:t>sentence</w:t>
      </w:r>
      <w:r w:rsidR="002630EE" w:rsidRPr="002630EE">
        <w:rPr>
          <w:szCs w:val="20"/>
          <w:lang w:val="en-US"/>
        </w:rPr>
        <w:t xml:space="preserve"> can be reluctant to agree to</w:t>
      </w:r>
      <w:r w:rsidR="005B6ADD">
        <w:rPr>
          <w:szCs w:val="20"/>
          <w:lang w:val="en-US"/>
        </w:rPr>
        <w:t xml:space="preserve"> a lock-up agreement</w:t>
      </w:r>
      <w:r w:rsidR="002630EE" w:rsidRPr="002630EE">
        <w:rPr>
          <w:szCs w:val="20"/>
          <w:lang w:val="en-US"/>
        </w:rPr>
        <w:t xml:space="preserve"> </w:t>
      </w:r>
      <w:r w:rsidR="00FB5628">
        <w:rPr>
          <w:szCs w:val="20"/>
          <w:lang w:val="en-US"/>
        </w:rPr>
        <w:t>less favorable</w:t>
      </w:r>
      <w:r w:rsidR="005B6ADD">
        <w:rPr>
          <w:szCs w:val="20"/>
          <w:lang w:val="en-US"/>
        </w:rPr>
        <w:t>,</w:t>
      </w:r>
      <w:r w:rsidR="00FB5628">
        <w:rPr>
          <w:szCs w:val="20"/>
          <w:lang w:val="en-US"/>
        </w:rPr>
        <w:t xml:space="preserve"> creating an </w:t>
      </w:r>
      <w:r w:rsidR="002630EE" w:rsidRPr="002630EE">
        <w:rPr>
          <w:szCs w:val="20"/>
          <w:lang w:val="en-US"/>
        </w:rPr>
        <w:t>issue that needs to be resolved to successfully complete the IPO</w:t>
      </w:r>
      <w:r w:rsidR="002630EE">
        <w:rPr>
          <w:szCs w:val="20"/>
          <w:lang w:val="en-US"/>
        </w:rPr>
        <w:t>.</w:t>
      </w:r>
    </w:p>
    <w:bookmarkEnd w:id="387"/>
  </w:footnote>
  <w:footnote w:id="31">
    <w:p w:rsidR="00B95ADB" w:rsidRDefault="00B95ADB">
      <w:pPr>
        <w:pStyle w:val="FootnoteText"/>
      </w:pPr>
      <w:bookmarkStart w:id="395" w:name="_DV_C97"/>
      <w:r>
        <w:rPr>
          <w:rStyle w:val="FootnoteReference"/>
        </w:rPr>
        <w:footnoteRef/>
      </w:r>
      <w:r>
        <w:t xml:space="preserve"> </w:t>
      </w:r>
      <w:r>
        <w:tab/>
        <w:t xml:space="preserve">This Agreement does not prohibit the transfer of Registrable Securities to competitors.  Some companies insist on providing for a flat prohibition on transfers to competitors; a less restrictive alternative would be to provide for a “right of first refusal” in favor of the Company, other investors, or Key Holders in the event of a proposed sale or transfer to a competitor.  See also </w:t>
      </w:r>
      <w:r>
        <w:rPr>
          <w:u w:val="single"/>
        </w:rPr>
        <w:t xml:space="preserve">Subsections </w:t>
      </w:r>
      <w:r w:rsidR="0044102D">
        <w:rPr>
          <w:u w:val="single"/>
        </w:rPr>
        <w:fldChar w:fldCharType="begin"/>
      </w:r>
      <w:r w:rsidR="0044102D">
        <w:rPr>
          <w:u w:val="single"/>
        </w:rPr>
        <w:instrText xml:space="preserve"> REF _Ref431386174 \n \h </w:instrText>
      </w:r>
      <w:r w:rsidR="0044102D">
        <w:rPr>
          <w:u w:val="single"/>
        </w:rPr>
      </w:r>
      <w:r w:rsidR="0044102D">
        <w:rPr>
          <w:u w:val="single"/>
        </w:rPr>
        <w:fldChar w:fldCharType="separate"/>
      </w:r>
      <w:r w:rsidR="0044102D">
        <w:rPr>
          <w:u w:val="single"/>
        </w:rPr>
        <w:t>3.1</w:t>
      </w:r>
      <w:r w:rsidR="0044102D">
        <w:rPr>
          <w:u w:val="single"/>
        </w:rPr>
        <w:fldChar w:fldCharType="end"/>
      </w:r>
      <w:r>
        <w:t xml:space="preserve">, </w:t>
      </w:r>
      <w:r w:rsidR="0044102D" w:rsidRPr="0044102D">
        <w:rPr>
          <w:u w:val="single"/>
        </w:rPr>
        <w:fldChar w:fldCharType="begin"/>
      </w:r>
      <w:r w:rsidR="0044102D" w:rsidRPr="0044102D">
        <w:rPr>
          <w:u w:val="single"/>
        </w:rPr>
        <w:instrText xml:space="preserve"> REF _Ref431386185 \n \h </w:instrText>
      </w:r>
      <w:r w:rsidR="0044102D" w:rsidRPr="0044102D">
        <w:rPr>
          <w:u w:val="single"/>
        </w:rPr>
      </w:r>
      <w:r w:rsidR="0044102D">
        <w:rPr>
          <w:u w:val="single"/>
        </w:rPr>
        <w:instrText xml:space="preserve"> \* MERGEFORMAT </w:instrText>
      </w:r>
      <w:r w:rsidR="0044102D" w:rsidRPr="0044102D">
        <w:rPr>
          <w:u w:val="single"/>
        </w:rPr>
        <w:fldChar w:fldCharType="separate"/>
      </w:r>
      <w:r w:rsidR="0044102D" w:rsidRPr="0044102D">
        <w:rPr>
          <w:u w:val="single"/>
        </w:rPr>
        <w:t>3.2</w:t>
      </w:r>
      <w:r w:rsidR="0044102D" w:rsidRPr="0044102D">
        <w:rPr>
          <w:u w:val="single"/>
        </w:rPr>
        <w:fldChar w:fldCharType="end"/>
      </w:r>
      <w:r>
        <w:t xml:space="preserve"> and </w:t>
      </w:r>
      <w:r w:rsidR="0044102D" w:rsidRPr="0044102D">
        <w:rPr>
          <w:u w:val="single"/>
        </w:rPr>
        <w:fldChar w:fldCharType="begin"/>
      </w:r>
      <w:r w:rsidR="0044102D" w:rsidRPr="0044102D">
        <w:rPr>
          <w:u w:val="single"/>
        </w:rPr>
        <w:instrText xml:space="preserve"> REF _Ref431386201 \n \h </w:instrText>
      </w:r>
      <w:r w:rsidR="0044102D" w:rsidRPr="0044102D">
        <w:rPr>
          <w:u w:val="single"/>
        </w:rPr>
      </w:r>
      <w:r w:rsidR="0044102D">
        <w:rPr>
          <w:u w:val="single"/>
        </w:rPr>
        <w:instrText xml:space="preserve"> \* MERGEFORMAT </w:instrText>
      </w:r>
      <w:r w:rsidR="0044102D" w:rsidRPr="0044102D">
        <w:rPr>
          <w:u w:val="single"/>
        </w:rPr>
        <w:fldChar w:fldCharType="separate"/>
      </w:r>
      <w:r w:rsidR="0044102D" w:rsidRPr="0044102D">
        <w:rPr>
          <w:u w:val="single"/>
        </w:rPr>
        <w:t>3.3</w:t>
      </w:r>
      <w:r w:rsidR="0044102D" w:rsidRPr="0044102D">
        <w:rPr>
          <w:u w:val="single"/>
        </w:rPr>
        <w:fldChar w:fldCharType="end"/>
      </w:r>
      <w:r>
        <w:t>.</w:t>
      </w:r>
    </w:p>
    <w:bookmarkEnd w:id="395"/>
  </w:footnote>
  <w:footnote w:id="32">
    <w:p w:rsidR="00B95ADB" w:rsidRDefault="00B95ADB">
      <w:pPr>
        <w:pStyle w:val="FootnoteText"/>
      </w:pPr>
      <w:bookmarkStart w:id="444" w:name="_DV_C105"/>
      <w:r>
        <w:rPr>
          <w:rStyle w:val="FootnoteReference"/>
        </w:rPr>
        <w:footnoteRef/>
      </w:r>
      <w:r>
        <w:tab/>
        <w:t>The share-ownership minimum for receiving financial information is negotiable, but is often set at the holdings of the smallest venture capital investor.  It should be set high enough to avoid burdensome disclosure requirements on the Company, but low enough to provide investors with information if they really need it.</w:t>
      </w:r>
    </w:p>
    <w:bookmarkEnd w:id="444"/>
  </w:footnote>
  <w:footnote w:id="33">
    <w:p w:rsidR="00B95ADB" w:rsidRDefault="00B95ADB">
      <w:pPr>
        <w:pStyle w:val="FootnoteText"/>
      </w:pPr>
      <w:bookmarkStart w:id="446" w:name="_DV_C111"/>
      <w:r>
        <w:rPr>
          <w:rStyle w:val="FootnoteReference"/>
        </w:rPr>
        <w:footnoteRef/>
      </w:r>
      <w:r>
        <w:tab/>
        <w:t xml:space="preserve">This provision grants the Board the discretion to define “competitor,” but there are alternative ways that are more investor-friendly.  For example, “competitors” could be defined as a select group of companies on a schedule.  </w:t>
      </w:r>
    </w:p>
    <w:bookmarkEnd w:id="446"/>
  </w:footnote>
  <w:footnote w:id="34">
    <w:p w:rsidR="00B95ADB" w:rsidRDefault="00B95ADB">
      <w:pPr>
        <w:pStyle w:val="FootnoteText"/>
      </w:pPr>
      <w:bookmarkStart w:id="456" w:name="_DV_C117"/>
      <w:r>
        <w:rPr>
          <w:rStyle w:val="FootnoteReference"/>
        </w:rPr>
        <w:footnoteRef/>
      </w:r>
      <w:r>
        <w:t xml:space="preserve"> </w:t>
      </w:r>
      <w:r>
        <w:tab/>
        <w:t xml:space="preserve">Consider the Company’s stage of development, costs, and timing associated with audited financial statements as well as the use of nationally </w:t>
      </w:r>
      <w:bookmarkStart w:id="457" w:name="_DV_C112"/>
      <w:r>
        <w:t xml:space="preserve">vs. regionally </w:t>
      </w:r>
      <w:bookmarkEnd w:id="457"/>
      <w:r>
        <w:t>recognized accountants.  Further, as a practical matter, “nationally recognized” accounting firms may not readily accept engagements by early stage companies.</w:t>
      </w:r>
    </w:p>
    <w:bookmarkEnd w:id="456"/>
  </w:footnote>
  <w:footnote w:id="35">
    <w:p w:rsidR="00B95ADB" w:rsidRDefault="00B95ADB">
      <w:pPr>
        <w:pStyle w:val="FootnoteText"/>
      </w:pPr>
      <w:bookmarkStart w:id="474" w:name="_DV_C121"/>
      <w:r>
        <w:rPr>
          <w:rStyle w:val="FootnoteReference"/>
        </w:rPr>
        <w:footnoteRef/>
      </w:r>
      <w:r>
        <w:t xml:space="preserve"> </w:t>
      </w:r>
      <w:r>
        <w:tab/>
        <w:t xml:space="preserve">Some investors request that the Company provide information relating to material litigation, regulatory matters, material defaults under credit facilities, and other material events and occurrences.  Note, however, that if the investing entity is entitled to a Board seat, there is little need (at least for that particular investor) to impose these additional reporting obligations on the Company.  </w:t>
      </w:r>
    </w:p>
    <w:bookmarkEnd w:id="474"/>
  </w:footnote>
  <w:footnote w:id="36">
    <w:p w:rsidR="00B95ADB" w:rsidRDefault="00B95ADB">
      <w:pPr>
        <w:pStyle w:val="FootnoteText"/>
      </w:pPr>
      <w:bookmarkStart w:id="505" w:name="_DV_C129"/>
      <w:bookmarkStart w:id="506" w:name="_DV_C125"/>
      <w:r>
        <w:rPr>
          <w:rStyle w:val="FootnoteReference"/>
        </w:rPr>
        <w:footnoteRef/>
      </w:r>
      <w:r>
        <w:t xml:space="preserve"> </w:t>
      </w:r>
      <w:r>
        <w:tab/>
        <w:t xml:space="preserve">Some companies prefer to include such provisions in an agreement between the Company and the particular investor receiving such rights, </w:t>
      </w:r>
      <w:r>
        <w:rPr>
          <w:i/>
        </w:rPr>
        <w:t>e.g.</w:t>
      </w:r>
      <w:r>
        <w:t>, in the Management Rights letter.  Also, consider requiring Board observers to enter into confidentiality agreements before exercising any observer rights, since observers are not bound by the same fiduciary duties as directors.</w:t>
      </w:r>
    </w:p>
    <w:bookmarkEnd w:id="506"/>
  </w:footnote>
  <w:footnote w:id="37">
    <w:p w:rsidR="00B95ADB" w:rsidRDefault="00B95ADB">
      <w:pPr>
        <w:pStyle w:val="FootnoteText"/>
      </w:pPr>
      <w:r>
        <w:rPr>
          <w:rStyle w:val="FootnoteReference"/>
        </w:rPr>
        <w:footnoteRef/>
      </w:r>
      <w:r>
        <w:t xml:space="preserve"> </w:t>
      </w:r>
      <w:r>
        <w:tab/>
        <w:t>Because the Company will be a reporting company under the Exchange Act following any registered public offering, the Company will be required to limit information provided to Investors to the information filed with the SEC under the Exchange Act.</w:t>
      </w:r>
    </w:p>
  </w:footnote>
  <w:footnote w:id="38">
    <w:p w:rsidR="00B95ADB" w:rsidRDefault="00B95ADB">
      <w:pPr>
        <w:pStyle w:val="FootnoteText"/>
      </w:pPr>
      <w:bookmarkStart w:id="535" w:name="_DV_C133"/>
      <w:r>
        <w:rPr>
          <w:rStyle w:val="FootnoteReference"/>
        </w:rPr>
        <w:footnoteRef/>
      </w:r>
      <w:r>
        <w:tab/>
        <w:t>Consider including language to prohibit disclosure of confidential information to any competitor.</w:t>
      </w:r>
    </w:p>
    <w:bookmarkEnd w:id="535"/>
  </w:footnote>
  <w:footnote w:id="39">
    <w:p w:rsidR="00B95ADB" w:rsidRDefault="00B95ADB">
      <w:pPr>
        <w:pStyle w:val="FootnoteText"/>
      </w:pPr>
      <w:bookmarkStart w:id="537" w:name="_DV_C137"/>
      <w:r>
        <w:rPr>
          <w:rStyle w:val="FootnoteReference"/>
        </w:rPr>
        <w:footnoteRef/>
      </w:r>
      <w:r>
        <w:t xml:space="preserve"> </w:t>
      </w:r>
      <w:r>
        <w:tab/>
        <w:t>The bracketed language is a (pro-investor) provision intended to give Investors the ability to provide such information to prospective limited partners, members and other investors which may be important to an Investor, though note that companies may be uncomfortable extending the group which has access to their confidential information this far and may prefer to deal with this issue on a case by case basis.</w:t>
      </w:r>
    </w:p>
    <w:bookmarkEnd w:id="537"/>
  </w:footnote>
  <w:footnote w:id="40">
    <w:p w:rsidR="00B95ADB" w:rsidRDefault="00B95ADB">
      <w:pPr>
        <w:pStyle w:val="FootnoteText"/>
      </w:pPr>
      <w:bookmarkStart w:id="564" w:name="_DV_C141"/>
      <w:r>
        <w:rPr>
          <w:rStyle w:val="FootnoteReference"/>
        </w:rPr>
        <w:footnoteRef/>
      </w:r>
      <w:r>
        <w:t xml:space="preserve"> </w:t>
      </w:r>
      <w:r>
        <w:tab/>
        <w:t>Here this right is provided to only a few select investors (“</w:t>
      </w:r>
      <w:r>
        <w:rPr>
          <w:b/>
        </w:rPr>
        <w:t>Major Investors</w:t>
      </w:r>
      <w:r>
        <w:t>”), to avoid unduly complicating subsequent financing rounds.</w:t>
      </w:r>
    </w:p>
    <w:bookmarkEnd w:id="564"/>
  </w:footnote>
  <w:footnote w:id="41">
    <w:p w:rsidR="00B95ADB" w:rsidRDefault="00B95ADB">
      <w:pPr>
        <w:pStyle w:val="FootnoteText"/>
      </w:pPr>
      <w:bookmarkStart w:id="573" w:name="_DV_C145"/>
      <w:r>
        <w:rPr>
          <w:rStyle w:val="FootnoteReference"/>
        </w:rPr>
        <w:footnoteRef/>
      </w:r>
      <w:r>
        <w:tab/>
        <w:t>The Board may elect to reserve only a portion of the round for existing investors, with the balance to be offered exclusively to new investors.  If so, then the phrase “set aside by the Board of Directors for purchase by existing investors” or similar language should be inserted immediately before the footnote reference above.  (See similar language in definition of “Offered Securities” in pay-to-play section (“</w:t>
      </w:r>
      <w:r>
        <w:rPr>
          <w:b/>
        </w:rPr>
        <w:t>Special Mandatory Conversion</w:t>
      </w:r>
      <w:r>
        <w:t xml:space="preserve">”) of Model Certificate of Incorporation.)  Some investors might view a provision authorizing the Board to allocate only a portion of the New Securities for purchase under </w:t>
      </w:r>
      <w:r>
        <w:rPr>
          <w:u w:val="single"/>
        </w:rPr>
        <w:t xml:space="preserve">Section </w:t>
      </w:r>
      <w:r w:rsidR="0044102D">
        <w:rPr>
          <w:u w:val="single"/>
        </w:rPr>
        <w:fldChar w:fldCharType="begin"/>
      </w:r>
      <w:r w:rsidR="0044102D">
        <w:rPr>
          <w:u w:val="single"/>
        </w:rPr>
        <w:instrText xml:space="preserve"> REF _Ref431386226 \n \h </w:instrText>
      </w:r>
      <w:r w:rsidR="0044102D">
        <w:rPr>
          <w:u w:val="single"/>
        </w:rPr>
      </w:r>
      <w:r w:rsidR="0044102D">
        <w:rPr>
          <w:u w:val="single"/>
        </w:rPr>
        <w:fldChar w:fldCharType="separate"/>
      </w:r>
      <w:r w:rsidR="0044102D">
        <w:rPr>
          <w:u w:val="single"/>
        </w:rPr>
        <w:t>4</w:t>
      </w:r>
      <w:r w:rsidR="0044102D">
        <w:rPr>
          <w:u w:val="single"/>
        </w:rPr>
        <w:fldChar w:fldCharType="end"/>
      </w:r>
      <w:r>
        <w:t xml:space="preserve"> as eviscerating the investors’ right of first offer unless a minimum portion of the new offering must be set aside.  Consequently, existing stockholders will usually be entitled to subscribe for all New Securities but will waive their rights in order to facilitate investment by new investors.</w:t>
      </w:r>
    </w:p>
    <w:bookmarkEnd w:id="573"/>
  </w:footnote>
  <w:footnote w:id="42">
    <w:p w:rsidR="00B95ADB" w:rsidRDefault="00B95ADB">
      <w:pPr>
        <w:pStyle w:val="FootnoteText"/>
      </w:pPr>
      <w:bookmarkStart w:id="576" w:name="_DV_C149"/>
      <w:r>
        <w:rPr>
          <w:rStyle w:val="FootnoteReference"/>
        </w:rPr>
        <w:footnoteRef/>
      </w:r>
      <w:r>
        <w:t xml:space="preserve"> </w:t>
      </w:r>
      <w:r>
        <w:tab/>
        <w:t>The definition of this pro rata participation concept can be subject to negotiation.  The numerator is generally based on common stock ownership or entitlement and should only include amounts held by the investor, including any shares of common stock that the investor may have purchased as common stock (for example, in a secondary transaction).  The denominator is usually the fully diluted common stock of the Company before the issuance but can sometimes be cut back to exclude certain options or warrants, thereby increasing the number of shares available for purchase by holders of the purchase right, or can be limited (as in the alternative bracketed language) to securities held by the group with the purchase right (here, Major Investors), thereby making the purchase right a preemptive right in favor of such group.</w:t>
      </w:r>
    </w:p>
    <w:bookmarkEnd w:id="576"/>
  </w:footnote>
  <w:footnote w:id="43">
    <w:p w:rsidR="00B95ADB" w:rsidRDefault="00B95ADB">
      <w:pPr>
        <w:pStyle w:val="FootnoteText"/>
      </w:pPr>
      <w:bookmarkStart w:id="578" w:name="_DV_M295"/>
      <w:bookmarkStart w:id="579" w:name="_DV_C153"/>
      <w:bookmarkEnd w:id="578"/>
      <w:r>
        <w:rPr>
          <w:rStyle w:val="FootnoteReference"/>
        </w:rPr>
        <w:footnoteRef/>
      </w:r>
      <w:r>
        <w:t xml:space="preserve"> </w:t>
      </w:r>
      <w:r>
        <w:tab/>
        <w:t>This is commonly referred to as a “gobble-up,” “over allotment,” or “oversubscription” provision and allows investors to purchase shares not purchased by other investors entitled to purchase rights.  This is usually easy to negotiate, but some companies may resist allowing investors to exceed their current percentage ownership in the Company (which could limit shares available to potential new investors).</w:t>
      </w:r>
    </w:p>
    <w:bookmarkEnd w:id="579"/>
  </w:footnote>
  <w:footnote w:id="44">
    <w:p w:rsidR="00B95ADB" w:rsidRDefault="00B95ADB">
      <w:pPr>
        <w:pStyle w:val="FootnoteText"/>
      </w:pPr>
      <w:r>
        <w:rPr>
          <w:rStyle w:val="FootnoteReference"/>
        </w:rPr>
        <w:footnoteRef/>
      </w:r>
      <w:r>
        <w:t xml:space="preserve"> </w:t>
      </w:r>
      <w:r>
        <w:tab/>
        <w:t>These provisions should generally be consistent with the carve-outs to antidilution protection contained in the Certificate of Incorporation.  However, additional exclusions may be negotiated, and more Company flexibility may be afforded here than in the similar antidilution carve-outs in the Certificate of Incorporation, since preemptive rights are usually considered a less important investor right than a conversion price adjustment.</w:t>
      </w:r>
    </w:p>
  </w:footnote>
  <w:footnote w:id="45">
    <w:p w:rsidR="00344AF7" w:rsidRPr="005B6ADD" w:rsidRDefault="00344AF7" w:rsidP="00344AF7">
      <w:pPr>
        <w:pStyle w:val="FootnoteText"/>
        <w:rPr>
          <w:lang w:val="en-US"/>
        </w:rPr>
      </w:pPr>
      <w:bookmarkStart w:id="602" w:name="_DV_C168"/>
      <w:r>
        <w:rPr>
          <w:rStyle w:val="FootnoteReference"/>
        </w:rPr>
        <w:footnoteRef/>
      </w:r>
      <w:r>
        <w:t xml:space="preserve"> </w:t>
      </w:r>
      <w:r>
        <w:rPr>
          <w:lang w:val="en-US"/>
        </w:rPr>
        <w:tab/>
      </w:r>
      <w:r w:rsidRPr="005B6ADD">
        <w:rPr>
          <w:lang w:val="en-US"/>
        </w:rPr>
        <w:t xml:space="preserve">If this provision is included in the Agreement, careful attention should be paid to the denominator used in the calculation of the pro rata participation right.  Note that this language will not work if </w:t>
      </w:r>
      <w:r w:rsidRPr="005B6ADD">
        <w:rPr>
          <w:u w:val="single"/>
          <w:lang w:val="en-US"/>
        </w:rPr>
        <w:t>Section 4.1</w:t>
      </w:r>
      <w:r w:rsidRPr="005B6ADD">
        <w:rPr>
          <w:lang w:val="en-US"/>
        </w:rPr>
        <w:t xml:space="preserve"> has been set up to give the investors a pr</w:t>
      </w:r>
      <w:r>
        <w:rPr>
          <w:lang w:val="en-US"/>
        </w:rPr>
        <w:t>eemptive right.  See footnote</w:t>
      </w:r>
      <w:r w:rsidR="00221017">
        <w:rPr>
          <w:lang w:val="en-US"/>
        </w:rPr>
        <w:t xml:space="preserve"> </w:t>
      </w:r>
      <w:r w:rsidR="00221017">
        <w:rPr>
          <w:lang w:val="en-US"/>
        </w:rPr>
        <w:fldChar w:fldCharType="begin"/>
      </w:r>
      <w:r w:rsidR="00221017">
        <w:rPr>
          <w:lang w:val="en-US"/>
        </w:rPr>
        <w:instrText xml:space="preserve"> NOTEREF _Ref475045595 \h </w:instrText>
      </w:r>
      <w:r w:rsidR="00221017">
        <w:rPr>
          <w:lang w:val="en-US"/>
        </w:rPr>
      </w:r>
      <w:r w:rsidR="00221017">
        <w:rPr>
          <w:lang w:val="en-US"/>
        </w:rPr>
        <w:fldChar w:fldCharType="separate"/>
      </w:r>
      <w:r w:rsidR="00221017">
        <w:rPr>
          <w:lang w:val="en-US"/>
        </w:rPr>
        <w:t>41</w:t>
      </w:r>
      <w:r w:rsidR="00221017">
        <w:rPr>
          <w:lang w:val="en-US"/>
        </w:rPr>
        <w:fldChar w:fldCharType="end"/>
      </w:r>
      <w:r w:rsidRPr="005B6ADD">
        <w:rPr>
          <w:lang w:val="en-US"/>
        </w:rPr>
        <w:t>.</w:t>
      </w:r>
    </w:p>
  </w:footnote>
  <w:footnote w:id="46">
    <w:p w:rsidR="00B95ADB" w:rsidRDefault="00B95ADB">
      <w:pPr>
        <w:pStyle w:val="FootnoteText"/>
      </w:pPr>
      <w:r>
        <w:rPr>
          <w:rStyle w:val="FootnoteReference"/>
        </w:rPr>
        <w:footnoteRef/>
      </w:r>
      <w:r>
        <w:t xml:space="preserve"> </w:t>
      </w:r>
      <w:r>
        <w:tab/>
        <w:t>Provisions relating to directed IPO shares are no longer common in venture financing documents.  A form of directed share covenant is set forth below:</w:t>
      </w:r>
    </w:p>
    <w:p w:rsidR="00B95ADB" w:rsidRDefault="00B95ADB">
      <w:pPr>
        <w:pStyle w:val="FootnoteText"/>
      </w:pPr>
      <w:r>
        <w:t>If an IPO is undertaken, the Company will use its commercially reasonable efforts to cause the managing underwriter(s) of the IPO to designate a number of shares equal to [ten percent (10%)] of the Common Stock to be offered in the IPO for sale under a “directed shares program,” and shall instruct such underwriter(s) to allocate no less than fifty percent (50%) of such directed shares program to be sold to Persons designated by the Major Investors pro rata on the basis of the number of shares held by each of the Major Investors (on an as-converted basis).  The shares designated by the underwriter(s) for sale under a directed shares program are referred to herein as “directed shares.”  The Major Investors acknowledge that, despite the Company’s use of its commercially reasonable efforts, the underwriter(s) may determine in [its/their] sole discretion that it is not advisable to designate all such shares as directed shares in the IPO, in which case the number of directed shares may be reduced or no directed shares may be designated, as applicable.  The Major Investors also acknowledge that notwithstanding the terms of this Agreement, the sale of any directed shares to any Person pursuant to this Agreement will only be made in compliance with Rules 2110 and 2790 of the National Association of Securities Dealers, Inc. Conduct Rules and federal, state, and local laws, rules, and regulations, and only if the IPO is consummated after one (1) year from the date hereof.</w:t>
      </w:r>
    </w:p>
  </w:footnote>
  <w:footnote w:id="47">
    <w:p w:rsidR="00B95ADB" w:rsidRDefault="00B95ADB">
      <w:pPr>
        <w:pStyle w:val="FootnoteText"/>
        <w:rPr>
          <w:lang w:val="en-US"/>
        </w:rPr>
      </w:pPr>
      <w:r>
        <w:rPr>
          <w:rStyle w:val="FootnoteReference"/>
        </w:rPr>
        <w:footnoteRef/>
      </w:r>
      <w:r>
        <w:t xml:space="preserve"> </w:t>
      </w:r>
      <w:r>
        <w:tab/>
      </w:r>
      <w:r>
        <w:rPr>
          <w:color w:val="1A356E"/>
          <w:szCs w:val="20"/>
        </w:rPr>
        <w:t xml:space="preserve">In this </w:t>
      </w:r>
      <w:r>
        <w:rPr>
          <w:color w:val="1A1A1A"/>
          <w:szCs w:val="20"/>
        </w:rPr>
        <w:t xml:space="preserve">scenario, the </w:t>
      </w:r>
      <w:r>
        <w:rPr>
          <w:color w:val="1A1A1A"/>
          <w:szCs w:val="20"/>
          <w:lang w:val="en-US"/>
        </w:rPr>
        <w:t>C</w:t>
      </w:r>
      <w:r>
        <w:rPr>
          <w:color w:val="1A1A1A"/>
          <w:szCs w:val="20"/>
        </w:rPr>
        <w:t>ompany may be in the pre-IPO stage, and preemptive rights</w:t>
      </w:r>
      <w:r>
        <w:rPr>
          <w:color w:val="1A356E"/>
          <w:szCs w:val="20"/>
        </w:rPr>
        <w:t xml:space="preserve"> may remain</w:t>
      </w:r>
      <w:r>
        <w:rPr>
          <w:color w:val="1A1A1A"/>
          <w:szCs w:val="20"/>
        </w:rPr>
        <w:t xml:space="preserve"> valuable to the investors.</w:t>
      </w:r>
    </w:p>
  </w:footnote>
  <w:footnote w:id="48">
    <w:p w:rsidR="00B95ADB" w:rsidRDefault="00B95ADB">
      <w:pPr>
        <w:pStyle w:val="FootnoteText"/>
      </w:pPr>
      <w:r>
        <w:rPr>
          <w:rStyle w:val="FootnoteReference"/>
        </w:rPr>
        <w:footnoteRef/>
      </w:r>
      <w:r>
        <w:t xml:space="preserve"> </w:t>
      </w:r>
      <w:r>
        <w:tab/>
        <w:t xml:space="preserve">Such notice and consent may be required in order for proceeds payable under a key-person policy not to constitute taxable income to the </w:t>
      </w:r>
      <w:r>
        <w:rPr>
          <w:lang w:val="en-US"/>
        </w:rPr>
        <w:t>C</w:t>
      </w:r>
      <w:r>
        <w:t xml:space="preserve">ompany.  The </w:t>
      </w:r>
      <w:r>
        <w:rPr>
          <w:lang w:val="en-US"/>
        </w:rPr>
        <w:t>C</w:t>
      </w:r>
      <w:r>
        <w:t xml:space="preserve">ompany is advised to review the taxation of policy proceeds with an insurance broker.  </w:t>
      </w:r>
    </w:p>
  </w:footnote>
  <w:footnote w:id="49">
    <w:p w:rsidR="00B95ADB" w:rsidRDefault="00B95ADB">
      <w:pPr>
        <w:pStyle w:val="FootnoteText"/>
      </w:pPr>
      <w:bookmarkStart w:id="642" w:name="_DV_C172"/>
      <w:r>
        <w:rPr>
          <w:rStyle w:val="FootnoteReference"/>
        </w:rPr>
        <w:footnoteRef/>
      </w:r>
      <w:r>
        <w:t xml:space="preserve"> </w:t>
      </w:r>
      <w:r>
        <w:tab/>
        <w:t>Note that noncompete restrictions (other than in connection with the sale of a business) are prohibited in California and may not be enforceable in other jurisdictions.  In addition, some investors do not require such agreements for fear that employees will request additional consideration in exchange for signing a noncompete/nonsolicit (and indeed the agreement may arguably be invalid absent such additional consideration).  Others take the view that it should be up to the Board on a case-by-case basis to determine whether any particular key employee is required to sign such an agreement.  Noncompetes typically have a one-year duration, although state law may permit up to two years.</w:t>
      </w:r>
    </w:p>
    <w:bookmarkEnd w:id="642"/>
  </w:footnote>
  <w:footnote w:id="50">
    <w:p w:rsidR="00221017" w:rsidRPr="00BB79C4" w:rsidRDefault="00221017" w:rsidP="00221017">
      <w:pPr>
        <w:pStyle w:val="FootnoteText"/>
        <w:rPr>
          <w:lang w:val="en-US"/>
        </w:rPr>
      </w:pPr>
      <w:bookmarkStart w:id="656" w:name="_DV_C178"/>
      <w:r>
        <w:rPr>
          <w:rStyle w:val="FootnoteReference"/>
        </w:rPr>
        <w:footnoteRef/>
      </w:r>
      <w:r>
        <w:t xml:space="preserve"> </w:t>
      </w:r>
      <w:r>
        <w:rPr>
          <w:lang w:val="en-US"/>
        </w:rPr>
        <w:t>Lawyers may want to consider prohibiting in this Section 5.3 the issuance after the date of this Agreement of restricted stock or grant of stock options containing any provisions for acceleration upon any event or circumstances (beyond those already provided in any previously-approved equity or option plan) without the approval of the Board of Directors, including the Series A Director.</w:t>
      </w:r>
    </w:p>
  </w:footnote>
  <w:footnote w:id="51">
    <w:p w:rsidR="00B95ADB" w:rsidRDefault="00B95ADB">
      <w:pPr>
        <w:pStyle w:val="FootnoteText"/>
      </w:pPr>
      <w:r>
        <w:rPr>
          <w:rStyle w:val="FootnoteReference"/>
        </w:rPr>
        <w:footnoteRef/>
      </w:r>
      <w:r>
        <w:t xml:space="preserve"> </w:t>
      </w:r>
      <w:r>
        <w:tab/>
        <w:t xml:space="preserve">There is a divergence of interest between the </w:t>
      </w:r>
      <w:r>
        <w:rPr>
          <w:lang w:val="en-US"/>
        </w:rPr>
        <w:t>C</w:t>
      </w:r>
      <w:r>
        <w:t>ompany and the investors with respect to whether specified corporate acts may be subject to approval by the investors’ designee to the Board.  In many cases, the investors won’t go forward without this provision.  In other cases, the topics of concern would otherwise be added to the Certificate of Incorporation and require a stockholder vote.  The Company generally would find the director approval approach preferable, as the director representative on the Board has a fiduciary duty to the corporation when acting in the capacity of a director.  Other formulations could be: requiring the vote of a supermajority of the Board, or a majority of the non-management directors.</w:t>
      </w:r>
    </w:p>
  </w:footnote>
  <w:footnote w:id="52">
    <w:p w:rsidR="00B95ADB" w:rsidRDefault="00B95ADB">
      <w:pPr>
        <w:pStyle w:val="FootnoteText"/>
      </w:pPr>
      <w:r>
        <w:rPr>
          <w:rStyle w:val="FootnoteReference"/>
        </w:rPr>
        <w:footnoteRef/>
      </w:r>
      <w:r>
        <w:t xml:space="preserve"> </w:t>
      </w:r>
      <w:r>
        <w:tab/>
        <w:t>There may be other deal-specific provisions to include in this section.  Also, there may be provisions herein that are not appropriate for every transaction. In general, parties should be mindful of balancing investor control with the duty of the Board to act in accordance with its fiduciary duties.  These provisions should also be harmonized with the special investor approval rights (so-called “protective provisions”) in the Certificate of Incorporation, to avoid overlap.  Also, in determining whether stockholder approval or director approval is appropriate, consider (1) that the directors, unlike investors, have fiduciary duties; (2) that, as a practical matter, Board approval is easier to obtain than stockholder approval; and (3) the proportion of preferred shares held by funds whose partners sit on the Board.  Also, consider adding protections similar to those contained in the Certificate of Incorporation.</w:t>
      </w:r>
    </w:p>
  </w:footnote>
  <w:footnote w:id="53">
    <w:p w:rsidR="00B95ADB" w:rsidRDefault="00B95ADB">
      <w:pPr>
        <w:pStyle w:val="FootnoteText"/>
      </w:pPr>
      <w:r>
        <w:rPr>
          <w:rStyle w:val="FootnoteReference"/>
        </w:rPr>
        <w:footnoteRef/>
      </w:r>
      <w:r>
        <w:rPr>
          <w:rStyle w:val="FootnoteReference"/>
        </w:rPr>
        <w:t xml:space="preserve"> </w:t>
      </w:r>
      <w:r>
        <w:tab/>
        <w:t>Investors at times find that their interests are not perfectly aligned with those of management when it comes to the Sale of a Company and/or that the matters of concern to them (</w:t>
      </w:r>
      <w:r>
        <w:rPr>
          <w:i/>
        </w:rPr>
        <w:t>e.g.</w:t>
      </w:r>
      <w:r>
        <w:t>, escrow provisions) are not necessarily important to management; providing for separate investor counsel ensures that someone is looking out for their interests at a crucial time.</w:t>
      </w:r>
    </w:p>
  </w:footnote>
  <w:footnote w:id="54">
    <w:p w:rsidR="00B95ADB" w:rsidRDefault="00B95ADB">
      <w:pPr>
        <w:pStyle w:val="FootnoteText"/>
      </w:pPr>
      <w:r>
        <w:rPr>
          <w:rStyle w:val="FootnoteReference"/>
        </w:rPr>
        <w:footnoteRef/>
      </w:r>
      <w:r>
        <w:rPr>
          <w:rStyle w:val="FootnoteReference"/>
        </w:rPr>
        <w:t xml:space="preserve"> </w:t>
      </w:r>
      <w:r>
        <w:tab/>
        <w:t xml:space="preserve">This provision, added in the wake of the Delaware Chancery Court’s decision in </w:t>
      </w:r>
      <w:r>
        <w:rPr>
          <w:i/>
        </w:rPr>
        <w:t>Levy, et al. v. HLI Operating Company, Inc., et al., 2007 WL 1452934 (Del.Ch.)</w:t>
      </w:r>
      <w:r>
        <w:t xml:space="preserve">, is designed to reinforce the priority of the </w:t>
      </w:r>
      <w:r>
        <w:rPr>
          <w:lang w:val="en-US"/>
        </w:rPr>
        <w:t>C</w:t>
      </w:r>
      <w:r>
        <w:t xml:space="preserve">ompany’s indemnification of an investor director and to ensure that the investing entity itself is in direct contractual privity with the </w:t>
      </w:r>
      <w:r>
        <w:rPr>
          <w:lang w:val="en-US"/>
        </w:rPr>
        <w:t>C</w:t>
      </w:r>
      <w:r>
        <w:t xml:space="preserve">ompany with respect to such priority (in contrast to an indemnification agreement between the </w:t>
      </w:r>
      <w:r>
        <w:rPr>
          <w:lang w:val="en-US"/>
        </w:rPr>
        <w:t>C</w:t>
      </w:r>
      <w:r>
        <w:t>ompany and the individual director themselves).</w:t>
      </w:r>
    </w:p>
  </w:footnote>
  <w:footnote w:id="55">
    <w:p w:rsidR="00ED33DF" w:rsidRDefault="00ED33DF" w:rsidP="00ED33DF">
      <w:pPr>
        <w:pStyle w:val="FootnoteText"/>
      </w:pPr>
      <w:r>
        <w:rPr>
          <w:rStyle w:val="FootnoteReference"/>
        </w:rPr>
        <w:footnoteRef/>
      </w:r>
      <w:r>
        <w:rPr>
          <w:rStyle w:val="FootnoteReference"/>
        </w:rPr>
        <w:t xml:space="preserve"> </w:t>
      </w:r>
      <w:r>
        <w:tab/>
        <w:t xml:space="preserve">Compare </w:t>
      </w:r>
      <w:r>
        <w:rPr>
          <w:u w:val="single"/>
        </w:rPr>
        <w:t xml:space="preserve">Subsections </w:t>
      </w:r>
      <w:r>
        <w:rPr>
          <w:u w:val="single"/>
        </w:rPr>
        <w:fldChar w:fldCharType="begin"/>
      </w:r>
      <w:r>
        <w:rPr>
          <w:u w:val="single"/>
        </w:rPr>
        <w:instrText xml:space="preserve"> REF _Ref431386266 \n \h </w:instrText>
      </w:r>
      <w:r>
        <w:rPr>
          <w:u w:val="single"/>
        </w:rPr>
      </w:r>
      <w:r>
        <w:rPr>
          <w:u w:val="single"/>
        </w:rPr>
        <w:fldChar w:fldCharType="separate"/>
      </w:r>
      <w:r>
        <w:rPr>
          <w:u w:val="single"/>
        </w:rPr>
        <w:t>3.4</w:t>
      </w:r>
      <w:r>
        <w:rPr>
          <w:u w:val="single"/>
        </w:rPr>
        <w:fldChar w:fldCharType="end"/>
      </w:r>
      <w:r>
        <w:t xml:space="preserve"> and </w:t>
      </w:r>
      <w:r w:rsidRPr="0044102D">
        <w:rPr>
          <w:u w:val="single"/>
        </w:rPr>
        <w:fldChar w:fldCharType="begin"/>
      </w:r>
      <w:r w:rsidRPr="0044102D">
        <w:rPr>
          <w:u w:val="single"/>
        </w:rPr>
        <w:instrText xml:space="preserve"> REF _Ref431386286 \n \h </w:instrText>
      </w:r>
      <w:r w:rsidRPr="0044102D">
        <w:rPr>
          <w:u w:val="single"/>
        </w:rPr>
      </w:r>
      <w:r>
        <w:rPr>
          <w:u w:val="single"/>
        </w:rPr>
        <w:instrText xml:space="preserve"> \* MERGEFORMAT </w:instrText>
      </w:r>
      <w:r w:rsidRPr="0044102D">
        <w:rPr>
          <w:u w:val="single"/>
        </w:rPr>
        <w:fldChar w:fldCharType="separate"/>
      </w:r>
      <w:r w:rsidRPr="0044102D">
        <w:rPr>
          <w:u w:val="single"/>
        </w:rPr>
        <w:t>4.3</w:t>
      </w:r>
      <w:r w:rsidRPr="0044102D">
        <w:rPr>
          <w:u w:val="single"/>
        </w:rPr>
        <w:fldChar w:fldCharType="end"/>
      </w:r>
      <w:r>
        <w:t>.</w:t>
      </w:r>
    </w:p>
  </w:footnote>
  <w:footnote w:id="56">
    <w:p w:rsidR="00B95ADB" w:rsidRDefault="00B95ADB">
      <w:pPr>
        <w:pStyle w:val="FootnoteText"/>
      </w:pPr>
      <w:r>
        <w:rPr>
          <w:rStyle w:val="FootnoteReference"/>
        </w:rPr>
        <w:footnoteRef/>
      </w:r>
      <w:r>
        <w:rPr>
          <w:rStyle w:val="FootnoteReference"/>
        </w:rPr>
        <w:t xml:space="preserve"> </w:t>
      </w:r>
      <w:r>
        <w:tab/>
        <w:t>After choosing the applicable law, the parties should determine whether such law imposes any particular requirements, such as special legends or other notices, in order to make restrictions on transfer of shares effective.</w:t>
      </w:r>
    </w:p>
  </w:footnote>
  <w:footnote w:id="57">
    <w:p w:rsidR="00571C10" w:rsidRPr="00571C10" w:rsidRDefault="00571C10">
      <w:pPr>
        <w:pStyle w:val="FootnoteText"/>
        <w:rPr>
          <w:lang w:val="en-US"/>
        </w:rPr>
      </w:pPr>
      <w:r>
        <w:rPr>
          <w:rStyle w:val="FootnoteReference"/>
        </w:rPr>
        <w:footnoteRef/>
      </w:r>
      <w:r>
        <w:t xml:space="preserve"> </w:t>
      </w:r>
      <w:r>
        <w:rPr>
          <w:lang w:val="en-US"/>
        </w:rPr>
        <w:tab/>
        <w:t>Some practitioners may select Delaware law as it has historically been the richest source for corporation law precedent.  Other practitioners will prefer to choose the (non-Delaware) jurisdiction in which they are admitted to practice, if for no other reason than not having to retain Delaware counsel in the event they are called upon to give an enforceability opinion.</w:t>
      </w:r>
    </w:p>
  </w:footnote>
  <w:footnote w:id="58">
    <w:p w:rsidR="00B95ADB" w:rsidRDefault="00B95ADB">
      <w:pPr>
        <w:pStyle w:val="FootnoteText"/>
      </w:pPr>
      <w:r>
        <w:rPr>
          <w:rStyle w:val="FootnoteReference"/>
        </w:rPr>
        <w:footnoteRef/>
      </w:r>
      <w:r>
        <w:rPr>
          <w:rStyle w:val="FootnoteReference"/>
        </w:rPr>
        <w:t xml:space="preserve"> </w:t>
      </w:r>
      <w:r>
        <w:tab/>
        <w:t>The composition of the stockholder base should be reviewed carefully when setting amendment and waiver thresholds.  If possible (especially if the holders of prior series of preferred stock will control the preferred stock as a whole), consider a separate vote by holders of each series.  In general, rights as to each investor group should be separately waivable by that group.</w:t>
      </w:r>
    </w:p>
  </w:footnote>
  <w:footnote w:id="59">
    <w:p w:rsidR="00B95ADB" w:rsidRDefault="00B95ADB">
      <w:pPr>
        <w:pStyle w:val="FootnoteText"/>
      </w:pPr>
      <w:r>
        <w:rPr>
          <w:rStyle w:val="FootnoteReference"/>
        </w:rPr>
        <w:footnoteRef/>
      </w:r>
      <w:r>
        <w:rPr>
          <w:rStyle w:val="FootnoteReference"/>
        </w:rPr>
        <w:t xml:space="preserve"> </w:t>
      </w:r>
      <w:r>
        <w:tab/>
        <w:t xml:space="preserve">See also </w:t>
      </w:r>
      <w:r>
        <w:rPr>
          <w:u w:val="single"/>
        </w:rPr>
        <w:t xml:space="preserve">Subsection </w:t>
      </w:r>
      <w:r w:rsidR="0044102D">
        <w:rPr>
          <w:u w:val="single"/>
        </w:rPr>
        <w:fldChar w:fldCharType="begin"/>
      </w:r>
      <w:r w:rsidR="0044102D">
        <w:rPr>
          <w:u w:val="single"/>
        </w:rPr>
        <w:instrText xml:space="preserve"> REF _Ref431386322 \n \h </w:instrText>
      </w:r>
      <w:r w:rsidR="0044102D">
        <w:rPr>
          <w:u w:val="single"/>
        </w:rPr>
      </w:r>
      <w:r w:rsidR="0044102D">
        <w:rPr>
          <w:u w:val="single"/>
        </w:rPr>
        <w:fldChar w:fldCharType="separate"/>
      </w:r>
      <w:r w:rsidR="0044102D">
        <w:rPr>
          <w:u w:val="single"/>
        </w:rPr>
        <w:t>6.1</w:t>
      </w:r>
      <w:r w:rsidR="0044102D">
        <w:rPr>
          <w:u w:val="single"/>
        </w:rPr>
        <w:fldChar w:fldCharType="end"/>
      </w:r>
      <w:r>
        <w:t xml:space="preserve"> for special aggregation rule applicable to transferees of Registrable Securities.</w:t>
      </w:r>
    </w:p>
  </w:footnote>
  <w:footnote w:id="60">
    <w:p w:rsidR="00B95ADB" w:rsidRDefault="00B95ADB">
      <w:pPr>
        <w:pStyle w:val="FootnoteText"/>
      </w:pPr>
      <w:bookmarkStart w:id="822" w:name="_DV_C211"/>
      <w:r>
        <w:rPr>
          <w:rStyle w:val="FootnoteReference"/>
        </w:rPr>
        <w:footnoteRef/>
      </w:r>
      <w:r>
        <w:rPr>
          <w:rStyle w:val="FootnoteReference"/>
        </w:rPr>
        <w:t xml:space="preserve"> </w:t>
      </w:r>
      <w:r>
        <w:tab/>
        <w:t>Alternatively, if the Prior Agreement is terminated rather than amended and restated, “the Prior Agreement shall terminate and be of no further force and effect and shall be superseded and replaced in its entirety by this Agreement.”</w:t>
      </w:r>
      <w:bookmarkEnd w:id="822"/>
    </w:p>
  </w:footnote>
  <w:footnote w:id="61">
    <w:p w:rsidR="00923EDD" w:rsidRPr="00923EDD" w:rsidRDefault="00923EDD">
      <w:pPr>
        <w:pStyle w:val="FootnoteText"/>
        <w:rPr>
          <w:lang w:val="en-US"/>
        </w:rPr>
      </w:pPr>
      <w:r>
        <w:rPr>
          <w:rStyle w:val="FootnoteReference"/>
        </w:rPr>
        <w:footnoteRef/>
      </w:r>
      <w:r>
        <w:t xml:space="preserve"> </w:t>
      </w:r>
      <w:r>
        <w:rPr>
          <w:lang w:val="en-US"/>
        </w:rPr>
        <w:tab/>
      </w:r>
      <w:r>
        <w:t xml:space="preserve">Some </w:t>
      </w:r>
      <w:r w:rsidR="00A01A4C">
        <w:rPr>
          <w:lang w:val="en-US"/>
        </w:rPr>
        <w:t>lawyers</w:t>
      </w:r>
      <w:r>
        <w:t xml:space="preserve"> prefer to include a binding arbitration provision as the sole means of dispute resolution on the theory that arbitration</w:t>
      </w:r>
      <w:r w:rsidR="00A01A4C">
        <w:rPr>
          <w:lang w:val="en-US"/>
        </w:rPr>
        <w:t xml:space="preserve"> is confidential and</w:t>
      </w:r>
      <w:r>
        <w:t xml:space="preserve"> may be less expensive and more efficient.  Some investors, however, dislike</w:t>
      </w:r>
      <w:r w:rsidR="00A01A4C">
        <w:t xml:space="preserve"> arbitration because the resul</w:t>
      </w:r>
      <w:r w:rsidR="00A01A4C">
        <w:rPr>
          <w:lang w:val="en-US"/>
        </w:rPr>
        <w:t>t</w:t>
      </w:r>
      <w:r>
        <w:t xml:space="preserve"> cannot be appealed, and the arbitrator(s) is not bound to follow case law and precedent.</w:t>
      </w:r>
    </w:p>
  </w:footnote>
  <w:footnote w:id="62">
    <w:p w:rsidR="00260F4E" w:rsidRPr="00923EDD" w:rsidRDefault="00260F4E" w:rsidP="00DA416E">
      <w:pPr>
        <w:pStyle w:val="FootnoteText"/>
        <w:tabs>
          <w:tab w:val="left" w:pos="1440"/>
          <w:tab w:val="left" w:pos="2610"/>
        </w:tabs>
        <w:rPr>
          <w:lang w:val="en-US"/>
        </w:rPr>
      </w:pPr>
      <w:r>
        <w:rPr>
          <w:rStyle w:val="FootnoteReference"/>
        </w:rPr>
        <w:footnoteRef/>
      </w:r>
      <w:r>
        <w:t xml:space="preserve"> </w:t>
      </w:r>
      <w:r>
        <w:tab/>
        <w:t xml:space="preserve">This arbitration provision is offered as an alternative to the AAA provision for parties that would prefer to resolve disputes under the Delaware Rapid Arbitration Act.  </w:t>
      </w:r>
      <w:r w:rsidR="00923EDD" w:rsidRPr="00FF7597">
        <w:t>The DRAA implements a number</w:t>
      </w:r>
      <w:r w:rsidR="00DA416E">
        <w:rPr>
          <w:lang w:val="en-US"/>
        </w:rPr>
        <w:t xml:space="preserve"> </w:t>
      </w:r>
      <w:r w:rsidR="00923EDD" w:rsidRPr="00FF7597">
        <w:t>of new approaches in arbitration that make the statute unique among national and</w:t>
      </w:r>
      <w:r w:rsidR="00DA416E">
        <w:rPr>
          <w:lang w:val="en-US"/>
        </w:rPr>
        <w:t xml:space="preserve"> </w:t>
      </w:r>
      <w:r w:rsidR="00923EDD" w:rsidRPr="00FF7597">
        <w:t>international arbitration regimes.</w:t>
      </w:r>
      <w:r w:rsidR="00DA416E">
        <w:rPr>
          <w:lang w:val="en-US"/>
        </w:rPr>
        <w:t xml:space="preserve">  </w:t>
      </w:r>
      <w:r w:rsidR="00923EDD" w:rsidRPr="00FF7597">
        <w:t>First, the Act provides for a truncated “summary” proceeding before the</w:t>
      </w:r>
      <w:r w:rsidR="00DA416E">
        <w:rPr>
          <w:lang w:val="en-US"/>
        </w:rPr>
        <w:t xml:space="preserve"> </w:t>
      </w:r>
      <w:r w:rsidR="00923EDD" w:rsidRPr="00FF7597">
        <w:t>Delaware Court of Chancery to select an arbitrator where such selection was not</w:t>
      </w:r>
      <w:r w:rsidR="00DA416E">
        <w:rPr>
          <w:lang w:val="en-US"/>
        </w:rPr>
        <w:t xml:space="preserve"> </w:t>
      </w:r>
      <w:r w:rsidR="00923EDD" w:rsidRPr="00FF7597">
        <w:t>made i</w:t>
      </w:r>
      <w:r w:rsidR="00DA416E">
        <w:t xml:space="preserve">n the agreement to arbitrate.  </w:t>
      </w:r>
      <w:r w:rsidR="00923EDD" w:rsidRPr="00FF7597">
        <w:t>By statute, this proceeding must be concluded</w:t>
      </w:r>
      <w:r w:rsidR="00DA416E">
        <w:rPr>
          <w:lang w:val="en-US"/>
        </w:rPr>
        <w:t xml:space="preserve"> </w:t>
      </w:r>
      <w:r w:rsidR="00923EDD" w:rsidRPr="00FF7597">
        <w:t xml:space="preserve">no more than 30 days after its </w:t>
      </w:r>
      <w:r w:rsidR="00A01A4C">
        <w:rPr>
          <w:lang w:val="en-US"/>
        </w:rPr>
        <w:t>initial</w:t>
      </w:r>
      <w:r w:rsidR="00923EDD" w:rsidRPr="00FF7597">
        <w:t xml:space="preserve"> filing is served, and the jurisdiction of the</w:t>
      </w:r>
      <w:r w:rsidR="00DA416E">
        <w:rPr>
          <w:lang w:val="en-US"/>
        </w:rPr>
        <w:t xml:space="preserve"> </w:t>
      </w:r>
      <w:r w:rsidR="00923EDD" w:rsidRPr="00FF7597">
        <w:t>Court is highly limited. Second, the Act divests the courts</w:t>
      </w:r>
      <w:r w:rsidR="00DA416E">
        <w:rPr>
          <w:lang w:val="en-US"/>
        </w:rPr>
        <w:t xml:space="preserve"> </w:t>
      </w:r>
      <w:r w:rsidR="00923EDD" w:rsidRPr="00FF7597">
        <w:t>of jurisdiction to hear and decide any issue concerning arbitrability or the scope of</w:t>
      </w:r>
      <w:r w:rsidR="00DA416E">
        <w:rPr>
          <w:lang w:val="en-US"/>
        </w:rPr>
        <w:t xml:space="preserve"> </w:t>
      </w:r>
      <w:r w:rsidR="00923EDD" w:rsidRPr="00FF7597">
        <w:t>issues to be arbitrated. Instead, the Act vests the arbitrator, and only the arbitrator,with the power and authority to decide such issues.  Thus, the body of law relating</w:t>
      </w:r>
      <w:r w:rsidR="00DA416E">
        <w:rPr>
          <w:lang w:val="en-US"/>
        </w:rPr>
        <w:t xml:space="preserve"> </w:t>
      </w:r>
      <w:r w:rsidR="00923EDD" w:rsidRPr="00FF7597">
        <w:t>to whether an issue presented at the outset is “substantive” or “procedural” does</w:t>
      </w:r>
      <w:r w:rsidR="00DA416E">
        <w:rPr>
          <w:lang w:val="en-US"/>
        </w:rPr>
        <w:t xml:space="preserve"> </w:t>
      </w:r>
      <w:r w:rsidR="00923EDD" w:rsidRPr="00FF7597">
        <w:t>not apply to arbitrations under the Act, and neither party can seek to disrupt the</w:t>
      </w:r>
      <w:r w:rsidR="00DA416E">
        <w:rPr>
          <w:lang w:val="en-US"/>
        </w:rPr>
        <w:t xml:space="preserve"> </w:t>
      </w:r>
      <w:r w:rsidR="00923EDD" w:rsidRPr="00FF7597">
        <w:t xml:space="preserve">commencement of a DRAA arbitration by running into court. </w:t>
      </w:r>
      <w:r w:rsidR="00DA416E">
        <w:rPr>
          <w:lang w:val="en-US"/>
        </w:rPr>
        <w:t xml:space="preserve"> </w:t>
      </w:r>
      <w:r w:rsidR="00923EDD" w:rsidRPr="00FF7597">
        <w:t>Third, the Act vests the arbitrator with power to enjoin any conduct of a party</w:t>
      </w:r>
      <w:r w:rsidR="00DA416E">
        <w:rPr>
          <w:lang w:val="en-US"/>
        </w:rPr>
        <w:t xml:space="preserve"> </w:t>
      </w:r>
      <w:r w:rsidR="00923EDD" w:rsidRPr="00FF7597">
        <w:t>to the arbitration and divests the courts of power in this regard after an arbitrator</w:t>
      </w:r>
      <w:r w:rsidR="00DA416E">
        <w:rPr>
          <w:lang w:val="en-US"/>
        </w:rPr>
        <w:t xml:space="preserve"> </w:t>
      </w:r>
      <w:r w:rsidR="00923EDD" w:rsidRPr="00FF7597">
        <w:t>is appointed, thus avoiding the need for parallel proceedings t</w:t>
      </w:r>
      <w:r w:rsidR="00DA416E">
        <w:t>o compel or enjoin arbitration.</w:t>
      </w:r>
      <w:r w:rsidR="00DA416E">
        <w:rPr>
          <w:lang w:val="en-US"/>
        </w:rPr>
        <w:t xml:space="preserve">  </w:t>
      </w:r>
      <w:r w:rsidR="00923EDD" w:rsidRPr="00FF7597">
        <w:t>Finally, the Act provides that, absent an agreement otherwise, all matters</w:t>
      </w:r>
      <w:r w:rsidR="00DA416E">
        <w:rPr>
          <w:lang w:val="en-US"/>
        </w:rPr>
        <w:t xml:space="preserve"> </w:t>
      </w:r>
      <w:r w:rsidR="00923EDD" w:rsidRPr="00FF7597">
        <w:t>must be finally determined within 120 days of the arbitrator’s acceptance ofappointment (which deadline may be extended to 180 days, but no longer, byunanimous consent of the parties). Furthermore, the Act imposes a financial</w:t>
      </w:r>
      <w:r w:rsidR="00DA416E">
        <w:rPr>
          <w:lang w:val="en-US"/>
        </w:rPr>
        <w:t xml:space="preserve"> </w:t>
      </w:r>
      <w:r w:rsidR="00923EDD" w:rsidRPr="00FF7597">
        <w:t>penalty on an arbitrator who does not decide the matter within the allotted timeframe: the forfeiture of the arbitrator’s fees. The Act makes challenges to the arbitrator’s final award available directly to the Delaware Supreme Court in accordance with</w:t>
      </w:r>
      <w:r w:rsidR="00DA416E">
        <w:rPr>
          <w:lang w:val="en-US"/>
        </w:rPr>
        <w:t xml:space="preserve"> </w:t>
      </w:r>
      <w:r w:rsidR="00923EDD" w:rsidRPr="00FF7597">
        <w:t>the limited standards set forth in the Federal Arbitration Act, eliminating any</w:t>
      </w:r>
      <w:r w:rsidR="00DA416E">
        <w:rPr>
          <w:lang w:val="en-US"/>
        </w:rPr>
        <w:t xml:space="preserve"> </w:t>
      </w:r>
      <w:r w:rsidR="00923EDD" w:rsidRPr="00FF7597">
        <w:t xml:space="preserve">intermediate level of review. </w:t>
      </w:r>
      <w:r w:rsidR="00DA416E">
        <w:rPr>
          <w:lang w:val="en-US"/>
        </w:rPr>
        <w:t xml:space="preserve"> </w:t>
      </w:r>
      <w:r w:rsidR="00923EDD" w:rsidRPr="00FF7597">
        <w:t>The Act also provides that the parties may waive anyright to challenge or appeal the arbitrator’s final award by agreement or, where theparties wish to maintain confidentiality or allow more searching review, they may</w:t>
      </w:r>
      <w:r w:rsidR="00DA416E">
        <w:rPr>
          <w:lang w:val="en-US"/>
        </w:rPr>
        <w:t xml:space="preserve"> </w:t>
      </w:r>
      <w:r w:rsidR="00923EDD" w:rsidRPr="00FF7597">
        <w:t>proceed with an arbitral appeal</w:t>
      </w:r>
      <w:r w:rsidR="00923EDD">
        <w:rPr>
          <w:lang w:val="en-US"/>
        </w:rPr>
        <w:t>.</w:t>
      </w:r>
    </w:p>
  </w:footnote>
  <w:footnote w:id="63">
    <w:p w:rsidR="00260F4E" w:rsidRDefault="00260F4E" w:rsidP="00260F4E">
      <w:pPr>
        <w:pStyle w:val="FootnoteText"/>
        <w:tabs>
          <w:tab w:val="left" w:pos="1440"/>
        </w:tabs>
      </w:pPr>
      <w:r>
        <w:rPr>
          <w:rStyle w:val="FootnoteReference"/>
        </w:rPr>
        <w:footnoteRef/>
      </w:r>
      <w:r>
        <w:t xml:space="preserve"> </w:t>
      </w:r>
      <w:r>
        <w:tab/>
        <w:t>The parties may elect to use different rules. If different rules are desired, they should be set forth or incorporated by reference into this subsection (b).</w:t>
      </w:r>
    </w:p>
  </w:footnote>
  <w:footnote w:id="64">
    <w:p w:rsidR="00260F4E" w:rsidRPr="00DC7B73" w:rsidRDefault="00260F4E" w:rsidP="00260F4E">
      <w:pPr>
        <w:pStyle w:val="FootnoteText"/>
        <w:tabs>
          <w:tab w:val="left" w:pos="1440"/>
        </w:tabs>
        <w:rPr>
          <w:lang w:val="en-US"/>
        </w:rPr>
      </w:pPr>
      <w:r>
        <w:rPr>
          <w:rStyle w:val="FootnoteReference"/>
        </w:rPr>
        <w:footnoteRef/>
      </w:r>
      <w:r>
        <w:t xml:space="preserve"> </w:t>
      </w:r>
      <w:r>
        <w:tab/>
        <w:t>The parties may elect to hold the arbitration in a different location. Note, however, that the “seat” of the arbitration is, by statute, in Delaware.</w:t>
      </w:r>
      <w:r w:rsidR="00DC7B73">
        <w:rPr>
          <w:lang w:val="en-US"/>
        </w:rPr>
        <w:t xml:space="preserve">  </w:t>
      </w:r>
      <w:r w:rsidR="00DC7B73" w:rsidRPr="00FF7597">
        <w:t xml:space="preserve">This simply means that Delaware </w:t>
      </w:r>
      <w:r w:rsidR="00DC7B73">
        <w:t>law governs the arbitration, wh</w:t>
      </w:r>
      <w:r w:rsidR="00DC7B73" w:rsidRPr="00FF7597">
        <w:t>erever it occurs.</w:t>
      </w:r>
    </w:p>
  </w:footnote>
  <w:footnote w:id="65">
    <w:p w:rsidR="00260F4E" w:rsidRDefault="00260F4E" w:rsidP="00260F4E">
      <w:pPr>
        <w:pStyle w:val="FootnoteText"/>
        <w:tabs>
          <w:tab w:val="left" w:pos="1440"/>
        </w:tabs>
      </w:pPr>
      <w:r>
        <w:rPr>
          <w:rStyle w:val="FootnoteReference"/>
        </w:rPr>
        <w:footnoteRef/>
      </w:r>
      <w:r>
        <w:t xml:space="preserve"> </w:t>
      </w:r>
      <w:r>
        <w:tab/>
        <w:t>The parties may wish to proceed before a panel of arbitrators. In such event, this provision should be changed to reflect the desired number of arbitrators and to state their names or provide the descriptive qualifications.</w:t>
      </w:r>
    </w:p>
  </w:footnote>
  <w:footnote w:id="66">
    <w:p w:rsidR="00260F4E" w:rsidRDefault="00260F4E" w:rsidP="00260F4E">
      <w:pPr>
        <w:pStyle w:val="FootnoteText"/>
        <w:tabs>
          <w:tab w:val="left" w:pos="1440"/>
        </w:tabs>
      </w:pPr>
      <w:r>
        <w:rPr>
          <w:rStyle w:val="FootnoteReference"/>
        </w:rPr>
        <w:footnoteRef/>
      </w:r>
      <w:r>
        <w:t xml:space="preserve"> </w:t>
      </w:r>
      <w:r>
        <w:tab/>
        <w:t>The DRAA empowers the parties to include one, both or neither of the provisions set forth in subsection (e). If the parties wish to proceed without discovery, neither of the sentences in subsection (e) would be included. If they wish to proceed with only party discovery, then only the first sentence would be used. The second sentence would be used only where the parties wished to be able to take discovery from third parties. The Act would also permit the taking of only documentary discovery (as opposed to deposition or other testimony) or, alternatively, only oral testimony (as opposed to documents). The Act contemplates that the scope of discovery is customizable in this agreement, so in all events, this issue should be addressed. The statutory default, which would come into play if this provision was not included in some form, would be for the Arbitrator to be empowered to summon party witnesses and evidence, but not third-party evidence or witnesses.</w:t>
      </w:r>
    </w:p>
  </w:footnote>
  <w:footnote w:id="67">
    <w:p w:rsidR="00260F4E" w:rsidRDefault="00260F4E" w:rsidP="00260F4E">
      <w:pPr>
        <w:pStyle w:val="FootnoteText"/>
        <w:tabs>
          <w:tab w:val="left" w:pos="1440"/>
        </w:tabs>
      </w:pPr>
      <w:r>
        <w:rPr>
          <w:rStyle w:val="FootnoteReference"/>
        </w:rPr>
        <w:footnoteRef/>
      </w:r>
      <w:r>
        <w:t xml:space="preserve"> </w:t>
      </w:r>
      <w:r>
        <w:tab/>
        <w:t>The DRAA provides that the agreement may modify or eliminate the foregoing processes. Elimination may be appropriate in circumstances where the parties agree to present a pure issue of law for resolution, or in circumstances where a narrow, technical issue is the subject of the arbitration.</w:t>
      </w:r>
    </w:p>
  </w:footnote>
  <w:footnote w:id="68">
    <w:p w:rsidR="00260F4E" w:rsidRDefault="00260F4E" w:rsidP="00260F4E">
      <w:pPr>
        <w:pStyle w:val="FootnoteText"/>
        <w:tabs>
          <w:tab w:val="left" w:pos="1440"/>
        </w:tabs>
      </w:pPr>
      <w:r>
        <w:rPr>
          <w:rStyle w:val="FootnoteReference"/>
        </w:rPr>
        <w:footnoteRef/>
      </w:r>
      <w:r>
        <w:t xml:space="preserve"> </w:t>
      </w:r>
      <w:r>
        <w:tab/>
        <w:t>The parties may specify a longer period for the arbitration. If they do not do so, the 120-day period of the DRAA is the default, and such period may be extended by no more than an additional 60 days, and then only upon consent of all parties to the arbitration.</w:t>
      </w:r>
    </w:p>
  </w:footnote>
  <w:footnote w:id="69">
    <w:p w:rsidR="00260F4E" w:rsidRDefault="00260F4E" w:rsidP="00260F4E">
      <w:pPr>
        <w:pStyle w:val="FootnoteText"/>
        <w:tabs>
          <w:tab w:val="left" w:pos="1440"/>
        </w:tabs>
      </w:pPr>
      <w:r>
        <w:rPr>
          <w:rStyle w:val="FootnoteReference"/>
        </w:rPr>
        <w:footnoteRef/>
      </w:r>
      <w:r>
        <w:t xml:space="preserve"> </w:t>
      </w:r>
      <w:r>
        <w:tab/>
        <w:t>A reasoned award is not required by the Act, but may be required by the parties’ contract.</w:t>
      </w:r>
    </w:p>
  </w:footnote>
  <w:footnote w:id="70">
    <w:p w:rsidR="00260F4E" w:rsidRDefault="00260F4E" w:rsidP="00260F4E">
      <w:pPr>
        <w:pStyle w:val="FootnoteText"/>
        <w:tabs>
          <w:tab w:val="left" w:pos="1440"/>
        </w:tabs>
      </w:pPr>
      <w:r>
        <w:rPr>
          <w:rStyle w:val="FootnoteReference"/>
        </w:rPr>
        <w:footnoteRef/>
      </w:r>
      <w:r>
        <w:t xml:space="preserve"> </w:t>
      </w:r>
      <w:r>
        <w:tab/>
        <w:t>The DRAA allows the parties to waive the right to appeal. This provision should only be included if the parties intend to waive appellate rights. Subsection (l) below is included in the event that the parties wish to preserve the right to appeal the Arbitrator’s award, in which case clause (iv) of subsection (g) should not be included.</w:t>
      </w:r>
    </w:p>
  </w:footnote>
  <w:footnote w:id="71">
    <w:p w:rsidR="00260F4E" w:rsidRDefault="00260F4E" w:rsidP="00260F4E">
      <w:pPr>
        <w:pStyle w:val="FootnoteText"/>
        <w:tabs>
          <w:tab w:val="left" w:pos="1440"/>
        </w:tabs>
      </w:pPr>
      <w:r>
        <w:rPr>
          <w:rStyle w:val="FootnoteReference"/>
        </w:rPr>
        <w:footnoteRef/>
      </w:r>
      <w:r>
        <w:t xml:space="preserve"> </w:t>
      </w:r>
      <w:r>
        <w:tab/>
        <w:t>Under the DRAA, the parties have the right to limit the power of the Arbitrator to award relief. Any such limitation should be specified here, in lieu of the last sentence of this provision.</w:t>
      </w:r>
    </w:p>
  </w:footnote>
  <w:footnote w:id="72">
    <w:p w:rsidR="00260F4E" w:rsidRDefault="00260F4E" w:rsidP="00260F4E">
      <w:pPr>
        <w:pStyle w:val="FootnoteText"/>
        <w:tabs>
          <w:tab w:val="left" w:pos="1440"/>
        </w:tabs>
      </w:pPr>
      <w:r>
        <w:rPr>
          <w:rStyle w:val="FootnoteReference"/>
        </w:rPr>
        <w:footnoteRef/>
      </w:r>
      <w:r>
        <w:t xml:space="preserve"> </w:t>
      </w:r>
      <w:r>
        <w:tab/>
        <w:t>This phrase would be included only in the event that one or both parties were subject to federal disclosure obligations which could encompass the Arbitration.</w:t>
      </w:r>
    </w:p>
  </w:footnote>
  <w:footnote w:id="73">
    <w:p w:rsidR="00260F4E" w:rsidRDefault="00260F4E" w:rsidP="00260F4E">
      <w:pPr>
        <w:pStyle w:val="FootnoteText"/>
      </w:pPr>
      <w:r>
        <w:rPr>
          <w:rStyle w:val="FootnoteReference"/>
        </w:rPr>
        <w:footnoteRef/>
      </w:r>
      <w:r>
        <w:t xml:space="preserve"> </w:t>
      </w:r>
      <w:r>
        <w:tab/>
        <w:t>E</w:t>
      </w:r>
      <w:r w:rsidRPr="00A3741A">
        <w:t>liminate reference to “third party discovery proceedings” in the event that such proceedi</w:t>
      </w:r>
      <w:r>
        <w:t>ngs were not contracted for in subs</w:t>
      </w:r>
      <w:r w:rsidRPr="00A3741A">
        <w:t xml:space="preserve">ection </w:t>
      </w:r>
      <w:r>
        <w:t>(</w:t>
      </w:r>
      <w:r w:rsidRPr="00A3741A">
        <w:t>e</w:t>
      </w:r>
      <w:r>
        <w:t>)</w:t>
      </w:r>
      <w:r w:rsidRPr="00A3741A">
        <w:t>, above</w:t>
      </w:r>
      <w:r>
        <w:t>.</w:t>
      </w:r>
    </w:p>
  </w:footnote>
  <w:footnote w:id="74">
    <w:p w:rsidR="00260F4E" w:rsidRDefault="00260F4E" w:rsidP="00260F4E">
      <w:pPr>
        <w:pStyle w:val="FootnoteText"/>
        <w:tabs>
          <w:tab w:val="left" w:pos="1440"/>
        </w:tabs>
      </w:pPr>
      <w:r>
        <w:rPr>
          <w:rStyle w:val="FootnoteReference"/>
        </w:rPr>
        <w:footnoteRef/>
      </w:r>
      <w:r>
        <w:t xml:space="preserve"> </w:t>
      </w:r>
      <w:r>
        <w:tab/>
        <w:t>Clause (v) would be excluded in the event that third-party discovery was not provided for in subsection (e) above.</w:t>
      </w:r>
    </w:p>
  </w:footnote>
  <w:footnote w:id="75">
    <w:p w:rsidR="00260F4E" w:rsidRDefault="00260F4E" w:rsidP="00260F4E">
      <w:pPr>
        <w:pStyle w:val="FootnoteText"/>
        <w:tabs>
          <w:tab w:val="left" w:pos="1440"/>
        </w:tabs>
      </w:pPr>
      <w:r>
        <w:rPr>
          <w:rStyle w:val="FootnoteReference"/>
        </w:rPr>
        <w:footnoteRef/>
      </w:r>
      <w:r>
        <w:t xml:space="preserve"> </w:t>
      </w:r>
      <w:r>
        <w:tab/>
        <w:t>The DRAA permits the parties to direct how costs of the Arbitration are to be borne.  Thus, in the event that the parties wish to vary this provision, they should do so here. Such variations could include a “loser pays” provision or an “arbitrator chooses” provision, which is not prohibited by the DRAA.</w:t>
      </w:r>
    </w:p>
  </w:footnote>
  <w:footnote w:id="76">
    <w:p w:rsidR="00260F4E" w:rsidRDefault="00260F4E" w:rsidP="00260F4E">
      <w:pPr>
        <w:pStyle w:val="FootnoteText"/>
        <w:tabs>
          <w:tab w:val="left" w:pos="1440"/>
        </w:tabs>
      </w:pPr>
      <w:r>
        <w:rPr>
          <w:rStyle w:val="FootnoteReference"/>
        </w:rPr>
        <w:footnoteRef/>
      </w:r>
      <w:r>
        <w:t xml:space="preserve"> </w:t>
      </w:r>
      <w:r>
        <w:tab/>
        <w:t>The DRAA permits the parties to waive appellate review, to proceed with a limited review in the Delaware Supreme Court, or to proceed with a private appellate arbitral review. This provision contemplates a review in the Delaware Supreme Court. In the event it is used, the parties should eliminate clause (iv) of subsection (g).</w:t>
      </w:r>
    </w:p>
  </w:footnote>
  <w:footnote w:id="77">
    <w:p w:rsidR="00260F4E" w:rsidRDefault="00260F4E" w:rsidP="00260F4E">
      <w:pPr>
        <w:pStyle w:val="FootnoteText"/>
      </w:pPr>
      <w:r>
        <w:rPr>
          <w:rStyle w:val="FootnoteReference"/>
        </w:rPr>
        <w:footnoteRef/>
      </w:r>
      <w:r>
        <w:t xml:space="preserve"> </w:t>
      </w:r>
      <w:r>
        <w:tab/>
      </w:r>
      <w:r w:rsidRPr="00672E7C">
        <w:t>The following is an alternative appellate provision in the event that the parties do not to wish to proceed with an appeal before the Delaware Supreme Court and desire a limited scope of app</w:t>
      </w:r>
      <w:r>
        <w:t>eal in accordance with the FAA.</w:t>
      </w:r>
      <w:r w:rsidRPr="00672E7C">
        <w:t xml:space="preserve">  </w:t>
      </w:r>
    </w:p>
  </w:footnote>
  <w:footnote w:id="78">
    <w:p w:rsidR="00260F4E" w:rsidRDefault="00260F4E" w:rsidP="00260F4E">
      <w:pPr>
        <w:pStyle w:val="FootnoteText"/>
        <w:tabs>
          <w:tab w:val="left" w:pos="1440"/>
        </w:tabs>
      </w:pPr>
      <w:r>
        <w:rPr>
          <w:rStyle w:val="FootnoteReference"/>
        </w:rPr>
        <w:footnoteRef/>
      </w:r>
      <w:r>
        <w:t xml:space="preserve"> </w:t>
      </w:r>
      <w:r>
        <w:tab/>
        <w:t>In the event that the parties wish to have a particular type of arbitrator appointed, they should so specify here. If not, the Court will appoint one or more senior Delaware lawyers.</w:t>
      </w:r>
    </w:p>
  </w:footnote>
  <w:footnote w:id="79">
    <w:p w:rsidR="00260F4E" w:rsidRDefault="00260F4E" w:rsidP="00260F4E">
      <w:pPr>
        <w:pStyle w:val="FootnoteText"/>
        <w:tabs>
          <w:tab w:val="left" w:pos="1440"/>
        </w:tabs>
      </w:pPr>
      <w:r>
        <w:rPr>
          <w:rStyle w:val="FootnoteReference"/>
        </w:rPr>
        <w:footnoteRef/>
      </w:r>
      <w:r>
        <w:t xml:space="preserve"> </w:t>
      </w:r>
      <w:r>
        <w:tab/>
        <w:t>This provision contemplates a scope of challenge to the Arbitrator’s final judgment limited to the grounds for review of an arbitral award under the Federal Arbitration Act. Parties who wish a broader scope of review may wish to consider the succeeding alternate provision set forth above.</w:t>
      </w:r>
    </w:p>
  </w:footnote>
  <w:footnote w:id="80">
    <w:p w:rsidR="00260F4E" w:rsidRDefault="00260F4E" w:rsidP="00260F4E">
      <w:pPr>
        <w:pStyle w:val="FootnoteText"/>
      </w:pPr>
      <w:r>
        <w:rPr>
          <w:rStyle w:val="FootnoteReference"/>
        </w:rPr>
        <w:footnoteRef/>
      </w:r>
      <w:r>
        <w:t xml:space="preserve"> </w:t>
      </w:r>
      <w:r>
        <w:tab/>
      </w:r>
      <w:r w:rsidRPr="00F66092">
        <w:t xml:space="preserve">The following is an alternative appellate provision for use in the event that the parties do not to wish to proceed with an appeal before the Delaware Supreme Court and desire that the scope of their </w:t>
      </w:r>
      <w:r>
        <w:t>appeal be as broad as possible.</w:t>
      </w:r>
    </w:p>
  </w:footnote>
  <w:footnote w:id="81">
    <w:p w:rsidR="00260F4E" w:rsidRPr="00A01A4C" w:rsidRDefault="00260F4E" w:rsidP="00260F4E">
      <w:pPr>
        <w:pStyle w:val="FootnoteText"/>
        <w:tabs>
          <w:tab w:val="left" w:pos="1440"/>
        </w:tabs>
        <w:rPr>
          <w:lang w:val="en-US"/>
        </w:rPr>
      </w:pPr>
      <w:r>
        <w:rPr>
          <w:rStyle w:val="FootnoteReference"/>
        </w:rPr>
        <w:footnoteRef/>
      </w:r>
      <w:r>
        <w:t xml:space="preserve"> </w:t>
      </w:r>
      <w:r>
        <w:tab/>
      </w:r>
      <w:r w:rsidR="00A01A4C">
        <w:rPr>
          <w:lang w:val="en-US"/>
        </w:rPr>
        <w:t xml:space="preserve">See note </w:t>
      </w:r>
      <w:r w:rsidR="00316848">
        <w:rPr>
          <w:lang w:val="en-US"/>
        </w:rPr>
        <w:fldChar w:fldCharType="begin"/>
      </w:r>
      <w:r w:rsidR="00316848">
        <w:rPr>
          <w:lang w:val="en-US"/>
        </w:rPr>
        <w:instrText xml:space="preserve"> NOTEREF _Ref474938186 \h </w:instrText>
      </w:r>
      <w:r w:rsidR="00316848">
        <w:rPr>
          <w:lang w:val="en-US"/>
        </w:rPr>
      </w:r>
      <w:r w:rsidR="00316848">
        <w:rPr>
          <w:lang w:val="en-US"/>
        </w:rPr>
        <w:fldChar w:fldCharType="separate"/>
      </w:r>
      <w:r w:rsidR="00316848">
        <w:rPr>
          <w:lang w:val="en-US"/>
        </w:rPr>
        <w:t>7</w:t>
      </w:r>
      <w:r w:rsidR="00316848">
        <w:rPr>
          <w:lang w:val="en-US"/>
        </w:rPr>
        <w:t>7</w:t>
      </w:r>
      <w:r w:rsidR="00316848">
        <w:rPr>
          <w:lang w:val="en-US"/>
        </w:rPr>
        <w:fldChar w:fldCharType="end"/>
      </w:r>
      <w:r w:rsidR="00A01A4C">
        <w:rPr>
          <w:lang w:val="en-US"/>
        </w:rPr>
        <w:t xml:space="preserve"> above.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Pr="00AB4844" w:rsidRDefault="00B95ADB">
    <w:pPr>
      <w:rPr>
        <w:b/>
      </w:rPr>
    </w:pPr>
    <w:r w:rsidRPr="00AB4844">
      <w:rPr>
        <w:b/>
      </w:rPr>
      <w:t>This sample document is the work product of a national coalition of attorneys who specialize in venture capital financings, working under the auspices of the NVCA.  This document is intended to serve as</w:t>
    </w:r>
    <w:r w:rsidR="00787C05">
      <w:rPr>
        <w:b/>
      </w:rPr>
      <w:t xml:space="preserve"> a starting point only</w:t>
    </w:r>
    <w:r w:rsidRPr="00AB4844">
      <w:rPr>
        <w:b/>
      </w:rPr>
      <w:t xml:space="preserve"> and should be tailored to meet your specific requirements.  This document should not be construed as legal advice for any particular facts or circumstances.  Note that this sample document presents an array of (often mutually exclusive) options with respect to particular deal provisions.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tabs>
        <w:tab w:val="right" w:pos="9360"/>
      </w:tabs>
      <w:spacing w:after="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DB" w:rsidRDefault="00B95ADB">
    <w:pPr>
      <w:spacing w:after="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3BEF1B4"/>
    <w:name w:val="(Unnamed Numbering Scheme)"/>
    <w:lvl w:ilvl="0">
      <w:start w:val="1"/>
      <w:numFmt w:val="decimal"/>
      <w:pStyle w:val="Heading1"/>
      <w:lvlText w:val="%1."/>
      <w:lvlJc w:val="left"/>
      <w:pPr>
        <w:tabs>
          <w:tab w:val="num" w:pos="0"/>
        </w:tabs>
        <w:ind w:left="0" w:firstLine="720"/>
      </w:pPr>
      <w:rPr>
        <w:rFonts w:ascii="Times New Roman" w:hAnsi="Times New Roman" w:hint="default"/>
        <w:b w:val="0"/>
        <w:i w:val="0"/>
        <w:color w:val="auto"/>
        <w:sz w:val="24"/>
        <w:szCs w:val="24"/>
        <w:u w:val="none"/>
      </w:rPr>
    </w:lvl>
    <w:lvl w:ilvl="1">
      <w:start w:val="1"/>
      <w:numFmt w:val="decimal"/>
      <w:pStyle w:val="Heading2"/>
      <w:lvlText w:val="%1.%2"/>
      <w:lvlJc w:val="left"/>
      <w:pPr>
        <w:tabs>
          <w:tab w:val="num" w:pos="630"/>
        </w:tabs>
        <w:ind w:left="630" w:firstLine="1440"/>
      </w:pPr>
      <w:rPr>
        <w:rFonts w:ascii="Times New Roman" w:hAnsi="Times New Roman" w:hint="default"/>
        <w:b w:val="0"/>
        <w:i w:val="0"/>
        <w:color w:val="auto"/>
        <w:sz w:val="24"/>
        <w:szCs w:val="24"/>
        <w:u w:val="none"/>
      </w:rPr>
    </w:lvl>
    <w:lvl w:ilvl="2">
      <w:start w:val="1"/>
      <w:numFmt w:val="lowerLetter"/>
      <w:pStyle w:val="Heading3"/>
      <w:lvlText w:val="(%3)"/>
      <w:lvlJc w:val="left"/>
      <w:pPr>
        <w:tabs>
          <w:tab w:val="num" w:pos="0"/>
        </w:tabs>
        <w:ind w:left="0" w:firstLine="2160"/>
      </w:pPr>
      <w:rPr>
        <w:rFonts w:ascii="Times New Roman" w:hAnsi="Times New Roman" w:hint="default"/>
        <w:b w:val="0"/>
        <w:i w:val="0"/>
        <w:color w:val="auto"/>
        <w:sz w:val="24"/>
        <w:szCs w:val="24"/>
        <w:u w:val="none"/>
      </w:rPr>
    </w:lvl>
    <w:lvl w:ilvl="3">
      <w:start w:val="1"/>
      <w:numFmt w:val="lowerRoman"/>
      <w:pStyle w:val="Heading4"/>
      <w:lvlText w:val="(%4)"/>
      <w:lvlJc w:val="left"/>
      <w:pPr>
        <w:tabs>
          <w:tab w:val="num" w:pos="0"/>
        </w:tabs>
        <w:ind w:left="0" w:firstLine="2880"/>
      </w:pPr>
      <w:rPr>
        <w:rFonts w:ascii="Times New Roman" w:hAnsi="Times New Roman" w:hint="default"/>
        <w:b w:val="0"/>
        <w:i w:val="0"/>
        <w:color w:val="auto"/>
        <w:sz w:val="24"/>
        <w:szCs w:val="24"/>
        <w:u w:val="none"/>
      </w:rPr>
    </w:lvl>
    <w:lvl w:ilvl="4">
      <w:start w:val="1"/>
      <w:numFmt w:val="upperLetter"/>
      <w:lvlText w:val="%5."/>
      <w:lvlJc w:val="left"/>
      <w:pPr>
        <w:tabs>
          <w:tab w:val="num" w:pos="0"/>
        </w:tabs>
        <w:ind w:left="0" w:firstLine="4320"/>
      </w:pPr>
      <w:rPr>
        <w:rFonts w:ascii="Times New Roman" w:hAnsi="Times New Roman" w:hint="default"/>
        <w:b w:val="0"/>
        <w:i w:val="0"/>
        <w:color w:val="auto"/>
        <w:sz w:val="24"/>
        <w:szCs w:val="24"/>
        <w:u w:val="none"/>
      </w:rPr>
    </w:lvl>
    <w:lvl w:ilvl="5">
      <w:start w:val="1"/>
      <w:numFmt w:val="decimal"/>
      <w:lvlText w:val="%1.%6"/>
      <w:lvlJc w:val="left"/>
      <w:pPr>
        <w:tabs>
          <w:tab w:val="num" w:pos="0"/>
        </w:tabs>
        <w:ind w:left="0" w:firstLine="1440"/>
      </w:pPr>
      <w:rPr>
        <w:rFonts w:ascii="Times New Roman" w:hAnsi="Times New Roman" w:hint="default"/>
        <w:b w:val="0"/>
        <w:i w:val="0"/>
        <w:color w:val="auto"/>
        <w:sz w:val="24"/>
        <w:szCs w:val="24"/>
        <w:u w:val="none"/>
      </w:rPr>
    </w:lvl>
    <w:lvl w:ilvl="6">
      <w:start w:val="1"/>
      <w:numFmt w:val="lowerRoman"/>
      <w:lvlText w:val="(%7)"/>
      <w:lvlJc w:val="left"/>
      <w:pPr>
        <w:tabs>
          <w:tab w:val="num" w:pos="0"/>
        </w:tabs>
        <w:ind w:left="0" w:firstLine="5760"/>
      </w:pPr>
      <w:rPr>
        <w:rFonts w:ascii="Times New Roman" w:hAnsi="Times New Roman" w:hint="default"/>
        <w:b w:val="0"/>
        <w:i w:val="0"/>
        <w:color w:val="auto"/>
        <w:sz w:val="24"/>
        <w:szCs w:val="24"/>
        <w:u w:val="none"/>
      </w:rPr>
    </w:lvl>
    <w:lvl w:ilvl="7">
      <w:start w:val="1"/>
      <w:numFmt w:val="lowerLetter"/>
      <w:lvlText w:val="(%8)"/>
      <w:lvlJc w:val="left"/>
      <w:pPr>
        <w:tabs>
          <w:tab w:val="num" w:pos="0"/>
        </w:tabs>
        <w:ind w:left="0" w:firstLine="6480"/>
      </w:pPr>
      <w:rPr>
        <w:rFonts w:ascii="Times New Roman" w:hAnsi="Times New Roman" w:hint="default"/>
        <w:b w:val="0"/>
        <w:i w:val="0"/>
        <w:color w:val="auto"/>
        <w:sz w:val="24"/>
        <w:szCs w:val="24"/>
        <w:u w:val="none"/>
      </w:rPr>
    </w:lvl>
    <w:lvl w:ilvl="8">
      <w:start w:val="1"/>
      <w:numFmt w:val="lowerRoman"/>
      <w:lvlText w:val="(%9)"/>
      <w:lvlJc w:val="left"/>
      <w:pPr>
        <w:tabs>
          <w:tab w:val="num" w:pos="0"/>
        </w:tabs>
        <w:ind w:left="0" w:firstLine="7200"/>
      </w:pPr>
      <w:rPr>
        <w:rFonts w:ascii="Times New Roman" w:hAnsi="Times New Roman" w:hint="default"/>
        <w:b w:val="0"/>
        <w:i w:val="0"/>
        <w:color w:val="auto"/>
        <w:sz w:val="24"/>
        <w:szCs w:val="24"/>
        <w:u w:val="none"/>
      </w:rPr>
    </w:lvl>
  </w:abstractNum>
  <w:num w:numId="1">
    <w:abstractNumId w:val="0"/>
  </w:num>
  <w:num w:numId="2">
    <w:abstractNumId w:val="0"/>
  </w:num>
  <w:num w:numId="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embedSystemFonts/>
  <w:bordersDoNotSurroundHeader/>
  <w:bordersDoNotSurroundFooter/>
  <w:hideSpellingErrors/>
  <w:hideGrammaticalErrors/>
  <w:proofState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3074"/>
  </w:hdrShapeDefaults>
  <w:footnotePr>
    <w:footnote w:id="-1"/>
    <w:footnote w:id="0"/>
    <w:footnote w:id="1"/>
  </w:footnotePr>
  <w:endnotePr>
    <w:endnote w:id="-1"/>
    <w:endnote w:id="0"/>
  </w:endnotePr>
  <w:compat>
    <w:adjustLineHeightInTable/>
    <w:growAutofi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BA_LastTab_Right" w:val="0"/>
    <w:docVar w:name="_BA_State_" w:val="0"/>
    <w:docVar w:name="DocCategory1" w:val="099991"/>
    <w:docVar w:name="DocCategory2" w:val="248485"/>
    <w:docVar w:name="StyleSeparatorCheck" w:val="True"/>
  </w:docVars>
  <w:rsids>
    <w:rsidRoot w:val="00CB5123"/>
    <w:rsid w:val="00013199"/>
    <w:rsid w:val="0002794E"/>
    <w:rsid w:val="000332E6"/>
    <w:rsid w:val="000358C1"/>
    <w:rsid w:val="000811F0"/>
    <w:rsid w:val="000A13C5"/>
    <w:rsid w:val="000D05BE"/>
    <w:rsid w:val="00132F18"/>
    <w:rsid w:val="0013320A"/>
    <w:rsid w:val="001362F5"/>
    <w:rsid w:val="001A3EFB"/>
    <w:rsid w:val="001B663B"/>
    <w:rsid w:val="001F1108"/>
    <w:rsid w:val="002035C8"/>
    <w:rsid w:val="00210018"/>
    <w:rsid w:val="00221017"/>
    <w:rsid w:val="00222212"/>
    <w:rsid w:val="00260F4E"/>
    <w:rsid w:val="002630EE"/>
    <w:rsid w:val="002705FD"/>
    <w:rsid w:val="002A78E5"/>
    <w:rsid w:val="002E7A39"/>
    <w:rsid w:val="003161DE"/>
    <w:rsid w:val="00316848"/>
    <w:rsid w:val="00326475"/>
    <w:rsid w:val="003416EE"/>
    <w:rsid w:val="00344AF7"/>
    <w:rsid w:val="00360485"/>
    <w:rsid w:val="00381746"/>
    <w:rsid w:val="0039181E"/>
    <w:rsid w:val="003A1C83"/>
    <w:rsid w:val="003E43F6"/>
    <w:rsid w:val="003E62E4"/>
    <w:rsid w:val="004173A8"/>
    <w:rsid w:val="0044102D"/>
    <w:rsid w:val="00452400"/>
    <w:rsid w:val="004D0D6B"/>
    <w:rsid w:val="004D0E25"/>
    <w:rsid w:val="004E0FFB"/>
    <w:rsid w:val="004E3EDE"/>
    <w:rsid w:val="0054650B"/>
    <w:rsid w:val="00571C10"/>
    <w:rsid w:val="00575161"/>
    <w:rsid w:val="00587B09"/>
    <w:rsid w:val="005B2E79"/>
    <w:rsid w:val="005B2E8F"/>
    <w:rsid w:val="005B6ADD"/>
    <w:rsid w:val="005D5E7B"/>
    <w:rsid w:val="005E01E7"/>
    <w:rsid w:val="00604B67"/>
    <w:rsid w:val="0066674B"/>
    <w:rsid w:val="006728F8"/>
    <w:rsid w:val="00675999"/>
    <w:rsid w:val="00676188"/>
    <w:rsid w:val="006775D3"/>
    <w:rsid w:val="00684A83"/>
    <w:rsid w:val="006A62F7"/>
    <w:rsid w:val="006C4CE4"/>
    <w:rsid w:val="006D1769"/>
    <w:rsid w:val="006D4FE6"/>
    <w:rsid w:val="006E16CF"/>
    <w:rsid w:val="00706859"/>
    <w:rsid w:val="0075444C"/>
    <w:rsid w:val="00771667"/>
    <w:rsid w:val="007830A6"/>
    <w:rsid w:val="00787C05"/>
    <w:rsid w:val="007A09C3"/>
    <w:rsid w:val="007C73EC"/>
    <w:rsid w:val="007F54F5"/>
    <w:rsid w:val="008847F6"/>
    <w:rsid w:val="0089671B"/>
    <w:rsid w:val="008E7D37"/>
    <w:rsid w:val="00923EDD"/>
    <w:rsid w:val="009261FC"/>
    <w:rsid w:val="009272CC"/>
    <w:rsid w:val="00933E14"/>
    <w:rsid w:val="0093564E"/>
    <w:rsid w:val="00935A1D"/>
    <w:rsid w:val="00937F36"/>
    <w:rsid w:val="009A51F6"/>
    <w:rsid w:val="009B3A36"/>
    <w:rsid w:val="009C7FAF"/>
    <w:rsid w:val="00A01A4C"/>
    <w:rsid w:val="00A10EA7"/>
    <w:rsid w:val="00A27E2D"/>
    <w:rsid w:val="00A30E38"/>
    <w:rsid w:val="00A80FB6"/>
    <w:rsid w:val="00A90745"/>
    <w:rsid w:val="00AB3197"/>
    <w:rsid w:val="00AB4844"/>
    <w:rsid w:val="00AC5BC5"/>
    <w:rsid w:val="00AC6098"/>
    <w:rsid w:val="00B32A9D"/>
    <w:rsid w:val="00B83250"/>
    <w:rsid w:val="00B95ADB"/>
    <w:rsid w:val="00B9750B"/>
    <w:rsid w:val="00BA17BB"/>
    <w:rsid w:val="00BB79C4"/>
    <w:rsid w:val="00C51672"/>
    <w:rsid w:val="00C55DCC"/>
    <w:rsid w:val="00C71BC3"/>
    <w:rsid w:val="00CB5123"/>
    <w:rsid w:val="00CD0BBC"/>
    <w:rsid w:val="00CD57B1"/>
    <w:rsid w:val="00CE207E"/>
    <w:rsid w:val="00CE2C13"/>
    <w:rsid w:val="00D15F67"/>
    <w:rsid w:val="00D4466B"/>
    <w:rsid w:val="00D73896"/>
    <w:rsid w:val="00D80089"/>
    <w:rsid w:val="00D8507E"/>
    <w:rsid w:val="00DA416E"/>
    <w:rsid w:val="00DB54C9"/>
    <w:rsid w:val="00DC7B73"/>
    <w:rsid w:val="00DE149C"/>
    <w:rsid w:val="00E132EE"/>
    <w:rsid w:val="00E40989"/>
    <w:rsid w:val="00E77AD7"/>
    <w:rsid w:val="00E81A96"/>
    <w:rsid w:val="00E86D8A"/>
    <w:rsid w:val="00E95955"/>
    <w:rsid w:val="00EA68D3"/>
    <w:rsid w:val="00EC28D4"/>
    <w:rsid w:val="00ED1EFF"/>
    <w:rsid w:val="00ED33DF"/>
    <w:rsid w:val="00ED4211"/>
    <w:rsid w:val="00EE636D"/>
    <w:rsid w:val="00F079C3"/>
    <w:rsid w:val="00F64500"/>
    <w:rsid w:val="00F84E8C"/>
    <w:rsid w:val="00F93827"/>
    <w:rsid w:val="00FB5628"/>
    <w:rsid w:val="00FD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adjustRightInd w:val="0"/>
      <w:spacing w:after="240"/>
      <w:jc w:val="both"/>
    </w:pPr>
    <w:rPr>
      <w:sz w:val="24"/>
      <w:szCs w:val="24"/>
    </w:rPr>
  </w:style>
  <w:style w:type="paragraph" w:styleId="Heading1">
    <w:name w:val="heading 1"/>
    <w:basedOn w:val="Normal"/>
    <w:next w:val="Bod"/>
    <w:link w:val="Heading1Char"/>
    <w:qFormat/>
    <w:pPr>
      <w:numPr>
        <w:numId w:val="1"/>
      </w:numPr>
      <w:suppressAutoHyphens/>
      <w:autoSpaceDE/>
      <w:autoSpaceDN/>
      <w:adjustRightInd/>
      <w:outlineLvl w:val="0"/>
    </w:pPr>
    <w:rPr>
      <w:szCs w:val="20"/>
      <w:u w:val="single"/>
      <w:lang w:val="x-none" w:eastAsia="x-none"/>
    </w:rPr>
  </w:style>
  <w:style w:type="paragraph" w:styleId="Heading2">
    <w:name w:val="heading 2"/>
    <w:basedOn w:val="Normal"/>
    <w:next w:val="Bod"/>
    <w:link w:val="Heading2Char"/>
    <w:qFormat/>
    <w:pPr>
      <w:numPr>
        <w:ilvl w:val="1"/>
        <w:numId w:val="1"/>
      </w:numPr>
      <w:suppressAutoHyphens/>
      <w:autoSpaceDE/>
      <w:autoSpaceDN/>
      <w:adjustRightInd/>
      <w:outlineLvl w:val="1"/>
    </w:pPr>
    <w:rPr>
      <w:szCs w:val="20"/>
      <w:u w:val="single"/>
      <w:lang w:val="x-none" w:eastAsia="x-none"/>
    </w:rPr>
  </w:style>
  <w:style w:type="paragraph" w:styleId="Heading3">
    <w:name w:val="heading 3"/>
    <w:basedOn w:val="Normal"/>
    <w:next w:val="Bod"/>
    <w:link w:val="Heading3Char"/>
    <w:qFormat/>
    <w:pPr>
      <w:numPr>
        <w:ilvl w:val="2"/>
        <w:numId w:val="1"/>
      </w:numPr>
      <w:suppressAutoHyphens/>
      <w:autoSpaceDE/>
      <w:autoSpaceDN/>
      <w:adjustRightInd/>
      <w:outlineLvl w:val="2"/>
    </w:pPr>
    <w:rPr>
      <w:szCs w:val="20"/>
      <w:lang w:val="x-none" w:eastAsia="x-none"/>
    </w:rPr>
  </w:style>
  <w:style w:type="paragraph" w:styleId="Heading4">
    <w:name w:val="heading 4"/>
    <w:basedOn w:val="Normal"/>
    <w:next w:val="Bod"/>
    <w:link w:val="Heading4Char"/>
    <w:qFormat/>
    <w:pPr>
      <w:numPr>
        <w:ilvl w:val="3"/>
        <w:numId w:val="1"/>
      </w:numPr>
      <w:suppressAutoHyphens/>
      <w:autoSpaceDE/>
      <w:autoSpaceDN/>
      <w:adjustRightInd/>
      <w:outlineLvl w:val="3"/>
    </w:pPr>
    <w:rPr>
      <w:szCs w:val="20"/>
      <w:lang w:val="x-none" w:eastAsia="x-none"/>
    </w:rPr>
  </w:style>
  <w:style w:type="paragraph" w:styleId="Heading5">
    <w:name w:val="heading 5"/>
    <w:basedOn w:val="Normal"/>
    <w:next w:val="Normal"/>
    <w:link w:val="Heading5Char"/>
    <w:semiHidden/>
    <w:unhideWhenUsed/>
    <w:qFormat/>
    <w:rsid w:val="005E01E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E01E7"/>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5E01E7"/>
    <w:pPr>
      <w:spacing w:before="240" w:after="60"/>
      <w:outlineLvl w:val="6"/>
    </w:pPr>
    <w:rPr>
      <w:rFonts w:ascii="Calibri" w:hAnsi="Calibri"/>
    </w:rPr>
  </w:style>
  <w:style w:type="paragraph" w:styleId="Heading8">
    <w:name w:val="heading 8"/>
    <w:basedOn w:val="Normal"/>
    <w:next w:val="Normal"/>
    <w:link w:val="Heading8Char"/>
    <w:semiHidden/>
    <w:unhideWhenUsed/>
    <w:qFormat/>
    <w:rsid w:val="005E01E7"/>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5E01E7"/>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pPr>
      <w:suppressAutoHyphens/>
      <w:autoSpaceDE/>
      <w:autoSpaceDN/>
      <w:adjustRightInd/>
      <w:ind w:firstLine="1440"/>
    </w:pPr>
    <w:rPr>
      <w:szCs w:val="20"/>
    </w:rPr>
  </w:style>
  <w:style w:type="character" w:customStyle="1" w:styleId="Heading1Char">
    <w:name w:val="Heading 1 Char"/>
    <w:link w:val="Heading1"/>
    <w:rPr>
      <w:sz w:val="24"/>
      <w:u w:val="single"/>
      <w:lang w:val="x-none" w:eastAsia="x-none"/>
    </w:rPr>
  </w:style>
  <w:style w:type="character" w:customStyle="1" w:styleId="Heading2Char">
    <w:name w:val="Heading 2 Char"/>
    <w:link w:val="Heading2"/>
    <w:rPr>
      <w:sz w:val="24"/>
      <w:u w:val="single"/>
      <w:lang w:val="x-none" w:eastAsia="x-none"/>
    </w:rPr>
  </w:style>
  <w:style w:type="character" w:customStyle="1" w:styleId="Heading3Char">
    <w:name w:val="Heading 3 Char"/>
    <w:link w:val="Heading3"/>
    <w:rPr>
      <w:sz w:val="24"/>
      <w:lang w:val="x-none" w:eastAsia="x-none"/>
    </w:rPr>
  </w:style>
  <w:style w:type="character" w:customStyle="1" w:styleId="Heading4Char">
    <w:name w:val="Heading 4 Char"/>
    <w:link w:val="Heading4"/>
    <w:rPr>
      <w:sz w:val="24"/>
      <w:lang w:val="x-none" w:eastAsia="x-none"/>
    </w:rPr>
  </w:style>
  <w:style w:type="paragraph" w:styleId="BodyText">
    <w:name w:val="Body Text"/>
    <w:aliases w:val="bt,b,lvl1"/>
    <w:basedOn w:val="Normal"/>
    <w:pPr>
      <w:spacing w:after="0"/>
      <w:jc w:val="left"/>
    </w:pPr>
    <w:rPr>
      <w:sz w:val="18"/>
    </w:r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style>
  <w:style w:type="character" w:styleId="FootnoteReference">
    <w:name w:val="footnote reference"/>
    <w:uiPriority w:val="99"/>
    <w:rPr>
      <w:spacing w:val="0"/>
      <w:w w:val="100"/>
      <w:position w:val="6"/>
      <w:sz w:val="16"/>
      <w:szCs w:val="16"/>
    </w:rPr>
  </w:style>
  <w:style w:type="paragraph" w:styleId="FootnoteText">
    <w:name w:val="footnote text"/>
    <w:aliases w:val="fn,Footnote Text Char"/>
    <w:basedOn w:val="Normal"/>
    <w:link w:val="FootnoteTextChar1"/>
    <w:pPr>
      <w:tabs>
        <w:tab w:val="left" w:pos="720"/>
      </w:tabs>
      <w:spacing w:after="0"/>
      <w:ind w:firstLine="720"/>
    </w:pPr>
    <w:rPr>
      <w:sz w:val="20"/>
      <w:szCs w:val="16"/>
      <w:lang w:val="x-none" w:eastAsia="x-none"/>
    </w:rPr>
  </w:style>
  <w:style w:type="character" w:customStyle="1" w:styleId="FootnoteTextChar1">
    <w:name w:val="Footnote Text Char1"/>
    <w:aliases w:val="fn Char,Footnote Text Char Char"/>
    <w:link w:val="FootnoteText"/>
    <w:locked/>
    <w:rPr>
      <w:szCs w:val="16"/>
    </w:rPr>
  </w:style>
  <w:style w:type="character" w:styleId="PageNumber">
    <w:name w:val="page number"/>
    <w:rPr>
      <w:rFonts w:ascii="Times New Roman" w:hAnsi="Times New Roman" w:cs="Times New Roman"/>
      <w:spacing w:val="0"/>
      <w:sz w:val="24"/>
      <w:szCs w:val="24"/>
    </w:rPr>
  </w:style>
  <w:style w:type="paragraph" w:styleId="Title">
    <w:name w:val="Title"/>
    <w:basedOn w:val="Normal"/>
    <w:qFormat/>
    <w:pPr>
      <w:jc w:val="center"/>
      <w:outlineLvl w:val="0"/>
    </w:pPr>
    <w:rPr>
      <w:kern w:val="28"/>
      <w:u w:val="single"/>
    </w:rPr>
  </w:style>
  <w:style w:type="paragraph" w:styleId="TOC1">
    <w:name w:val="toc 1"/>
    <w:basedOn w:val="Normal"/>
    <w:next w:val="Normal"/>
    <w:uiPriority w:val="39"/>
    <w:pPr>
      <w:tabs>
        <w:tab w:val="left" w:pos="720"/>
        <w:tab w:val="right" w:leader="dot" w:pos="9360"/>
      </w:tabs>
      <w:autoSpaceDE/>
      <w:autoSpaceDN/>
      <w:adjustRightInd/>
      <w:spacing w:before="240" w:after="0"/>
      <w:ind w:left="1368" w:hanging="1368"/>
      <w:jc w:val="left"/>
    </w:pPr>
    <w:rPr>
      <w:noProof/>
      <w:color w:val="000000"/>
    </w:rPr>
  </w:style>
  <w:style w:type="paragraph" w:styleId="TOC2">
    <w:name w:val="toc 2"/>
    <w:basedOn w:val="Normal"/>
    <w:next w:val="Normal"/>
    <w:uiPriority w:val="39"/>
    <w:pPr>
      <w:tabs>
        <w:tab w:val="left" w:pos="1440"/>
        <w:tab w:val="right" w:leader="dot" w:pos="9360"/>
      </w:tabs>
      <w:autoSpaceDE/>
      <w:autoSpaceDN/>
      <w:adjustRightInd/>
      <w:spacing w:after="0"/>
      <w:ind w:left="1440" w:hanging="720"/>
      <w:jc w:val="left"/>
    </w:pPr>
    <w:rPr>
      <w:noProof/>
      <w:color w:val="000000"/>
    </w:rPr>
  </w:style>
  <w:style w:type="paragraph" w:customStyle="1" w:styleId="CoverTitle">
    <w:name w:val="Cover Title"/>
    <w:basedOn w:val="Normal"/>
    <w:pPr>
      <w:spacing w:after="360"/>
      <w:jc w:val="center"/>
    </w:pPr>
  </w:style>
  <w:style w:type="paragraph" w:customStyle="1" w:styleId="TOCSchedule">
    <w:name w:val="TOC Schedule"/>
    <w:basedOn w:val="Normal"/>
  </w:style>
  <w:style w:type="paragraph" w:styleId="BalloonText">
    <w:name w:val="Balloon Text"/>
    <w:basedOn w:val="Normal"/>
    <w:rPr>
      <w:rFonts w:ascii="Tahoma" w:hAnsi="Tahoma" w:cs="Tahoma"/>
      <w:sz w:val="16"/>
      <w:szCs w:val="16"/>
    </w:rPr>
  </w:style>
  <w:style w:type="character" w:customStyle="1" w:styleId="DeltaViewInsertion">
    <w:name w:val="DeltaView Insertion"/>
    <w:rPr>
      <w:b/>
      <w:spacing w:val="0"/>
      <w:u w:val="double"/>
    </w:rPr>
  </w:style>
  <w:style w:type="paragraph" w:styleId="TOC4">
    <w:name w:val="toc 4"/>
    <w:basedOn w:val="Normal"/>
    <w:next w:val="Normal"/>
    <w:autoRedefine/>
    <w:pPr>
      <w:ind w:left="720"/>
    </w:pPr>
  </w:style>
  <w:style w:type="character" w:styleId="CommentReference">
    <w:name w:val="annotation reference"/>
    <w:rPr>
      <w:spacing w:val="0"/>
      <w:sz w:val="16"/>
    </w:rPr>
  </w:style>
  <w:style w:type="paragraph" w:styleId="CommentText">
    <w:name w:val="annotation text"/>
    <w:basedOn w:val="Normal"/>
    <w:pPr>
      <w:spacing w:after="0"/>
      <w:jc w:val="left"/>
    </w:pPr>
    <w:rPr>
      <w:sz w:val="20"/>
    </w:rPr>
  </w:style>
  <w:style w:type="paragraph" w:styleId="TOC3">
    <w:name w:val="toc 3"/>
    <w:basedOn w:val="Normal"/>
    <w:next w:val="Normal"/>
    <w:autoRedefine/>
    <w:semiHidden/>
    <w:pPr>
      <w:ind w:left="480"/>
    </w:pPr>
  </w:style>
  <w:style w:type="paragraph" w:styleId="CommentSubject">
    <w:name w:val="annotation subject"/>
    <w:basedOn w:val="CommentText"/>
    <w:next w:val="CommentText"/>
    <w:semiHidden/>
    <w:pPr>
      <w:spacing w:after="240"/>
      <w:jc w:val="both"/>
    </w:pPr>
    <w:rPr>
      <w:b/>
      <w:bCs/>
      <w:szCs w:val="20"/>
    </w:rPr>
  </w:style>
  <w:style w:type="character" w:styleId="Hyperlink">
    <w:name w:val="Hyperlink"/>
    <w:uiPriority w:val="99"/>
    <w:unhideWhenUsed/>
    <w:rPr>
      <w:color w:val="0000FF"/>
      <w:u w:val="single"/>
    </w:rPr>
  </w:style>
  <w:style w:type="paragraph" w:styleId="EndnoteText">
    <w:name w:val="endnote text"/>
    <w:basedOn w:val="Normal"/>
    <w:link w:val="EndnoteTextChar"/>
    <w:rPr>
      <w:sz w:val="20"/>
      <w:szCs w:val="20"/>
    </w:rPr>
  </w:style>
  <w:style w:type="character" w:customStyle="1" w:styleId="EndnoteTextChar">
    <w:name w:val="Endnote Text Char"/>
    <w:basedOn w:val="DefaultParagraphFont"/>
    <w:link w:val="EndnoteText"/>
  </w:style>
  <w:style w:type="character" w:styleId="EndnoteReference">
    <w:name w:val="endnote reference"/>
    <w:rPr>
      <w:vertAlign w:val="superscript"/>
    </w:rPr>
  </w:style>
  <w:style w:type="paragraph" w:customStyle="1" w:styleId="zDocID">
    <w:name w:val="zDocID"/>
    <w:link w:val="zDocIDChar"/>
    <w:pPr>
      <w:framePr w:w="10800" w:wrap="around" w:vAnchor="text" w:hAnchor="page" w:x="721" w:y="1" w:anchorLock="1"/>
      <w:tabs>
        <w:tab w:val="right" w:pos="10800"/>
      </w:tabs>
    </w:pPr>
    <w:rPr>
      <w:noProof/>
      <w:sz w:val="16"/>
      <w:szCs w:val="24"/>
    </w:rPr>
  </w:style>
  <w:style w:type="character" w:customStyle="1" w:styleId="zDocIDChar">
    <w:name w:val="zDocID Char"/>
    <w:link w:val="zDocID"/>
    <w:rPr>
      <w:noProof/>
      <w:sz w:val="16"/>
      <w:szCs w:val="24"/>
      <w:lang w:bidi="ar-SA"/>
    </w:rPr>
  </w:style>
  <w:style w:type="character" w:customStyle="1" w:styleId="zcDocID">
    <w:name w:val="zcDocID"/>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Legend">
    <w:name w:val="Legend"/>
    <w:basedOn w:val="Normal"/>
    <w:pPr>
      <w:suppressAutoHyphens/>
      <w:autoSpaceDE/>
      <w:autoSpaceDN/>
      <w:adjustRightInd/>
      <w:ind w:left="720" w:right="720"/>
    </w:pPr>
    <w:rPr>
      <w:color w:val="000000"/>
      <w:szCs w:val="16"/>
    </w:rPr>
  </w:style>
  <w:style w:type="paragraph" w:customStyle="1" w:styleId="Plain">
    <w:name w:val="Plain"/>
    <w:basedOn w:val="Normal"/>
    <w:pPr>
      <w:suppressAutoHyphens/>
      <w:autoSpaceDE/>
      <w:autoSpaceDN/>
      <w:adjustRightInd/>
    </w:pPr>
    <w:rPr>
      <w:szCs w:val="20"/>
    </w:rPr>
  </w:style>
  <w:style w:type="paragraph" w:customStyle="1" w:styleId="Heading2NoTOC">
    <w:name w:val="Heading 2 No TOC"/>
    <w:basedOn w:val="Heading2"/>
    <w:rPr>
      <w:u w:val="none"/>
    </w:rPr>
  </w:style>
  <w:style w:type="paragraph" w:customStyle="1" w:styleId="Company-1">
    <w:name w:val="Company-1"/>
    <w:basedOn w:val="Normal"/>
    <w:pPr>
      <w:keepLines/>
      <w:tabs>
        <w:tab w:val="left" w:pos="5310"/>
        <w:tab w:val="left" w:pos="9360"/>
      </w:tabs>
      <w:suppressAutoHyphens/>
      <w:autoSpaceDE/>
      <w:autoSpaceDN/>
      <w:adjustRightInd/>
      <w:spacing w:after="480"/>
      <w:ind w:left="4680"/>
      <w:jc w:val="left"/>
    </w:pPr>
    <w:rPr>
      <w:szCs w:val="20"/>
    </w:rPr>
  </w:style>
  <w:style w:type="paragraph" w:customStyle="1" w:styleId="Legal2L1">
    <w:name w:val="Legal2_L1"/>
    <w:basedOn w:val="Normal"/>
    <w:pPr>
      <w:keepNext/>
      <w:widowControl w:val="0"/>
      <w:tabs>
        <w:tab w:val="num" w:pos="1440"/>
      </w:tabs>
      <w:ind w:left="720" w:hanging="720"/>
    </w:pPr>
    <w:rPr>
      <w:rFonts w:eastAsia="Calibri"/>
    </w:rPr>
  </w:style>
  <w:style w:type="paragraph" w:customStyle="1" w:styleId="Legal2L2">
    <w:name w:val="Legal2_L2"/>
    <w:basedOn w:val="Normal"/>
    <w:pPr>
      <w:widowControl w:val="0"/>
      <w:tabs>
        <w:tab w:val="num" w:pos="1440"/>
      </w:tabs>
      <w:ind w:firstLine="720"/>
    </w:pPr>
    <w:rPr>
      <w:rFonts w:eastAsia="Calibri"/>
    </w:rPr>
  </w:style>
  <w:style w:type="paragraph" w:customStyle="1" w:styleId="Legal2L3">
    <w:name w:val="Legal2_L3"/>
    <w:basedOn w:val="Normal"/>
    <w:pPr>
      <w:widowControl w:val="0"/>
      <w:tabs>
        <w:tab w:val="num" w:pos="2160"/>
      </w:tabs>
      <w:ind w:firstLine="1440"/>
    </w:pPr>
    <w:rPr>
      <w:rFonts w:eastAsia="Calibri"/>
    </w:rPr>
  </w:style>
  <w:style w:type="paragraph" w:customStyle="1" w:styleId="Legal2L4">
    <w:name w:val="Legal2_L4"/>
    <w:basedOn w:val="Normal"/>
    <w:pPr>
      <w:widowControl w:val="0"/>
      <w:tabs>
        <w:tab w:val="num" w:pos="2880"/>
      </w:tabs>
      <w:ind w:firstLine="2160"/>
    </w:pPr>
    <w:rPr>
      <w:rFonts w:eastAsia="Calibri"/>
    </w:rPr>
  </w:style>
  <w:style w:type="paragraph" w:customStyle="1" w:styleId="Legal2L5">
    <w:name w:val="Legal2_L5"/>
    <w:basedOn w:val="Normal"/>
    <w:pPr>
      <w:widowControl w:val="0"/>
      <w:tabs>
        <w:tab w:val="num" w:pos="3600"/>
      </w:tabs>
      <w:ind w:left="720" w:firstLine="2880"/>
    </w:pPr>
    <w:rPr>
      <w:rFonts w:eastAsia="Calibri"/>
    </w:rPr>
  </w:style>
  <w:style w:type="paragraph" w:customStyle="1" w:styleId="Legal2L6">
    <w:name w:val="Legal2_L6"/>
    <w:basedOn w:val="Normal"/>
    <w:pPr>
      <w:widowControl w:val="0"/>
      <w:tabs>
        <w:tab w:val="num" w:pos="4320"/>
      </w:tabs>
      <w:ind w:left="720" w:firstLine="3600"/>
    </w:pPr>
    <w:rPr>
      <w:rFonts w:eastAsia="Calibri"/>
    </w:rPr>
  </w:style>
  <w:style w:type="paragraph" w:customStyle="1" w:styleId="Legal2L7">
    <w:name w:val="Legal2_L7"/>
    <w:basedOn w:val="Normal"/>
    <w:pPr>
      <w:widowControl w:val="0"/>
      <w:tabs>
        <w:tab w:val="num" w:pos="5040"/>
      </w:tabs>
      <w:ind w:left="720" w:firstLine="4320"/>
    </w:pPr>
    <w:rPr>
      <w:rFonts w:eastAsia="Calibri"/>
    </w:rPr>
  </w:style>
  <w:style w:type="paragraph" w:customStyle="1" w:styleId="Legal2L8">
    <w:name w:val="Legal2_L8"/>
    <w:basedOn w:val="Normal"/>
    <w:pPr>
      <w:widowControl w:val="0"/>
      <w:tabs>
        <w:tab w:val="num" w:pos="1440"/>
      </w:tabs>
      <w:ind w:left="720" w:firstLine="720"/>
    </w:pPr>
    <w:rPr>
      <w:rFonts w:eastAsia="Calibri"/>
    </w:rPr>
  </w:style>
  <w:style w:type="paragraph" w:customStyle="1" w:styleId="Legal2L9">
    <w:name w:val="Legal2_L9"/>
    <w:basedOn w:val="Normal"/>
    <w:pPr>
      <w:widowControl w:val="0"/>
      <w:tabs>
        <w:tab w:val="num" w:pos="2160"/>
      </w:tabs>
      <w:ind w:left="720" w:firstLine="1440"/>
    </w:pPr>
    <w:rPr>
      <w:rFonts w:eastAsia="Calibri"/>
    </w:rPr>
  </w:style>
  <w:style w:type="paragraph" w:customStyle="1" w:styleId="RPara12S">
    <w:name w:val="R Para 1/2&quot; S"/>
    <w:aliases w:val="hs"/>
    <w:basedOn w:val="Normal"/>
    <w:pPr>
      <w:autoSpaceDE/>
      <w:autoSpaceDN/>
      <w:adjustRightInd/>
      <w:ind w:firstLine="720"/>
    </w:pPr>
    <w:rPr>
      <w:rFonts w:eastAsia="Calibri"/>
    </w:rPr>
  </w:style>
  <w:style w:type="paragraph" w:customStyle="1" w:styleId="HeadingBody1">
    <w:name w:val="HeadingBody 1"/>
    <w:basedOn w:val="Normal"/>
    <w:next w:val="Bod"/>
    <w:link w:val="HeadingBody1Char"/>
    <w:semiHidden/>
    <w:rsid w:val="005E01E7"/>
    <w:pPr>
      <w:tabs>
        <w:tab w:val="left" w:pos="2160"/>
      </w:tabs>
      <w:ind w:firstLine="720"/>
    </w:pPr>
    <w:rPr>
      <w:lang w:val="x-none" w:eastAsia="x-none"/>
    </w:rPr>
  </w:style>
  <w:style w:type="character" w:customStyle="1" w:styleId="HeadingBody1Char">
    <w:name w:val="HeadingBody 1 Char"/>
    <w:link w:val="HeadingBody1"/>
    <w:semiHidden/>
    <w:rsid w:val="005E01E7"/>
    <w:rPr>
      <w:sz w:val="24"/>
      <w:szCs w:val="24"/>
      <w:u w:val="single"/>
      <w:lang w:val="x-none" w:eastAsia="x-none"/>
    </w:rPr>
  </w:style>
  <w:style w:type="paragraph" w:customStyle="1" w:styleId="HeadingBody2">
    <w:name w:val="HeadingBody 2"/>
    <w:basedOn w:val="Normal"/>
    <w:next w:val="Bod"/>
    <w:link w:val="HeadingBody2Char"/>
    <w:semiHidden/>
    <w:rsid w:val="005E01E7"/>
    <w:pPr>
      <w:tabs>
        <w:tab w:val="left" w:pos="2160"/>
      </w:tabs>
      <w:ind w:left="630" w:firstLine="1440"/>
    </w:pPr>
    <w:rPr>
      <w:lang w:val="x-none" w:eastAsia="x-none"/>
    </w:rPr>
  </w:style>
  <w:style w:type="character" w:customStyle="1" w:styleId="HeadingBody2Char">
    <w:name w:val="HeadingBody 2 Char"/>
    <w:link w:val="HeadingBody2"/>
    <w:semiHidden/>
    <w:rsid w:val="005E01E7"/>
    <w:rPr>
      <w:sz w:val="24"/>
      <w:szCs w:val="24"/>
      <w:u w:val="single"/>
      <w:lang w:val="x-none" w:eastAsia="x-none"/>
    </w:rPr>
  </w:style>
  <w:style w:type="paragraph" w:customStyle="1" w:styleId="HeadingBody3">
    <w:name w:val="HeadingBody 3"/>
    <w:basedOn w:val="Normal"/>
    <w:next w:val="Bod"/>
    <w:link w:val="HeadingBody3Char"/>
    <w:semiHidden/>
    <w:rsid w:val="005E01E7"/>
    <w:pPr>
      <w:tabs>
        <w:tab w:val="left" w:pos="2160"/>
      </w:tabs>
      <w:ind w:firstLine="2160"/>
    </w:pPr>
    <w:rPr>
      <w:lang w:val="x-none" w:eastAsia="x-none"/>
    </w:rPr>
  </w:style>
  <w:style w:type="character" w:customStyle="1" w:styleId="HeadingBody3Char">
    <w:name w:val="HeadingBody 3 Char"/>
    <w:link w:val="HeadingBody3"/>
    <w:semiHidden/>
    <w:rsid w:val="005E01E7"/>
    <w:rPr>
      <w:sz w:val="24"/>
      <w:szCs w:val="24"/>
      <w:u w:val="single"/>
      <w:lang w:val="x-none" w:eastAsia="x-none"/>
    </w:rPr>
  </w:style>
  <w:style w:type="paragraph" w:customStyle="1" w:styleId="HeadingBody4">
    <w:name w:val="HeadingBody 4"/>
    <w:basedOn w:val="Normal"/>
    <w:next w:val="Bod"/>
    <w:link w:val="HeadingBody4Char"/>
    <w:semiHidden/>
    <w:rsid w:val="005E01E7"/>
    <w:pPr>
      <w:tabs>
        <w:tab w:val="left" w:pos="2160"/>
      </w:tabs>
      <w:ind w:firstLine="2880"/>
    </w:pPr>
    <w:rPr>
      <w:lang w:val="x-none" w:eastAsia="x-none"/>
    </w:rPr>
  </w:style>
  <w:style w:type="character" w:customStyle="1" w:styleId="HeadingBody4Char">
    <w:name w:val="HeadingBody 4 Char"/>
    <w:link w:val="HeadingBody4"/>
    <w:semiHidden/>
    <w:rsid w:val="005E01E7"/>
    <w:rPr>
      <w:sz w:val="24"/>
      <w:szCs w:val="24"/>
      <w:u w:val="single"/>
      <w:lang w:val="x-none" w:eastAsia="x-none"/>
    </w:rPr>
  </w:style>
  <w:style w:type="paragraph" w:customStyle="1" w:styleId="HeadingBody5">
    <w:name w:val="HeadingBody 5"/>
    <w:basedOn w:val="Normal"/>
    <w:next w:val="Normal"/>
    <w:link w:val="HeadingBody5Char"/>
    <w:semiHidden/>
    <w:rsid w:val="005E01E7"/>
    <w:pPr>
      <w:tabs>
        <w:tab w:val="left" w:pos="2160"/>
      </w:tabs>
      <w:spacing w:after="60"/>
    </w:pPr>
    <w:rPr>
      <w:lang w:val="x-none" w:eastAsia="x-none"/>
    </w:rPr>
  </w:style>
  <w:style w:type="character" w:customStyle="1" w:styleId="HeadingBody5Char">
    <w:name w:val="HeadingBody 5 Char"/>
    <w:link w:val="HeadingBody5"/>
    <w:semiHidden/>
    <w:rsid w:val="005E01E7"/>
    <w:rPr>
      <w:sz w:val="24"/>
      <w:szCs w:val="24"/>
      <w:u w:val="single"/>
      <w:lang w:val="x-none" w:eastAsia="x-none"/>
    </w:rPr>
  </w:style>
  <w:style w:type="character" w:customStyle="1" w:styleId="Heading5Char">
    <w:name w:val="Heading 5 Char"/>
    <w:link w:val="Heading5"/>
    <w:semiHidden/>
    <w:rsid w:val="005E01E7"/>
    <w:rPr>
      <w:rFonts w:ascii="Calibri" w:eastAsia="Times New Roman" w:hAnsi="Calibri" w:cs="Times New Roman"/>
      <w:b/>
      <w:bCs/>
      <w:i/>
      <w:iCs/>
      <w:sz w:val="26"/>
      <w:szCs w:val="26"/>
    </w:rPr>
  </w:style>
  <w:style w:type="paragraph" w:customStyle="1" w:styleId="HeadingBody6">
    <w:name w:val="HeadingBody 6"/>
    <w:basedOn w:val="Normal"/>
    <w:next w:val="Normal"/>
    <w:link w:val="HeadingBody6Char"/>
    <w:semiHidden/>
    <w:rsid w:val="005E01E7"/>
    <w:pPr>
      <w:tabs>
        <w:tab w:val="left" w:pos="2160"/>
      </w:tabs>
      <w:spacing w:after="60"/>
    </w:pPr>
    <w:rPr>
      <w:lang w:val="x-none" w:eastAsia="x-none"/>
    </w:rPr>
  </w:style>
  <w:style w:type="character" w:customStyle="1" w:styleId="HeadingBody6Char">
    <w:name w:val="HeadingBody 6 Char"/>
    <w:link w:val="HeadingBody6"/>
    <w:semiHidden/>
    <w:rsid w:val="005E01E7"/>
    <w:rPr>
      <w:sz w:val="24"/>
      <w:szCs w:val="24"/>
      <w:u w:val="single"/>
      <w:lang w:val="x-none" w:eastAsia="x-none"/>
    </w:rPr>
  </w:style>
  <w:style w:type="character" w:customStyle="1" w:styleId="Heading6Char">
    <w:name w:val="Heading 6 Char"/>
    <w:link w:val="Heading6"/>
    <w:semiHidden/>
    <w:rsid w:val="005E01E7"/>
    <w:rPr>
      <w:rFonts w:ascii="Calibri" w:eastAsia="Times New Roman" w:hAnsi="Calibri" w:cs="Times New Roman"/>
      <w:b/>
      <w:bCs/>
      <w:sz w:val="22"/>
      <w:szCs w:val="22"/>
    </w:rPr>
  </w:style>
  <w:style w:type="paragraph" w:customStyle="1" w:styleId="HeadingBody7">
    <w:name w:val="HeadingBody 7"/>
    <w:basedOn w:val="Normal"/>
    <w:next w:val="Normal"/>
    <w:link w:val="HeadingBody7Char"/>
    <w:semiHidden/>
    <w:rsid w:val="005E01E7"/>
    <w:pPr>
      <w:tabs>
        <w:tab w:val="left" w:pos="2160"/>
      </w:tabs>
      <w:spacing w:after="60"/>
    </w:pPr>
    <w:rPr>
      <w:lang w:val="x-none" w:eastAsia="x-none"/>
    </w:rPr>
  </w:style>
  <w:style w:type="character" w:customStyle="1" w:styleId="HeadingBody7Char">
    <w:name w:val="HeadingBody 7 Char"/>
    <w:link w:val="HeadingBody7"/>
    <w:semiHidden/>
    <w:rsid w:val="005E01E7"/>
    <w:rPr>
      <w:sz w:val="24"/>
      <w:szCs w:val="24"/>
      <w:u w:val="single"/>
      <w:lang w:val="x-none" w:eastAsia="x-none"/>
    </w:rPr>
  </w:style>
  <w:style w:type="character" w:customStyle="1" w:styleId="Heading7Char">
    <w:name w:val="Heading 7 Char"/>
    <w:link w:val="Heading7"/>
    <w:semiHidden/>
    <w:rsid w:val="005E01E7"/>
    <w:rPr>
      <w:rFonts w:ascii="Calibri" w:eastAsia="Times New Roman" w:hAnsi="Calibri" w:cs="Times New Roman"/>
      <w:sz w:val="24"/>
      <w:szCs w:val="24"/>
    </w:rPr>
  </w:style>
  <w:style w:type="paragraph" w:customStyle="1" w:styleId="HeadingBody8">
    <w:name w:val="HeadingBody 8"/>
    <w:basedOn w:val="Normal"/>
    <w:next w:val="Normal"/>
    <w:link w:val="HeadingBody8Char"/>
    <w:semiHidden/>
    <w:rsid w:val="005E01E7"/>
    <w:pPr>
      <w:tabs>
        <w:tab w:val="left" w:pos="2160"/>
      </w:tabs>
      <w:spacing w:after="60"/>
    </w:pPr>
    <w:rPr>
      <w:lang w:val="x-none" w:eastAsia="x-none"/>
    </w:rPr>
  </w:style>
  <w:style w:type="character" w:customStyle="1" w:styleId="HeadingBody8Char">
    <w:name w:val="HeadingBody 8 Char"/>
    <w:link w:val="HeadingBody8"/>
    <w:semiHidden/>
    <w:rsid w:val="005E01E7"/>
    <w:rPr>
      <w:sz w:val="24"/>
      <w:szCs w:val="24"/>
      <w:u w:val="single"/>
      <w:lang w:val="x-none" w:eastAsia="x-none"/>
    </w:rPr>
  </w:style>
  <w:style w:type="character" w:customStyle="1" w:styleId="Heading8Char">
    <w:name w:val="Heading 8 Char"/>
    <w:link w:val="Heading8"/>
    <w:semiHidden/>
    <w:rsid w:val="005E01E7"/>
    <w:rPr>
      <w:rFonts w:ascii="Calibri" w:eastAsia="Times New Roman" w:hAnsi="Calibri" w:cs="Times New Roman"/>
      <w:i/>
      <w:iCs/>
      <w:sz w:val="24"/>
      <w:szCs w:val="24"/>
    </w:rPr>
  </w:style>
  <w:style w:type="paragraph" w:customStyle="1" w:styleId="HeadingBody9">
    <w:name w:val="HeadingBody 9"/>
    <w:basedOn w:val="Normal"/>
    <w:next w:val="Normal"/>
    <w:link w:val="HeadingBody9Char"/>
    <w:semiHidden/>
    <w:rsid w:val="005E01E7"/>
    <w:pPr>
      <w:tabs>
        <w:tab w:val="left" w:pos="2160"/>
      </w:tabs>
      <w:spacing w:after="60"/>
    </w:pPr>
    <w:rPr>
      <w:lang w:val="x-none" w:eastAsia="x-none"/>
    </w:rPr>
  </w:style>
  <w:style w:type="character" w:customStyle="1" w:styleId="HeadingBody9Char">
    <w:name w:val="HeadingBody 9 Char"/>
    <w:link w:val="HeadingBody9"/>
    <w:semiHidden/>
    <w:rsid w:val="005E01E7"/>
    <w:rPr>
      <w:sz w:val="24"/>
      <w:szCs w:val="24"/>
      <w:u w:val="single"/>
      <w:lang w:val="x-none" w:eastAsia="x-none"/>
    </w:rPr>
  </w:style>
  <w:style w:type="character" w:customStyle="1" w:styleId="Heading9Char">
    <w:name w:val="Heading 9 Char"/>
    <w:link w:val="Heading9"/>
    <w:semiHidden/>
    <w:rsid w:val="005E01E7"/>
    <w:rPr>
      <w:rFonts w:ascii="Cambria" w:eastAsia="Times New Roman" w:hAnsi="Cambria"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footnote reference"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adjustRightInd w:val="0"/>
      <w:spacing w:after="240"/>
      <w:jc w:val="both"/>
    </w:pPr>
    <w:rPr>
      <w:sz w:val="24"/>
      <w:szCs w:val="24"/>
    </w:rPr>
  </w:style>
  <w:style w:type="paragraph" w:styleId="Heading1">
    <w:name w:val="heading 1"/>
    <w:basedOn w:val="Normal"/>
    <w:next w:val="Bod"/>
    <w:link w:val="Heading1Char"/>
    <w:qFormat/>
    <w:pPr>
      <w:numPr>
        <w:numId w:val="1"/>
      </w:numPr>
      <w:suppressAutoHyphens/>
      <w:autoSpaceDE/>
      <w:autoSpaceDN/>
      <w:adjustRightInd/>
      <w:outlineLvl w:val="0"/>
    </w:pPr>
    <w:rPr>
      <w:szCs w:val="20"/>
      <w:u w:val="single"/>
      <w:lang w:val="x-none" w:eastAsia="x-none"/>
    </w:rPr>
  </w:style>
  <w:style w:type="paragraph" w:styleId="Heading2">
    <w:name w:val="heading 2"/>
    <w:basedOn w:val="Normal"/>
    <w:next w:val="Bod"/>
    <w:link w:val="Heading2Char"/>
    <w:qFormat/>
    <w:pPr>
      <w:numPr>
        <w:ilvl w:val="1"/>
        <w:numId w:val="1"/>
      </w:numPr>
      <w:suppressAutoHyphens/>
      <w:autoSpaceDE/>
      <w:autoSpaceDN/>
      <w:adjustRightInd/>
      <w:outlineLvl w:val="1"/>
    </w:pPr>
    <w:rPr>
      <w:szCs w:val="20"/>
      <w:u w:val="single"/>
      <w:lang w:val="x-none" w:eastAsia="x-none"/>
    </w:rPr>
  </w:style>
  <w:style w:type="paragraph" w:styleId="Heading3">
    <w:name w:val="heading 3"/>
    <w:basedOn w:val="Normal"/>
    <w:next w:val="Bod"/>
    <w:link w:val="Heading3Char"/>
    <w:qFormat/>
    <w:pPr>
      <w:numPr>
        <w:ilvl w:val="2"/>
        <w:numId w:val="1"/>
      </w:numPr>
      <w:suppressAutoHyphens/>
      <w:autoSpaceDE/>
      <w:autoSpaceDN/>
      <w:adjustRightInd/>
      <w:outlineLvl w:val="2"/>
    </w:pPr>
    <w:rPr>
      <w:szCs w:val="20"/>
      <w:lang w:val="x-none" w:eastAsia="x-none"/>
    </w:rPr>
  </w:style>
  <w:style w:type="paragraph" w:styleId="Heading4">
    <w:name w:val="heading 4"/>
    <w:basedOn w:val="Normal"/>
    <w:next w:val="Bod"/>
    <w:link w:val="Heading4Char"/>
    <w:qFormat/>
    <w:pPr>
      <w:numPr>
        <w:ilvl w:val="3"/>
        <w:numId w:val="1"/>
      </w:numPr>
      <w:suppressAutoHyphens/>
      <w:autoSpaceDE/>
      <w:autoSpaceDN/>
      <w:adjustRightInd/>
      <w:outlineLvl w:val="3"/>
    </w:pPr>
    <w:rPr>
      <w:szCs w:val="20"/>
      <w:lang w:val="x-none" w:eastAsia="x-none"/>
    </w:rPr>
  </w:style>
  <w:style w:type="paragraph" w:styleId="Heading5">
    <w:name w:val="heading 5"/>
    <w:basedOn w:val="Normal"/>
    <w:next w:val="Normal"/>
    <w:link w:val="Heading5Char"/>
    <w:semiHidden/>
    <w:unhideWhenUsed/>
    <w:qFormat/>
    <w:rsid w:val="005E01E7"/>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E01E7"/>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5E01E7"/>
    <w:pPr>
      <w:spacing w:before="240" w:after="60"/>
      <w:outlineLvl w:val="6"/>
    </w:pPr>
    <w:rPr>
      <w:rFonts w:ascii="Calibri" w:hAnsi="Calibri"/>
    </w:rPr>
  </w:style>
  <w:style w:type="paragraph" w:styleId="Heading8">
    <w:name w:val="heading 8"/>
    <w:basedOn w:val="Normal"/>
    <w:next w:val="Normal"/>
    <w:link w:val="Heading8Char"/>
    <w:semiHidden/>
    <w:unhideWhenUsed/>
    <w:qFormat/>
    <w:rsid w:val="005E01E7"/>
    <w:p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5E01E7"/>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
    <w:name w:val="Bod"/>
    <w:basedOn w:val="Normal"/>
    <w:pPr>
      <w:suppressAutoHyphens/>
      <w:autoSpaceDE/>
      <w:autoSpaceDN/>
      <w:adjustRightInd/>
      <w:ind w:firstLine="1440"/>
    </w:pPr>
    <w:rPr>
      <w:szCs w:val="20"/>
    </w:rPr>
  </w:style>
  <w:style w:type="character" w:customStyle="1" w:styleId="Heading1Char">
    <w:name w:val="Heading 1 Char"/>
    <w:link w:val="Heading1"/>
    <w:rPr>
      <w:sz w:val="24"/>
      <w:u w:val="single"/>
      <w:lang w:val="x-none" w:eastAsia="x-none"/>
    </w:rPr>
  </w:style>
  <w:style w:type="character" w:customStyle="1" w:styleId="Heading2Char">
    <w:name w:val="Heading 2 Char"/>
    <w:link w:val="Heading2"/>
    <w:rPr>
      <w:sz w:val="24"/>
      <w:u w:val="single"/>
      <w:lang w:val="x-none" w:eastAsia="x-none"/>
    </w:rPr>
  </w:style>
  <w:style w:type="character" w:customStyle="1" w:styleId="Heading3Char">
    <w:name w:val="Heading 3 Char"/>
    <w:link w:val="Heading3"/>
    <w:rPr>
      <w:sz w:val="24"/>
      <w:lang w:val="x-none" w:eastAsia="x-none"/>
    </w:rPr>
  </w:style>
  <w:style w:type="character" w:customStyle="1" w:styleId="Heading4Char">
    <w:name w:val="Heading 4 Char"/>
    <w:link w:val="Heading4"/>
    <w:rPr>
      <w:sz w:val="24"/>
      <w:lang w:val="x-none" w:eastAsia="x-none"/>
    </w:rPr>
  </w:style>
  <w:style w:type="paragraph" w:styleId="BodyText">
    <w:name w:val="Body Text"/>
    <w:aliases w:val="bt,b,lvl1"/>
    <w:basedOn w:val="Normal"/>
    <w:pPr>
      <w:spacing w:after="0"/>
      <w:jc w:val="left"/>
    </w:pPr>
    <w:rPr>
      <w:sz w:val="18"/>
    </w:rPr>
  </w:style>
  <w:style w:type="paragraph" w:styleId="BlockText">
    <w:name w:val="Block Text"/>
    <w:basedOn w:val="Normal"/>
    <w:pPr>
      <w:spacing w:after="120"/>
      <w:ind w:left="1440" w:right="144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ate">
    <w:name w:val="Date"/>
    <w:basedOn w:val="Normal"/>
    <w:next w:val="Normal"/>
  </w:style>
  <w:style w:type="character" w:styleId="FootnoteReference">
    <w:name w:val="footnote reference"/>
    <w:uiPriority w:val="99"/>
    <w:rPr>
      <w:spacing w:val="0"/>
      <w:w w:val="100"/>
      <w:position w:val="6"/>
      <w:sz w:val="16"/>
      <w:szCs w:val="16"/>
    </w:rPr>
  </w:style>
  <w:style w:type="paragraph" w:styleId="FootnoteText">
    <w:name w:val="footnote text"/>
    <w:aliases w:val="fn,Footnote Text Char"/>
    <w:basedOn w:val="Normal"/>
    <w:link w:val="FootnoteTextChar1"/>
    <w:pPr>
      <w:tabs>
        <w:tab w:val="left" w:pos="720"/>
      </w:tabs>
      <w:spacing w:after="0"/>
      <w:ind w:firstLine="720"/>
    </w:pPr>
    <w:rPr>
      <w:sz w:val="20"/>
      <w:szCs w:val="16"/>
      <w:lang w:val="x-none" w:eastAsia="x-none"/>
    </w:rPr>
  </w:style>
  <w:style w:type="character" w:customStyle="1" w:styleId="FootnoteTextChar1">
    <w:name w:val="Footnote Text Char1"/>
    <w:aliases w:val="fn Char,Footnote Text Char Char"/>
    <w:link w:val="FootnoteText"/>
    <w:locked/>
    <w:rPr>
      <w:szCs w:val="16"/>
    </w:rPr>
  </w:style>
  <w:style w:type="character" w:styleId="PageNumber">
    <w:name w:val="page number"/>
    <w:rPr>
      <w:rFonts w:ascii="Times New Roman" w:hAnsi="Times New Roman" w:cs="Times New Roman"/>
      <w:spacing w:val="0"/>
      <w:sz w:val="24"/>
      <w:szCs w:val="24"/>
    </w:rPr>
  </w:style>
  <w:style w:type="paragraph" w:styleId="Title">
    <w:name w:val="Title"/>
    <w:basedOn w:val="Normal"/>
    <w:qFormat/>
    <w:pPr>
      <w:jc w:val="center"/>
      <w:outlineLvl w:val="0"/>
    </w:pPr>
    <w:rPr>
      <w:kern w:val="28"/>
      <w:u w:val="single"/>
    </w:rPr>
  </w:style>
  <w:style w:type="paragraph" w:styleId="TOC1">
    <w:name w:val="toc 1"/>
    <w:basedOn w:val="Normal"/>
    <w:next w:val="Normal"/>
    <w:uiPriority w:val="39"/>
    <w:pPr>
      <w:tabs>
        <w:tab w:val="left" w:pos="720"/>
        <w:tab w:val="right" w:leader="dot" w:pos="9360"/>
      </w:tabs>
      <w:autoSpaceDE/>
      <w:autoSpaceDN/>
      <w:adjustRightInd/>
      <w:spacing w:before="240" w:after="0"/>
      <w:ind w:left="1368" w:hanging="1368"/>
      <w:jc w:val="left"/>
    </w:pPr>
    <w:rPr>
      <w:noProof/>
      <w:color w:val="000000"/>
    </w:rPr>
  </w:style>
  <w:style w:type="paragraph" w:styleId="TOC2">
    <w:name w:val="toc 2"/>
    <w:basedOn w:val="Normal"/>
    <w:next w:val="Normal"/>
    <w:uiPriority w:val="39"/>
    <w:pPr>
      <w:tabs>
        <w:tab w:val="left" w:pos="1440"/>
        <w:tab w:val="right" w:leader="dot" w:pos="9360"/>
      </w:tabs>
      <w:autoSpaceDE/>
      <w:autoSpaceDN/>
      <w:adjustRightInd/>
      <w:spacing w:after="0"/>
      <w:ind w:left="1440" w:hanging="720"/>
      <w:jc w:val="left"/>
    </w:pPr>
    <w:rPr>
      <w:noProof/>
      <w:color w:val="000000"/>
    </w:rPr>
  </w:style>
  <w:style w:type="paragraph" w:customStyle="1" w:styleId="CoverTitle">
    <w:name w:val="Cover Title"/>
    <w:basedOn w:val="Normal"/>
    <w:pPr>
      <w:spacing w:after="360"/>
      <w:jc w:val="center"/>
    </w:pPr>
  </w:style>
  <w:style w:type="paragraph" w:customStyle="1" w:styleId="TOCSchedule">
    <w:name w:val="TOC Schedule"/>
    <w:basedOn w:val="Normal"/>
  </w:style>
  <w:style w:type="paragraph" w:styleId="BalloonText">
    <w:name w:val="Balloon Text"/>
    <w:basedOn w:val="Normal"/>
    <w:rPr>
      <w:rFonts w:ascii="Tahoma" w:hAnsi="Tahoma" w:cs="Tahoma"/>
      <w:sz w:val="16"/>
      <w:szCs w:val="16"/>
    </w:rPr>
  </w:style>
  <w:style w:type="character" w:customStyle="1" w:styleId="DeltaViewInsertion">
    <w:name w:val="DeltaView Insertion"/>
    <w:rPr>
      <w:b/>
      <w:spacing w:val="0"/>
      <w:u w:val="double"/>
    </w:rPr>
  </w:style>
  <w:style w:type="paragraph" w:styleId="TOC4">
    <w:name w:val="toc 4"/>
    <w:basedOn w:val="Normal"/>
    <w:next w:val="Normal"/>
    <w:autoRedefine/>
    <w:pPr>
      <w:ind w:left="720"/>
    </w:pPr>
  </w:style>
  <w:style w:type="character" w:styleId="CommentReference">
    <w:name w:val="annotation reference"/>
    <w:rPr>
      <w:spacing w:val="0"/>
      <w:sz w:val="16"/>
    </w:rPr>
  </w:style>
  <w:style w:type="paragraph" w:styleId="CommentText">
    <w:name w:val="annotation text"/>
    <w:basedOn w:val="Normal"/>
    <w:pPr>
      <w:spacing w:after="0"/>
      <w:jc w:val="left"/>
    </w:pPr>
    <w:rPr>
      <w:sz w:val="20"/>
    </w:rPr>
  </w:style>
  <w:style w:type="paragraph" w:styleId="TOC3">
    <w:name w:val="toc 3"/>
    <w:basedOn w:val="Normal"/>
    <w:next w:val="Normal"/>
    <w:autoRedefine/>
    <w:semiHidden/>
    <w:pPr>
      <w:ind w:left="480"/>
    </w:pPr>
  </w:style>
  <w:style w:type="paragraph" w:styleId="CommentSubject">
    <w:name w:val="annotation subject"/>
    <w:basedOn w:val="CommentText"/>
    <w:next w:val="CommentText"/>
    <w:semiHidden/>
    <w:pPr>
      <w:spacing w:after="240"/>
      <w:jc w:val="both"/>
    </w:pPr>
    <w:rPr>
      <w:b/>
      <w:bCs/>
      <w:szCs w:val="20"/>
    </w:rPr>
  </w:style>
  <w:style w:type="character" w:styleId="Hyperlink">
    <w:name w:val="Hyperlink"/>
    <w:uiPriority w:val="99"/>
    <w:unhideWhenUsed/>
    <w:rPr>
      <w:color w:val="0000FF"/>
      <w:u w:val="single"/>
    </w:rPr>
  </w:style>
  <w:style w:type="paragraph" w:styleId="EndnoteText">
    <w:name w:val="endnote text"/>
    <w:basedOn w:val="Normal"/>
    <w:link w:val="EndnoteTextChar"/>
    <w:rPr>
      <w:sz w:val="20"/>
      <w:szCs w:val="20"/>
    </w:rPr>
  </w:style>
  <w:style w:type="character" w:customStyle="1" w:styleId="EndnoteTextChar">
    <w:name w:val="Endnote Text Char"/>
    <w:basedOn w:val="DefaultParagraphFont"/>
    <w:link w:val="EndnoteText"/>
  </w:style>
  <w:style w:type="character" w:styleId="EndnoteReference">
    <w:name w:val="endnote reference"/>
    <w:rPr>
      <w:vertAlign w:val="superscript"/>
    </w:rPr>
  </w:style>
  <w:style w:type="paragraph" w:customStyle="1" w:styleId="zDocID">
    <w:name w:val="zDocID"/>
    <w:link w:val="zDocIDChar"/>
    <w:pPr>
      <w:framePr w:w="10800" w:wrap="around" w:vAnchor="text" w:hAnchor="page" w:x="721" w:y="1" w:anchorLock="1"/>
      <w:tabs>
        <w:tab w:val="right" w:pos="10800"/>
      </w:tabs>
    </w:pPr>
    <w:rPr>
      <w:noProof/>
      <w:sz w:val="16"/>
      <w:szCs w:val="24"/>
    </w:rPr>
  </w:style>
  <w:style w:type="character" w:customStyle="1" w:styleId="zDocIDChar">
    <w:name w:val="zDocID Char"/>
    <w:link w:val="zDocID"/>
    <w:rPr>
      <w:noProof/>
      <w:sz w:val="16"/>
      <w:szCs w:val="24"/>
      <w:lang w:bidi="ar-SA"/>
    </w:rPr>
  </w:style>
  <w:style w:type="character" w:customStyle="1" w:styleId="zcDocID">
    <w:name w:val="zcDocID"/>
    <w:rPr>
      <w:rFonts w:ascii="Times New Roman" w:hAnsi="Times New Roman" w:cs="Times New Roman"/>
      <w:b w:val="0"/>
      <w:i w:val="0"/>
      <w:caps w:val="0"/>
      <w:smallCaps w:val="0"/>
      <w:strike w:val="0"/>
      <w:dstrike w:val="0"/>
      <w:noProof/>
      <w:vanish w:val="0"/>
      <w:color w:val="auto"/>
      <w:w w:val="100"/>
      <w:kern w:val="0"/>
      <w:sz w:val="16"/>
      <w:u w:val="none"/>
      <w:effect w:val="none"/>
      <w:bdr w:val="none" w:sz="0" w:space="0" w:color="auto"/>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Legend">
    <w:name w:val="Legend"/>
    <w:basedOn w:val="Normal"/>
    <w:pPr>
      <w:suppressAutoHyphens/>
      <w:autoSpaceDE/>
      <w:autoSpaceDN/>
      <w:adjustRightInd/>
      <w:ind w:left="720" w:right="720"/>
    </w:pPr>
    <w:rPr>
      <w:color w:val="000000"/>
      <w:szCs w:val="16"/>
    </w:rPr>
  </w:style>
  <w:style w:type="paragraph" w:customStyle="1" w:styleId="Plain">
    <w:name w:val="Plain"/>
    <w:basedOn w:val="Normal"/>
    <w:pPr>
      <w:suppressAutoHyphens/>
      <w:autoSpaceDE/>
      <w:autoSpaceDN/>
      <w:adjustRightInd/>
    </w:pPr>
    <w:rPr>
      <w:szCs w:val="20"/>
    </w:rPr>
  </w:style>
  <w:style w:type="paragraph" w:customStyle="1" w:styleId="Heading2NoTOC">
    <w:name w:val="Heading 2 No TOC"/>
    <w:basedOn w:val="Heading2"/>
    <w:rPr>
      <w:u w:val="none"/>
    </w:rPr>
  </w:style>
  <w:style w:type="paragraph" w:customStyle="1" w:styleId="Company-1">
    <w:name w:val="Company-1"/>
    <w:basedOn w:val="Normal"/>
    <w:pPr>
      <w:keepLines/>
      <w:tabs>
        <w:tab w:val="left" w:pos="5310"/>
        <w:tab w:val="left" w:pos="9360"/>
      </w:tabs>
      <w:suppressAutoHyphens/>
      <w:autoSpaceDE/>
      <w:autoSpaceDN/>
      <w:adjustRightInd/>
      <w:spacing w:after="480"/>
      <w:ind w:left="4680"/>
      <w:jc w:val="left"/>
    </w:pPr>
    <w:rPr>
      <w:szCs w:val="20"/>
    </w:rPr>
  </w:style>
  <w:style w:type="paragraph" w:customStyle="1" w:styleId="Legal2L1">
    <w:name w:val="Legal2_L1"/>
    <w:basedOn w:val="Normal"/>
    <w:pPr>
      <w:keepNext/>
      <w:widowControl w:val="0"/>
      <w:tabs>
        <w:tab w:val="num" w:pos="1440"/>
      </w:tabs>
      <w:ind w:left="720" w:hanging="720"/>
    </w:pPr>
    <w:rPr>
      <w:rFonts w:eastAsia="Calibri"/>
    </w:rPr>
  </w:style>
  <w:style w:type="paragraph" w:customStyle="1" w:styleId="Legal2L2">
    <w:name w:val="Legal2_L2"/>
    <w:basedOn w:val="Normal"/>
    <w:pPr>
      <w:widowControl w:val="0"/>
      <w:tabs>
        <w:tab w:val="num" w:pos="1440"/>
      </w:tabs>
      <w:ind w:firstLine="720"/>
    </w:pPr>
    <w:rPr>
      <w:rFonts w:eastAsia="Calibri"/>
    </w:rPr>
  </w:style>
  <w:style w:type="paragraph" w:customStyle="1" w:styleId="Legal2L3">
    <w:name w:val="Legal2_L3"/>
    <w:basedOn w:val="Normal"/>
    <w:pPr>
      <w:widowControl w:val="0"/>
      <w:tabs>
        <w:tab w:val="num" w:pos="2160"/>
      </w:tabs>
      <w:ind w:firstLine="1440"/>
    </w:pPr>
    <w:rPr>
      <w:rFonts w:eastAsia="Calibri"/>
    </w:rPr>
  </w:style>
  <w:style w:type="paragraph" w:customStyle="1" w:styleId="Legal2L4">
    <w:name w:val="Legal2_L4"/>
    <w:basedOn w:val="Normal"/>
    <w:pPr>
      <w:widowControl w:val="0"/>
      <w:tabs>
        <w:tab w:val="num" w:pos="2880"/>
      </w:tabs>
      <w:ind w:firstLine="2160"/>
    </w:pPr>
    <w:rPr>
      <w:rFonts w:eastAsia="Calibri"/>
    </w:rPr>
  </w:style>
  <w:style w:type="paragraph" w:customStyle="1" w:styleId="Legal2L5">
    <w:name w:val="Legal2_L5"/>
    <w:basedOn w:val="Normal"/>
    <w:pPr>
      <w:widowControl w:val="0"/>
      <w:tabs>
        <w:tab w:val="num" w:pos="3600"/>
      </w:tabs>
      <w:ind w:left="720" w:firstLine="2880"/>
    </w:pPr>
    <w:rPr>
      <w:rFonts w:eastAsia="Calibri"/>
    </w:rPr>
  </w:style>
  <w:style w:type="paragraph" w:customStyle="1" w:styleId="Legal2L6">
    <w:name w:val="Legal2_L6"/>
    <w:basedOn w:val="Normal"/>
    <w:pPr>
      <w:widowControl w:val="0"/>
      <w:tabs>
        <w:tab w:val="num" w:pos="4320"/>
      </w:tabs>
      <w:ind w:left="720" w:firstLine="3600"/>
    </w:pPr>
    <w:rPr>
      <w:rFonts w:eastAsia="Calibri"/>
    </w:rPr>
  </w:style>
  <w:style w:type="paragraph" w:customStyle="1" w:styleId="Legal2L7">
    <w:name w:val="Legal2_L7"/>
    <w:basedOn w:val="Normal"/>
    <w:pPr>
      <w:widowControl w:val="0"/>
      <w:tabs>
        <w:tab w:val="num" w:pos="5040"/>
      </w:tabs>
      <w:ind w:left="720" w:firstLine="4320"/>
    </w:pPr>
    <w:rPr>
      <w:rFonts w:eastAsia="Calibri"/>
    </w:rPr>
  </w:style>
  <w:style w:type="paragraph" w:customStyle="1" w:styleId="Legal2L8">
    <w:name w:val="Legal2_L8"/>
    <w:basedOn w:val="Normal"/>
    <w:pPr>
      <w:widowControl w:val="0"/>
      <w:tabs>
        <w:tab w:val="num" w:pos="1440"/>
      </w:tabs>
      <w:ind w:left="720" w:firstLine="720"/>
    </w:pPr>
    <w:rPr>
      <w:rFonts w:eastAsia="Calibri"/>
    </w:rPr>
  </w:style>
  <w:style w:type="paragraph" w:customStyle="1" w:styleId="Legal2L9">
    <w:name w:val="Legal2_L9"/>
    <w:basedOn w:val="Normal"/>
    <w:pPr>
      <w:widowControl w:val="0"/>
      <w:tabs>
        <w:tab w:val="num" w:pos="2160"/>
      </w:tabs>
      <w:ind w:left="720" w:firstLine="1440"/>
    </w:pPr>
    <w:rPr>
      <w:rFonts w:eastAsia="Calibri"/>
    </w:rPr>
  </w:style>
  <w:style w:type="paragraph" w:customStyle="1" w:styleId="RPara12S">
    <w:name w:val="R Para 1/2&quot; S"/>
    <w:aliases w:val="hs"/>
    <w:basedOn w:val="Normal"/>
    <w:pPr>
      <w:autoSpaceDE/>
      <w:autoSpaceDN/>
      <w:adjustRightInd/>
      <w:ind w:firstLine="720"/>
    </w:pPr>
    <w:rPr>
      <w:rFonts w:eastAsia="Calibri"/>
    </w:rPr>
  </w:style>
  <w:style w:type="paragraph" w:customStyle="1" w:styleId="HeadingBody1">
    <w:name w:val="HeadingBody 1"/>
    <w:basedOn w:val="Normal"/>
    <w:next w:val="Bod"/>
    <w:link w:val="HeadingBody1Char"/>
    <w:semiHidden/>
    <w:rsid w:val="005E01E7"/>
    <w:pPr>
      <w:tabs>
        <w:tab w:val="left" w:pos="2160"/>
      </w:tabs>
      <w:ind w:firstLine="720"/>
    </w:pPr>
    <w:rPr>
      <w:lang w:val="x-none" w:eastAsia="x-none"/>
    </w:rPr>
  </w:style>
  <w:style w:type="character" w:customStyle="1" w:styleId="HeadingBody1Char">
    <w:name w:val="HeadingBody 1 Char"/>
    <w:link w:val="HeadingBody1"/>
    <w:semiHidden/>
    <w:rsid w:val="005E01E7"/>
    <w:rPr>
      <w:sz w:val="24"/>
      <w:szCs w:val="24"/>
      <w:u w:val="single"/>
      <w:lang w:val="x-none" w:eastAsia="x-none"/>
    </w:rPr>
  </w:style>
  <w:style w:type="paragraph" w:customStyle="1" w:styleId="HeadingBody2">
    <w:name w:val="HeadingBody 2"/>
    <w:basedOn w:val="Normal"/>
    <w:next w:val="Bod"/>
    <w:link w:val="HeadingBody2Char"/>
    <w:semiHidden/>
    <w:rsid w:val="005E01E7"/>
    <w:pPr>
      <w:tabs>
        <w:tab w:val="left" w:pos="2160"/>
      </w:tabs>
      <w:ind w:left="630" w:firstLine="1440"/>
    </w:pPr>
    <w:rPr>
      <w:lang w:val="x-none" w:eastAsia="x-none"/>
    </w:rPr>
  </w:style>
  <w:style w:type="character" w:customStyle="1" w:styleId="HeadingBody2Char">
    <w:name w:val="HeadingBody 2 Char"/>
    <w:link w:val="HeadingBody2"/>
    <w:semiHidden/>
    <w:rsid w:val="005E01E7"/>
    <w:rPr>
      <w:sz w:val="24"/>
      <w:szCs w:val="24"/>
      <w:u w:val="single"/>
      <w:lang w:val="x-none" w:eastAsia="x-none"/>
    </w:rPr>
  </w:style>
  <w:style w:type="paragraph" w:customStyle="1" w:styleId="HeadingBody3">
    <w:name w:val="HeadingBody 3"/>
    <w:basedOn w:val="Normal"/>
    <w:next w:val="Bod"/>
    <w:link w:val="HeadingBody3Char"/>
    <w:semiHidden/>
    <w:rsid w:val="005E01E7"/>
    <w:pPr>
      <w:tabs>
        <w:tab w:val="left" w:pos="2160"/>
      </w:tabs>
      <w:ind w:firstLine="2160"/>
    </w:pPr>
    <w:rPr>
      <w:lang w:val="x-none" w:eastAsia="x-none"/>
    </w:rPr>
  </w:style>
  <w:style w:type="character" w:customStyle="1" w:styleId="HeadingBody3Char">
    <w:name w:val="HeadingBody 3 Char"/>
    <w:link w:val="HeadingBody3"/>
    <w:semiHidden/>
    <w:rsid w:val="005E01E7"/>
    <w:rPr>
      <w:sz w:val="24"/>
      <w:szCs w:val="24"/>
      <w:u w:val="single"/>
      <w:lang w:val="x-none" w:eastAsia="x-none"/>
    </w:rPr>
  </w:style>
  <w:style w:type="paragraph" w:customStyle="1" w:styleId="HeadingBody4">
    <w:name w:val="HeadingBody 4"/>
    <w:basedOn w:val="Normal"/>
    <w:next w:val="Bod"/>
    <w:link w:val="HeadingBody4Char"/>
    <w:semiHidden/>
    <w:rsid w:val="005E01E7"/>
    <w:pPr>
      <w:tabs>
        <w:tab w:val="left" w:pos="2160"/>
      </w:tabs>
      <w:ind w:firstLine="2880"/>
    </w:pPr>
    <w:rPr>
      <w:lang w:val="x-none" w:eastAsia="x-none"/>
    </w:rPr>
  </w:style>
  <w:style w:type="character" w:customStyle="1" w:styleId="HeadingBody4Char">
    <w:name w:val="HeadingBody 4 Char"/>
    <w:link w:val="HeadingBody4"/>
    <w:semiHidden/>
    <w:rsid w:val="005E01E7"/>
    <w:rPr>
      <w:sz w:val="24"/>
      <w:szCs w:val="24"/>
      <w:u w:val="single"/>
      <w:lang w:val="x-none" w:eastAsia="x-none"/>
    </w:rPr>
  </w:style>
  <w:style w:type="paragraph" w:customStyle="1" w:styleId="HeadingBody5">
    <w:name w:val="HeadingBody 5"/>
    <w:basedOn w:val="Normal"/>
    <w:next w:val="Normal"/>
    <w:link w:val="HeadingBody5Char"/>
    <w:semiHidden/>
    <w:rsid w:val="005E01E7"/>
    <w:pPr>
      <w:tabs>
        <w:tab w:val="left" w:pos="2160"/>
      </w:tabs>
      <w:spacing w:after="60"/>
    </w:pPr>
    <w:rPr>
      <w:lang w:val="x-none" w:eastAsia="x-none"/>
    </w:rPr>
  </w:style>
  <w:style w:type="character" w:customStyle="1" w:styleId="HeadingBody5Char">
    <w:name w:val="HeadingBody 5 Char"/>
    <w:link w:val="HeadingBody5"/>
    <w:semiHidden/>
    <w:rsid w:val="005E01E7"/>
    <w:rPr>
      <w:sz w:val="24"/>
      <w:szCs w:val="24"/>
      <w:u w:val="single"/>
      <w:lang w:val="x-none" w:eastAsia="x-none"/>
    </w:rPr>
  </w:style>
  <w:style w:type="character" w:customStyle="1" w:styleId="Heading5Char">
    <w:name w:val="Heading 5 Char"/>
    <w:link w:val="Heading5"/>
    <w:semiHidden/>
    <w:rsid w:val="005E01E7"/>
    <w:rPr>
      <w:rFonts w:ascii="Calibri" w:eastAsia="Times New Roman" w:hAnsi="Calibri" w:cs="Times New Roman"/>
      <w:b/>
      <w:bCs/>
      <w:i/>
      <w:iCs/>
      <w:sz w:val="26"/>
      <w:szCs w:val="26"/>
    </w:rPr>
  </w:style>
  <w:style w:type="paragraph" w:customStyle="1" w:styleId="HeadingBody6">
    <w:name w:val="HeadingBody 6"/>
    <w:basedOn w:val="Normal"/>
    <w:next w:val="Normal"/>
    <w:link w:val="HeadingBody6Char"/>
    <w:semiHidden/>
    <w:rsid w:val="005E01E7"/>
    <w:pPr>
      <w:tabs>
        <w:tab w:val="left" w:pos="2160"/>
      </w:tabs>
      <w:spacing w:after="60"/>
    </w:pPr>
    <w:rPr>
      <w:lang w:val="x-none" w:eastAsia="x-none"/>
    </w:rPr>
  </w:style>
  <w:style w:type="character" w:customStyle="1" w:styleId="HeadingBody6Char">
    <w:name w:val="HeadingBody 6 Char"/>
    <w:link w:val="HeadingBody6"/>
    <w:semiHidden/>
    <w:rsid w:val="005E01E7"/>
    <w:rPr>
      <w:sz w:val="24"/>
      <w:szCs w:val="24"/>
      <w:u w:val="single"/>
      <w:lang w:val="x-none" w:eastAsia="x-none"/>
    </w:rPr>
  </w:style>
  <w:style w:type="character" w:customStyle="1" w:styleId="Heading6Char">
    <w:name w:val="Heading 6 Char"/>
    <w:link w:val="Heading6"/>
    <w:semiHidden/>
    <w:rsid w:val="005E01E7"/>
    <w:rPr>
      <w:rFonts w:ascii="Calibri" w:eastAsia="Times New Roman" w:hAnsi="Calibri" w:cs="Times New Roman"/>
      <w:b/>
      <w:bCs/>
      <w:sz w:val="22"/>
      <w:szCs w:val="22"/>
    </w:rPr>
  </w:style>
  <w:style w:type="paragraph" w:customStyle="1" w:styleId="HeadingBody7">
    <w:name w:val="HeadingBody 7"/>
    <w:basedOn w:val="Normal"/>
    <w:next w:val="Normal"/>
    <w:link w:val="HeadingBody7Char"/>
    <w:semiHidden/>
    <w:rsid w:val="005E01E7"/>
    <w:pPr>
      <w:tabs>
        <w:tab w:val="left" w:pos="2160"/>
      </w:tabs>
      <w:spacing w:after="60"/>
    </w:pPr>
    <w:rPr>
      <w:lang w:val="x-none" w:eastAsia="x-none"/>
    </w:rPr>
  </w:style>
  <w:style w:type="character" w:customStyle="1" w:styleId="HeadingBody7Char">
    <w:name w:val="HeadingBody 7 Char"/>
    <w:link w:val="HeadingBody7"/>
    <w:semiHidden/>
    <w:rsid w:val="005E01E7"/>
    <w:rPr>
      <w:sz w:val="24"/>
      <w:szCs w:val="24"/>
      <w:u w:val="single"/>
      <w:lang w:val="x-none" w:eastAsia="x-none"/>
    </w:rPr>
  </w:style>
  <w:style w:type="character" w:customStyle="1" w:styleId="Heading7Char">
    <w:name w:val="Heading 7 Char"/>
    <w:link w:val="Heading7"/>
    <w:semiHidden/>
    <w:rsid w:val="005E01E7"/>
    <w:rPr>
      <w:rFonts w:ascii="Calibri" w:eastAsia="Times New Roman" w:hAnsi="Calibri" w:cs="Times New Roman"/>
      <w:sz w:val="24"/>
      <w:szCs w:val="24"/>
    </w:rPr>
  </w:style>
  <w:style w:type="paragraph" w:customStyle="1" w:styleId="HeadingBody8">
    <w:name w:val="HeadingBody 8"/>
    <w:basedOn w:val="Normal"/>
    <w:next w:val="Normal"/>
    <w:link w:val="HeadingBody8Char"/>
    <w:semiHidden/>
    <w:rsid w:val="005E01E7"/>
    <w:pPr>
      <w:tabs>
        <w:tab w:val="left" w:pos="2160"/>
      </w:tabs>
      <w:spacing w:after="60"/>
    </w:pPr>
    <w:rPr>
      <w:lang w:val="x-none" w:eastAsia="x-none"/>
    </w:rPr>
  </w:style>
  <w:style w:type="character" w:customStyle="1" w:styleId="HeadingBody8Char">
    <w:name w:val="HeadingBody 8 Char"/>
    <w:link w:val="HeadingBody8"/>
    <w:semiHidden/>
    <w:rsid w:val="005E01E7"/>
    <w:rPr>
      <w:sz w:val="24"/>
      <w:szCs w:val="24"/>
      <w:u w:val="single"/>
      <w:lang w:val="x-none" w:eastAsia="x-none"/>
    </w:rPr>
  </w:style>
  <w:style w:type="character" w:customStyle="1" w:styleId="Heading8Char">
    <w:name w:val="Heading 8 Char"/>
    <w:link w:val="Heading8"/>
    <w:semiHidden/>
    <w:rsid w:val="005E01E7"/>
    <w:rPr>
      <w:rFonts w:ascii="Calibri" w:eastAsia="Times New Roman" w:hAnsi="Calibri" w:cs="Times New Roman"/>
      <w:i/>
      <w:iCs/>
      <w:sz w:val="24"/>
      <w:szCs w:val="24"/>
    </w:rPr>
  </w:style>
  <w:style w:type="paragraph" w:customStyle="1" w:styleId="HeadingBody9">
    <w:name w:val="HeadingBody 9"/>
    <w:basedOn w:val="Normal"/>
    <w:next w:val="Normal"/>
    <w:link w:val="HeadingBody9Char"/>
    <w:semiHidden/>
    <w:rsid w:val="005E01E7"/>
    <w:pPr>
      <w:tabs>
        <w:tab w:val="left" w:pos="2160"/>
      </w:tabs>
      <w:spacing w:after="60"/>
    </w:pPr>
    <w:rPr>
      <w:lang w:val="x-none" w:eastAsia="x-none"/>
    </w:rPr>
  </w:style>
  <w:style w:type="character" w:customStyle="1" w:styleId="HeadingBody9Char">
    <w:name w:val="HeadingBody 9 Char"/>
    <w:link w:val="HeadingBody9"/>
    <w:semiHidden/>
    <w:rsid w:val="005E01E7"/>
    <w:rPr>
      <w:sz w:val="24"/>
      <w:szCs w:val="24"/>
      <w:u w:val="single"/>
      <w:lang w:val="x-none" w:eastAsia="x-none"/>
    </w:rPr>
  </w:style>
  <w:style w:type="character" w:customStyle="1" w:styleId="Heading9Char">
    <w:name w:val="Heading 9 Char"/>
    <w:link w:val="Heading9"/>
    <w:semiHidden/>
    <w:rsid w:val="005E01E7"/>
    <w:rPr>
      <w:rFonts w:ascii="Cambria" w:eastAsia="Times New Roman" w:hAnsi="Cambr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18119">
      <w:bodyDiv w:val="1"/>
      <w:marLeft w:val="0"/>
      <w:marRight w:val="0"/>
      <w:marTop w:val="0"/>
      <w:marBottom w:val="0"/>
      <w:divBdr>
        <w:top w:val="none" w:sz="0" w:space="0" w:color="auto"/>
        <w:left w:val="none" w:sz="0" w:space="0" w:color="auto"/>
        <w:bottom w:val="none" w:sz="0" w:space="0" w:color="auto"/>
        <w:right w:val="none" w:sz="0" w:space="0" w:color="auto"/>
      </w:divBdr>
    </w:div>
    <w:div w:id="162742075">
      <w:bodyDiv w:val="1"/>
      <w:marLeft w:val="0"/>
      <w:marRight w:val="0"/>
      <w:marTop w:val="0"/>
      <w:marBottom w:val="0"/>
      <w:divBdr>
        <w:top w:val="none" w:sz="0" w:space="0" w:color="auto"/>
        <w:left w:val="none" w:sz="0" w:space="0" w:color="auto"/>
        <w:bottom w:val="none" w:sz="0" w:space="0" w:color="auto"/>
        <w:right w:val="none" w:sz="0" w:space="0" w:color="auto"/>
      </w:divBdr>
    </w:div>
    <w:div w:id="723791553">
      <w:bodyDiv w:val="1"/>
      <w:marLeft w:val="0"/>
      <w:marRight w:val="0"/>
      <w:marTop w:val="0"/>
      <w:marBottom w:val="0"/>
      <w:divBdr>
        <w:top w:val="none" w:sz="0" w:space="0" w:color="auto"/>
        <w:left w:val="none" w:sz="0" w:space="0" w:color="auto"/>
        <w:bottom w:val="none" w:sz="0" w:space="0" w:color="auto"/>
        <w:right w:val="none" w:sz="0" w:space="0" w:color="auto"/>
      </w:divBdr>
    </w:div>
    <w:div w:id="14683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6B1FF-3F0A-4B7C-90D9-41C25AF8E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18388</Words>
  <Characters>104815</Characters>
  <Application>Microsoft Office Word</Application>
  <DocSecurity>4</DocSecurity>
  <Lines>873</Lines>
  <Paragraphs>245</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122958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cp:keywords> </cp:keywords>
  <cp:lastModifiedBy/>
  <cp:revision>1</cp:revision>
  <dcterms:created xsi:type="dcterms:W3CDTF">2018-02-04T22:57:00Z</dcterms:created>
  <dcterms:modified xsi:type="dcterms:W3CDTF">2018-02-04T22:57:00Z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ACTIVE/83839185.12</vt:lpwstr>
  </property>
</Properties>
</file>