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360" w:line="276" w:lineRule="auto"/>
        <w:jc w:val="right"/>
      </w:pPr>
      <w:r>
        <w:rPr>
          <w:b/>
          <w:bCs/>
          <w:i/>
          <w:iCs/>
          <w:color w:val="595959"/>
          <w:sz w:val="22"/>
          <w:szCs w:val="22"/>
        </w:rPr>
        <w:t xml:space="preserve">Tổng hợp và biên soạn: Lê Thành Nam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420" w:type="dxa"/>
              <w:left w:w="300" w:type="dxa"/>
              <w:bottom w:w="420" w:type="dxa"/>
              <w:right w:w="300" w:type="dxa"/>
            </w:tcMar>
            <w:vAlign w:val="center"/>
          </w:tcPr>
          <w:p>
            <w:pPr>
              <w:spacing w:after="200" w:line="276" w:lineRule="auto"/>
              <w:jc w:val="center"/>
            </w:pPr>
            <w:r>
              <w:rPr>
                <w:rFonts w:ascii="Arial" w:eastAsia="Arial" w:hAnsi="Arial" w:cs="Arial"/>
                <w:b/>
                <w:bCs/>
                <w:color w:val="FFD966"/>
                <w:sz w:val="22"/>
                <w:szCs w:val="22"/>
              </w:rPr>
              <w:t xml:space="preserve">TÀI LIỆU BỒI DƯỠNG HỌC SINH GIỎI TIN HỌC</w:t>
            </w:r>
          </w:p>
          <w:p>
            <w:pPr>
              <w:spacing w:after="80" w:line="276" w:lineRule="auto"/>
              <w:jc w:val="center"/>
            </w:pPr>
            <w:r>
              <w:rPr>
                <w:rFonts w:ascii="Arial" w:eastAsia="Arial" w:hAnsi="Arial" w:cs="Arial"/>
                <w:b/>
                <w:bCs/>
                <w:color w:val="FFFFFF"/>
                <w:sz w:val="64"/>
                <w:szCs w:val="64"/>
              </w:rPr>
              <w:t xml:space="preserve">SỐ HỌC</w:t>
            </w:r>
          </w:p>
          <w:p>
            <w:pPr>
              <w:spacing w:after="0" w:line="276" w:lineRule="auto"/>
              <w:jc w:val="center"/>
            </w:pPr>
            <w:r>
              <w:rPr>
                <w:i/>
                <w:iCs/>
                <w:color w:val="FFFFFF"/>
                <w:sz w:val="30"/>
                <w:szCs w:val="30"/>
              </w:rPr>
              <w:t xml:space="preserve">Từ cơ bản đến nâng cao</w:t>
            </w:r>
          </w:p>
        </w:tc>
      </w:tr>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C0504D"/>
            <w:tcMar>
              <w:top w:w="160" w:type="dxa"/>
              <w:left w:w="300" w:type="dxa"/>
              <w:bottom w:w="160" w:type="dxa"/>
              <w:right w:w="300" w:type="dxa"/>
            </w:tcMar>
            <w:vAlign w:val="center"/>
          </w:tcPr>
          <w:p>
            <w:pPr>
              <w:spacing w:after="0" w:line="276" w:lineRule="auto"/>
              <w:jc w:val="center"/>
            </w:pPr>
            <w:r>
              <w:rPr>
                <w:rFonts w:ascii="Arial" w:eastAsia="Arial" w:hAnsi="Arial" w:cs="Arial"/>
                <w:b/>
                <w:bCs/>
                <w:color w:val="FFFFFF"/>
                <w:sz w:val="28"/>
                <w:szCs w:val="28"/>
              </w:rPr>
              <w:t xml:space="preserve">TẬP 3  ·  HƯỚNG DẪN GIẢI</w:t>
            </w:r>
          </w:p>
        </w:tc>
      </w:tr>
    </w:tbl>
    <w:p>
      <w:pPr>
        <w:spacing w:after="240" w:line="276" w:lineRule="auto"/>
        <w:jc w:val="both"/>
      </w:pPr>
    </w:p>
    <w:p>
      <w:pPr>
        <w:keepNext/>
        <w:spacing w:before="60" w:after="40"/>
        <w:jc w:val="center"/>
      </w:pPr>
      <w:r>
        <w:rPr>
          <w:noProof/>
        </w:rPr>
        <w:drawing>
          <wp:inline distT="0" distB="0" distL="0" distR="0">
            <wp:extent cx="5472000" cy="1542301"/>
            <wp:docPr id="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Img1"/>
                    <a:stretch>
                      <a:fillRect/>
                    </a:stretch>
                  </pic:blipFill>
                  <pic:spPr>
                    <a:xfrm>
                      <a:off x="0" y="0"/>
                      <a:ext cx="5472000" cy="1542301"/>
                    </a:xfrm>
                    <a:prstGeom prst="rect">
                      <a:avLst/>
                    </a:prstGeom>
                  </pic:spPr>
                </pic:pic>
              </a:graphicData>
            </a:graphic>
          </wp:inline>
        </w:drawing>
      </w:r>
    </w:p>
    <w:p>
      <w:pPr>
        <w:spacing w:after="70" w:line="276" w:lineRule="auto"/>
        <w:jc w:val="center"/>
      </w:pPr>
      <w:r>
        <w:rPr>
          <w:rFonts w:ascii="Arial" w:eastAsia="Arial" w:hAnsi="Arial" w:cs="Arial"/>
          <w:b/>
          <w:bCs/>
          <w:color w:val="1F3864"/>
          <w:sz w:val="22"/>
          <w:szCs w:val="22"/>
        </w:rPr>
        <w:t xml:space="preserve">Chương 1. CHIA HẾT VÀ ƯỚC SỐ</w:t>
      </w:r>
    </w:p>
    <w:p>
      <w:pPr>
        <w:spacing w:after="70" w:line="276" w:lineRule="auto"/>
        <w:jc w:val="center"/>
      </w:pPr>
      <w:r>
        <w:rPr>
          <w:rFonts w:ascii="Arial" w:eastAsia="Arial" w:hAnsi="Arial" w:cs="Arial"/>
          <w:b/>
          <w:bCs/>
          <w:color w:val="1F3864"/>
          <w:sz w:val="22"/>
          <w:szCs w:val="22"/>
        </w:rPr>
        <w:t xml:space="preserve">Chương 2. SỐ NGUYÊN TỐ</w:t>
      </w:r>
    </w:p>
    <w:p>
      <w:pPr>
        <w:spacing w:after="70" w:line="276" w:lineRule="auto"/>
        <w:jc w:val="center"/>
      </w:pPr>
      <w:r>
        <w:rPr>
          <w:rFonts w:ascii="Arial" w:eastAsia="Arial" w:hAnsi="Arial" w:cs="Arial"/>
          <w:b/>
          <w:bCs/>
          <w:color w:val="1F3864"/>
          <w:sz w:val="22"/>
          <w:szCs w:val="22"/>
        </w:rPr>
        <w:t xml:space="preserve">Chương 3. SỐ HỌC ĐỒNG DƯ</w:t>
      </w:r>
    </w:p>
    <w:p>
      <w:pPr>
        <w:spacing w:after="70" w:line="276" w:lineRule="auto"/>
        <w:jc w:val="center"/>
      </w:pPr>
      <w:r>
        <w:rPr>
          <w:rFonts w:ascii="Arial" w:eastAsia="Arial" w:hAnsi="Arial" w:cs="Arial"/>
          <w:b/>
          <w:bCs/>
          <w:color w:val="1F3864"/>
          <w:sz w:val="22"/>
          <w:szCs w:val="22"/>
        </w:rPr>
        <w:t xml:space="preserve">Chương 4. TỔ HỢP VÀ ĐẾM</w:t>
      </w:r>
    </w:p>
    <w:p>
      <w:pPr>
        <w:spacing w:after="70" w:line="276" w:lineRule="auto"/>
        <w:jc w:val="center"/>
      </w:pPr>
      <w:r>
        <w:rPr>
          <w:rFonts w:ascii="Arial" w:eastAsia="Arial" w:hAnsi="Arial" w:cs="Arial"/>
          <w:b/>
          <w:bCs/>
          <w:color w:val="1F3864"/>
          <w:sz w:val="22"/>
          <w:szCs w:val="22"/>
        </w:rPr>
        <w:t xml:space="preserve">Chương 5. KĨ THUẬT SỐ HỌC TRONG LẬP TRÌNH</w:t>
      </w:r>
    </w:p>
    <w:p>
      <w:pPr>
        <w:spacing w:before="260" w:after="0" w:line="276" w:lineRule="auto"/>
        <w:jc w:val="center"/>
      </w:pPr>
      <w:r>
        <w:rPr>
          <w:i/>
          <w:iCs/>
          <w:color w:val="595959"/>
          <w:sz w:val="20"/>
          <w:szCs w:val="20"/>
        </w:rPr>
        <w:t xml:space="preserve">60 lời giải · từ cách ngây thơ đến cách tối ưu · chương trình đã chấm thật trên bộ test</w:t>
      </w:r>
    </w:p>
    <w:p>
      <w:pPr>
        <w:sectPr>
          <w:headerReference w:type="default" r:id="rIdHdr1"/>
          <w:footerReference w:type="default" r:id="rIdFtr1"/>
          <w:pgSz w:w="10772" w:h="15024"/>
          <w:pgMar w:top="1134" w:right="1077" w:bottom="1134" w:left="1077" w:header="560" w:footer="520" w:gutter="0"/>
          <w:cols w:space="720"/>
          <w:titlePg/>
          <w:docGrid w:linePitch="360"/>
        </w:sectPr>
      </w:pPr>
    </w:p>
    <w:p>
      <w:pPr>
        <w:pStyle w:val="Heading1"/>
        <w:spacing w:before="200" w:after="200"/>
        <w:jc w:val="center"/>
      </w:pPr>
      <w:bookmarkStart w:id="1" w:name="_Toc000001"/>
      <w:r>
        <w:rPr>
          <w:sz w:val="34"/>
          <w:szCs w:val="34"/>
        </w:rPr>
        <w:t xml:space="preserve">LỜI NÓI ĐẦU</w:t>
      </w:r>
      <w:bookmarkEnd w:id="1"/>
    </w:p>
    <w:p>
      <w:pPr>
        <w:spacing w:after="110" w:line="276" w:lineRule="auto"/>
        <w:jc w:val="both"/>
      </w:pPr>
      <w:r>
        <w:t xml:space="preserve">Tập 3 trình bày lời giải cho cả </w:t>
      </w:r>
      <w:r>
        <w:rPr>
          <w:b/>
          <w:bCs/>
        </w:rPr>
        <w:t xml:space="preserve">60 bài tập</w:t>
      </w:r>
      <w:r>
        <w:t xml:space="preserve"> của Tập 2. Mỗi lời giải không chỉ đưa ra một chương trình đạt 100 điểm, mà đi lại đúng con đường một học sinh giỏi suy nghĩ trong phòng thi: bắt đầu từ cách ngây thơ, </w:t>
      </w:r>
      <w:r>
        <w:rPr>
          <w:b/>
          <w:bCs/>
        </w:rPr>
        <w:t xml:space="preserve">đếm số phép tính</w:t>
      </w:r>
      <w:r>
        <w:t xml:space="preserve"> để thấy bế tắc, rồi phá bế tắc bằng một quan sát số học hay một công cụ phù hợp của Tập 1.</w:t>
      </w:r>
    </w:p>
    <w:p>
      <w:pPr>
        <w:spacing w:after="110" w:line="276" w:lineRule="auto"/>
        <w:jc w:val="both"/>
      </w:pPr>
      <w:r>
        <w:t xml:space="preserve">Số học trong lập trình có một đặc điểm riêng: ý tưởng thường gói gọn trong một công thức, nhưng khoảng cách giữa "đúng ý tưởng" và "đúng 100 điểm" lại nằm ở những chi tiết rất nhỏ: một phép nhân tràn số, một số dư âm, một trường hợp n = 1, một mô-đun không nguyên tố. Vì vậy, ngoài lời giải ngây thơ và lời giải tối ưu, nhiều bài còn có một lời giải </w:t>
      </w:r>
      <w:r>
        <w:rPr>
          <w:b/>
          <w:bCs/>
        </w:rPr>
        <w:t xml:space="preserve">"trông như đúng"</w:t>
      </w:r>
      <w:r>
        <w:t xml:space="preserve">: chương trình mà rất nhiều bạn sẽ nộp, qua được ví dụ nhưng mất điểm vì một cái bẫy. Em sẽ thấy rõ cái bẫy ấy làm mất bao nhiêu điểm.</w:t>
      </w:r>
    </w:p>
    <w:p>
      <w:pPr>
        <w:spacing w:after="110" w:line="276" w:lineRule="auto"/>
        <w:jc w:val="both"/>
      </w:pPr>
      <w:r>
        <w:t xml:space="preserve">Mọi chương trình trong sách đều đã được kiểm tra hai lần: đối chiếu với lời giải vét cạn (hoặc phép tính số lớn chính xác của Python) trên hàng trăm bộ dữ liệu nhỏ ngẫu nhiên, và chấm trên bộ test theo đúng các subtask của Tập 2, với giới hạn thời gian và bộ nhớ của từng bài. Các con số trong </w:t>
      </w:r>
      <w:r>
        <w:rPr>
          <w:b/>
          <w:bCs/>
        </w:rPr>
        <w:t xml:space="preserve">bảng điểm</w:t>
      </w:r>
      <w:r>
        <w:t xml:space="preserve"> cuối mỗi bài là điểm thực tế mà từng chương trình nhận được, không phải ước lượng.</w:t>
      </w:r>
    </w:p>
    <w:p>
      <w:pPr>
        <w:spacing w:after="100" w:line="276" w:lineRule="auto"/>
        <w:jc w:val="right"/>
      </w:pPr>
      <w:r>
        <w:rPr>
          <w:i/>
          <w:iCs/>
        </w:rPr>
        <w:t xml:space="preserve">Lê Thành Nam</w:t>
      </w:r>
    </w:p>
    <w:p>
      <w:r>
        <w:br w:type="page"/>
      </w:r>
    </w:p>
    <w:p>
      <w:pPr>
        <w:pStyle w:val="Heading1"/>
        <w:spacing w:before="200" w:after="200"/>
        <w:jc w:val="center"/>
      </w:pPr>
      <w:bookmarkStart w:id="2" w:name="_Toc000002"/>
      <w:r>
        <w:rPr>
          <w:sz w:val="34"/>
          <w:szCs w:val="34"/>
        </w:rPr>
        <w:t xml:space="preserve">CẤU TRÚC MỘT LỜI GIẢI</w:t>
      </w:r>
      <w:bookmarkEnd w:id="2"/>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23"/>
        <w:gridCol w:w="6895"/>
      </w:tblGrid>
      <w:tr>
        <w:tblPrEx>
          <w:tblCellMar>
            <w:top w:w="0" w:type="dxa"/>
            <w:bottom w:w="0" w:type="dxa"/>
          </w:tblCellMar>
        </w:tblPrEx>
        <w:trPr>
          <w:cantSplit/>
          <w:tblHeader/>
          <w:jc w:val="center"/>
        </w:trPr>
        <w:tc>
          <w:tcPr>
            <w:tcW w:w="172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Mục</w:t>
            </w:r>
          </w:p>
        </w:tc>
        <w:tc>
          <w:tcPr>
            <w:tcW w:w="689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Nội dung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1. Hiểu bài toán</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Diễn đạt lại đề bằng ngôn ngữ số học, thường kèm một hình vẽ; nhận ra công cụ quen thuộc ẩn sau câu chuyện.</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2. Cách ngây thơ</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Sơ đồ khối, chương trình và độ phức tạp của cách làm đầu tiên ai cũng nghĩ ra.</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3. Bế tắc</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Cách hiện tại ăn được subtask nào, vì sao không đi xa hơn; đôi khi kèm một lời giải trung gian hoặc một lời giải sai "trông như đúng".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4. Phá bế tắc</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Quan sát then chốt, công thức, hình vẽ chạy tay trên ví dụ, lập luận vì sao đúng.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5. Cách tối ưu</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Sơ đồ khối, chương trình hoàn chỉnh và độ phức tạp.</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6. Bẫy thường gặp</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Những lỗi làm mất điểm hay gặp nhất: tràn số, số dư âm, trường hợp biên...</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7. Bảng điểm</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Điểm thực tế của từng cách làm trên bộ test. Dòng tô xanh là lời giải mẫu.</w:t>
            </w:r>
          </w:p>
        </w:tc>
      </w:tr>
    </w:tbl>
    <w:p>
      <w:pPr>
        <w:spacing w:after="100" w:line="200" w:lineRule="auto"/>
        <w:jc w:val="both"/>
      </w:pPr>
    </w:p>
    <w:p>
      <w:pPr>
        <w:spacing w:after="60" w:line="276" w:lineRule="auto"/>
        <w:jc w:val="both"/>
      </w:pPr>
      <w:r>
        <w:t xml:space="preserve">Các khung màu trong sách:</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85"/>
        <w:gridCol w:w="6033"/>
      </w:tblGrid>
      <w:tr>
        <w:tblPrEx>
          <w:tblCellMar>
            <w:top w:w="0" w:type="dxa"/>
            <w:bottom w:w="0" w:type="dxa"/>
          </w:tblCellMar>
        </w:tblPrEx>
        <w:trPr>
          <w:cantSplit/>
          <w:tblHeader/>
          <w:jc w:val="center"/>
        </w:trPr>
        <w:tc>
          <w:tcPr>
            <w:tcW w:w="258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Khung</w:t>
            </w:r>
          </w:p>
        </w:tc>
        <w:tc>
          <w:tcPr>
            <w:tcW w:w="603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color w:val="C00000"/>
                <w:sz w:val="21"/>
                <w:szCs w:val="21"/>
              </w:rPr>
              <w:t xml:space="preserve">ĐIỂM BẾ TẮC</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Chỉ ra chính xác chỗ cách làm hiện tại "kẹt": phép tính nào lặp lại, đại lượng nào quá lớn.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color w:val="1F3864"/>
                <w:sz w:val="21"/>
                <w:szCs w:val="21"/>
              </w:rPr>
              <w:t xml:space="preserve">VÌ SAO ĐÚNG? / CHỨNG MINH</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Lập luận ngắn gọn cho một công thức hay một nhận xét then chốt.</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color w:val="1F3864"/>
                <w:sz w:val="21"/>
                <w:szCs w:val="21"/>
              </w:rPr>
              <w:t xml:space="preserve">MỞ RỘNG</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Một cách làm khác, một bài toán tổng quát hơn, hoặc một mẹo cài đặt đáng nhớ.</w:t>
            </w:r>
          </w:p>
        </w:tc>
      </w:tr>
    </w:tbl>
    <w:p>
      <w:pPr>
        <w:spacing w:after="100" w:line="20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LỜI KHUYÊN</w:t>
            </w:r>
          </w:p>
          <w:p>
            <w:pPr>
              <w:spacing w:after="70" w:line="276" w:lineRule="auto"/>
              <w:jc w:val="both"/>
            </w:pPr>
            <w:r>
              <w:t xml:space="preserve">Đừng đọc lời giải như đọc truyện. Sau mục 3, hãy gấp sách và tự tìm cách phá bế tắc trong ít nhất mười lăm phút. Sau mục 5, hãy tự viết lại chương trình mà không nhìn sách, rồi tự sinh test để đối chiếu với cách ngây thơ của chính em (Tập 2, Phụ lục B).</w:t>
            </w:r>
          </w:p>
          <w:p>
            <w:pPr>
              <w:spacing w:after="40" w:line="276" w:lineRule="auto"/>
              <w:jc w:val="both"/>
            </w:pPr>
            <w:r>
              <w:t xml:space="preserve">Mỗi chương trình đọc từ tệp .INP nếu tệp tồn tại, ngược lại đọc từ bàn phím; vì vậy em có thể chạy thử trực tiếp hoặc đối chiếu bằng ống dẫn (&lt;, &gt;).</w:t>
            </w:r>
          </w:p>
        </w:tc>
      </w:tr>
    </w:tbl>
    <w:p>
      <w:pPr>
        <w:spacing w:after="100" w:line="200" w:lineRule="auto"/>
        <w:jc w:val="both"/>
      </w:pPr>
    </w:p>
    <w:p>
      <w:r>
        <w:br w:type="page"/>
      </w:r>
    </w:p>
    <w:p>
      <w:pPr>
        <w:pStyle w:val="Heading1"/>
        <w:spacing w:before="200" w:after="200"/>
        <w:jc w:val="center"/>
      </w:pPr>
      <w:r>
        <w:rPr>
          <w:sz w:val="34"/>
          <w:szCs w:val="34"/>
        </w:rPr>
        <w:t xml:space="preserve">MỤC LỤC</w:t>
      </w:r>
    </w:p>
    <w:p>
      <w:pPr>
        <w:tabs>
          <w:tab w:val="right" w:leader="dot" w:pos="8618"/>
        </w:tabs>
        <w:spacing w:before="160" w:after="60"/>
      </w:pPr>
      <w:hyperlink w:anchor="_Toc000001" w:history="1">
        <w:r>
          <w:rPr>
            <w:rFonts w:ascii="Arial" w:eastAsia="Arial" w:hAnsi="Arial" w:cs="Arial"/>
            <w:b/>
            <w:bCs/>
            <w:color w:val="1F3864"/>
            <w:sz w:val="21"/>
            <w:szCs w:val="21"/>
          </w:rPr>
          <w:t xml:space="preserve">LỜI NÓI ĐẦU</w:t>
        </w:r>
        <w:r>
          <w:rPr>
            <w:sz w:val="22"/>
            <w:szCs w:val="22"/>
          </w:rPr>
          <w:tab/>
        </w:r>
        <w:r>
          <w:rPr>
            <w:b/>
            <w:bCs/>
            <w:sz w:val="22"/>
            <w:szCs w:val="22"/>
          </w:rPr>
          <w:fldChar w:fldCharType="begin"/>
        </w:r>
        <w:r>
          <w:rPr>
            <w:b/>
            <w:bCs/>
            <w:sz w:val="22"/>
            <w:szCs w:val="22"/>
          </w:rPr>
          <w:instrText xml:space="preserve"> PAGEREF _Toc000001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2" w:history="1">
        <w:r>
          <w:rPr>
            <w:rFonts w:ascii="Arial" w:eastAsia="Arial" w:hAnsi="Arial" w:cs="Arial"/>
            <w:b/>
            <w:bCs/>
            <w:color w:val="1F3864"/>
            <w:sz w:val="21"/>
            <w:szCs w:val="21"/>
          </w:rPr>
          <w:t xml:space="preserve">CẤU TRÚC MỘT LỜI GIẢI</w:t>
        </w:r>
        <w:r>
          <w:rPr>
            <w:sz w:val="22"/>
            <w:szCs w:val="22"/>
          </w:rPr>
          <w:tab/>
        </w:r>
        <w:r>
          <w:rPr>
            <w:b/>
            <w:bCs/>
            <w:sz w:val="22"/>
            <w:szCs w:val="22"/>
          </w:rPr>
          <w:fldChar w:fldCharType="begin"/>
        </w:r>
        <w:r>
          <w:rPr>
            <w:b/>
            <w:bCs/>
            <w:sz w:val="22"/>
            <w:szCs w:val="22"/>
          </w:rPr>
          <w:instrText xml:space="preserve"> PAGEREF _Toc000002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3" w:history="1">
        <w:r>
          <w:rPr>
            <w:rFonts w:ascii="Arial" w:eastAsia="Arial" w:hAnsi="Arial" w:cs="Arial"/>
            <w:b/>
            <w:bCs/>
            <w:color w:val="1F3864"/>
            <w:sz w:val="21"/>
            <w:szCs w:val="21"/>
          </w:rPr>
          <w:t xml:space="preserve">CHƯƠNG 4. TỔ HỢP VÀ ĐẾM</w:t>
        </w:r>
        <w:r>
          <w:rPr>
            <w:sz w:val="22"/>
            <w:szCs w:val="22"/>
          </w:rPr>
          <w:tab/>
        </w:r>
        <w:r>
          <w:rPr>
            <w:b/>
            <w:bCs/>
            <w:sz w:val="22"/>
            <w:szCs w:val="22"/>
          </w:rPr>
          <w:fldChar w:fldCharType="begin"/>
        </w:r>
        <w:r>
          <w:rPr>
            <w:b/>
            <w:bCs/>
            <w:sz w:val="22"/>
            <w:szCs w:val="22"/>
          </w:rPr>
          <w:instrText xml:space="preserve"> PAGEREF _Toc000003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after="20"/>
        <w:ind w:left="280"/>
      </w:pPr>
      <w:hyperlink w:anchor="_Toc000004" w:history="1">
        <w:r>
          <w:rPr>
            <w:sz w:val="21"/>
            <w:szCs w:val="21"/>
          </w:rPr>
          <w:t xml:space="preserve">Bài 13.3. TỔ HỢP KHỔNG LỒ</w:t>
        </w:r>
        <w:r>
          <w:rPr>
            <w:sz w:val="22"/>
            <w:szCs w:val="22"/>
          </w:rPr>
          <w:tab/>
        </w:r>
        <w:r>
          <w:rPr>
            <w:sz w:val="22"/>
            <w:szCs w:val="22"/>
          </w:rPr>
          <w:fldChar w:fldCharType="begin"/>
        </w:r>
        <w:r>
          <w:rPr>
            <w:sz w:val="22"/>
            <w:szCs w:val="22"/>
          </w:rPr>
          <w:instrText xml:space="preserve"> PAGEREF _Toc000004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before="160" w:after="60"/>
      </w:pPr>
      <w:hyperlink w:anchor="_Toc000005" w:history="1">
        <w:r>
          <w:rPr>
            <w:rFonts w:ascii="Arial" w:eastAsia="Arial" w:hAnsi="Arial" w:cs="Arial"/>
            <w:b/>
            <w:bCs/>
            <w:color w:val="1F3864"/>
            <w:sz w:val="21"/>
            <w:szCs w:val="21"/>
          </w:rPr>
          <w:t xml:space="preserve">PHỤ LỤC A. BẢNG TỔNG HỢP ĐIỂM</w:t>
        </w:r>
        <w:r>
          <w:rPr>
            <w:sz w:val="22"/>
            <w:szCs w:val="22"/>
          </w:rPr>
          <w:tab/>
        </w:r>
        <w:r>
          <w:rPr>
            <w:b/>
            <w:bCs/>
            <w:sz w:val="22"/>
            <w:szCs w:val="22"/>
          </w:rPr>
          <w:fldChar w:fldCharType="begin"/>
        </w:r>
        <w:r>
          <w:rPr>
            <w:b/>
            <w:bCs/>
            <w:sz w:val="22"/>
            <w:szCs w:val="22"/>
          </w:rPr>
          <w:instrText xml:space="preserve"> PAGEREF _Toc000005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6" w:history="1">
        <w:r>
          <w:rPr>
            <w:rFonts w:ascii="Arial" w:eastAsia="Arial" w:hAnsi="Arial" w:cs="Arial"/>
            <w:b/>
            <w:bCs/>
            <w:color w:val="1F3864"/>
            <w:sz w:val="21"/>
            <w:szCs w:val="21"/>
          </w:rPr>
          <w:t xml:space="preserve">PHỤ LỤC B. THƯ VIỆN HÀM SỐ HỌC</w:t>
        </w:r>
        <w:r>
          <w:rPr>
            <w:sz w:val="22"/>
            <w:szCs w:val="22"/>
          </w:rPr>
          <w:tab/>
        </w:r>
        <w:r>
          <w:rPr>
            <w:b/>
            <w:bCs/>
            <w:sz w:val="22"/>
            <w:szCs w:val="22"/>
          </w:rPr>
          <w:fldChar w:fldCharType="begin"/>
        </w:r>
        <w:r>
          <w:rPr>
            <w:b/>
            <w:bCs/>
            <w:sz w:val="22"/>
            <w:szCs w:val="22"/>
          </w:rPr>
          <w:instrText xml:space="preserve"> PAGEREF _Toc000006 \h </w:instrText>
        </w:r>
        <w:r>
          <w:rPr>
            <w:b/>
            <w:bCs/>
            <w:sz w:val="22"/>
            <w:szCs w:val="22"/>
          </w:rPr>
          <w:fldChar w:fldCharType="separate"/>
        </w:r>
        <w:r>
          <w:rPr>
            <w:b/>
            <w:bCs/>
            <w:sz w:val="22"/>
            <w:szCs w:val="22"/>
          </w:rPr>
          <w:t xml:space="preserve"/>
        </w:r>
        <w:r>
          <w:rPr>
            <w:b/>
            <w:bCs/>
            <w:sz w:val="22"/>
            <w:szCs w:val="22"/>
          </w:rPr>
          <w:fldChar w:fldCharType="end"/>
        </w:r>
      </w:hyperlink>
    </w:p>
    <w:p>
      <w:pPr>
        <w:sectPr>
          <w:headerReference w:type="default" r:id="rIdHdr2"/>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3" w:name="_Toc000003"/>
      <w:r>
        <w:rPr>
          <w:color w:val="C0504D"/>
        </w:rPr>
        <w:t xml:space="preserve">CHƯƠNG 4. </w:t>
      </w:r>
      <w:r>
        <w:t xml:space="preserve">TỔ HỢP VÀ ĐẾM</w:t>
      </w:r>
      <w:bookmarkEnd w:id="3"/>
    </w:p>
    <w:p>
      <w:pPr>
        <w:spacing w:before="60" w:after="200" w:line="276" w:lineRule="auto"/>
        <w:jc w:val="both"/>
      </w:pPr>
      <w:r>
        <w:rPr>
          <w:i/>
          <w:iCs/>
          <w:color w:val="404040"/>
        </w:rPr>
        <w:t xml:space="preserve">Mười hai lời giải của chương này biến câu hỏi "có bao nhiêu" thành một công thức tổ hợp, một phép bù trừ, một phép nhân ma trận hay một tổng chia khối. Cách ngây thơ luôn là liệt kê (hoặc quy hoạch động) rồi đếm; cách tối ưu là đếm mà không liệt kê.</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15"/>
        <w:gridCol w:w="2022"/>
        <w:gridCol w:w="1407"/>
        <w:gridCol w:w="4574"/>
      </w:tblGrid>
      <w:tr>
        <w:tblPrEx>
          <w:tblCellMar>
            <w:top w:w="0" w:type="dxa"/>
            <w:bottom w:w="0" w:type="dxa"/>
          </w:tblCellMar>
        </w:tblPrEx>
        <w:trPr>
          <w:cantSplit/>
          <w:tblHeader/>
          <w:jc w:val="center"/>
        </w:trPr>
        <w:tc>
          <w:tcPr>
            <w:tcW w:w="6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02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14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c>
          <w:tcPr>
            <w:tcW w:w="45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Trọng tâm của lời giải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13.1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CHIA KẸO</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Đưa bài đếm về một số C(a, b); chuẩn bị bảng giai thừa đủ lớn.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13.2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ĐƯỜNG ĐI TRÊN LƯỚI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Tách đường đi qua một điểm thành hai đoạn; bù trừ khi có hai điểm cấm.</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13.3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 HỢP KHỔNG LỒ</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Tính C(n, k) theo mô-đun không nguyên tố: tách theo từng ước nguyên tố rồi ghép lại.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14.1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BỘI SỐ</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Đổi điều kiện "hoặc", "nhưng không" thành công thức bù trừ; chống tràn số.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14.2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NGUYÊN TỐ CÙNG NHAU</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Phân tích nhiều số tới 10¹² đủ nhanh nhờ danh sách số nguyên tố sàng sẵn.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14.3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TẶNG QUÀ</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Phối hợp quy tắc nhân, truy hồi D(n) và tổ hợp với n vượt mô-đun.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15.1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LÁT GẠCH</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Lập hệ thức truy hồi bằng cách nhìn vào phần cuối của hình.</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15.2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TRIBONACCI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Ngắt dãy truy hồi tại các vị trí đặc biệt: lũy thừa ma trận theo từng đoạn.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15.3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ĐƯỜNG ĐI ĐỘ DÀI K</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Tính sẵn các lũy thừa A¹, A², A⁴, ...; nhân vectơ với ma trận thay cho ma trận với ma trận.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16.1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TỔNG ƯỚC</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Cộng theo khối với trọng số là cấp số cộng; chống tràn bằng </w:t>
            </w:r>
            <w:r>
              <w:rPr>
                <w:i/>
                <w:iCs/>
                <w:sz w:val="19"/>
                <w:szCs w:val="19"/>
              </w:rPr>
              <w:t xml:space="preserve">int128.</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16.2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TỔNG DƯ</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Chia khối trên đoạn [1, min(n, k)]; xử lí riêng phần i &gt; 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16.3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HAI THƯƠNG</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Khai triển thành các tổng Σ 1, Σ i, Σ i² trên mỗi khối chung của hai thương.</w:t>
            </w:r>
          </w:p>
        </w:tc>
      </w:tr>
    </w:tbl>
    <w:p>
      <w:pPr>
        <w:spacing w:after="100" w:line="200" w:lineRule="auto"/>
        <w:jc w:val="both"/>
      </w:pPr>
    </w:p>
    <w:p>
      <w:r>
        <w:br w:type="page"/>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 w:name="_Toc000004"/>
            <w:r>
              <w:rPr>
                <w:color w:val="FFD966"/>
                <w:sz w:val="30"/>
                <w:szCs w:val="30"/>
              </w:rPr>
              <w:t xml:space="preserve">BÀI 13.3  </w:t>
            </w:r>
            <w:r>
              <w:rPr>
                <w:color w:val="FFFFFF"/>
              </w:rPr>
              <w:t xml:space="preserve">TỔ HỢP KHỔNG LỒ</w:t>
            </w:r>
            <w:bookmarkEnd w:id="4"/>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TOHOPLON.INP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TOHOPLON.OUT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13 (Tổ hợp và hệ số nhị thức) · Tập 2, bài tập 13.3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Tính C(n, k) mod m với n tới 10</w:t>
      </w:r>
      <w:r>
        <w:rPr>
          <w:vertAlign w:val="superscript"/>
        </w:rPr>
        <w:t xml:space="preserve">18</w:t>
      </w:r>
      <w:r>
        <w:t xml:space="preserve"> và m là tích các số nguyên tố </w:t>
      </w:r>
      <w:r>
        <w:rPr>
          <w:b/>
          <w:bCs/>
        </w:rPr>
        <w:t xml:space="preserve">khác nhau</w:t>
      </w:r>
      <w:r>
        <w:t xml:space="preserve">, mỗi số ≤ 10</w:t>
      </w:r>
      <w:r>
        <w:rPr>
          <w:vertAlign w:val="superscript"/>
        </w:rPr>
        <w:t xml:space="preserve">5</w:t>
      </w:r>
      <w:r>
        <w:t xml:space="preserve">. Công thức fact[n] · ifact[k] · ifact[n − k] không dùng được: không lập được bảng tới 10</w:t>
      </w:r>
      <w:r>
        <w:rPr>
          <w:vertAlign w:val="superscript"/>
        </w:rPr>
        <w:t xml:space="preserve">18</w:t>
      </w:r>
      <w:r>
        <w:t xml:space="preserve">, và theo mô-đun hợp số thì k! thường không có nghịch đảo. Hai công cụ ghép lại thành lời giải:</w:t>
      </w:r>
    </w:p>
    <w:p>
      <w:pPr>
        <w:spacing w:after="70" w:line="276" w:lineRule="auto"/>
        <w:ind w:left="420" w:hanging="300"/>
        <w:jc w:val="both"/>
      </w:pPr>
      <w:r>
        <w:rPr>
          <w:b/>
          <w:bCs/>
          <w:color w:val="1F3864"/>
        </w:rPr>
        <w:t xml:space="preserve">1. </w:t>
      </w:r>
      <w:r>
        <w:rPr>
          <w:b/>
          <w:bCs/>
        </w:rPr>
        <w:t xml:space="preserve">Định lí Lucas</w:t>
      </w:r>
      <w:r>
        <w:t xml:space="preserve"> (Tập 1, Bài 13): với p nguyên tố, C(n, k) ≡ Π C(n</w:t>
      </w:r>
      <w:r>
        <w:rPr>
          <w:vertAlign w:val="subscript"/>
        </w:rPr>
        <w:t xml:space="preserve">i</w:t>
      </w:r>
      <w:r>
        <w:t xml:space="preserve">, k</w:t>
      </w:r>
      <w:r>
        <w:rPr>
          <w:vertAlign w:val="subscript"/>
        </w:rPr>
        <w:t xml:space="preserve">i</w:t>
      </w:r>
      <w:r>
        <w:t xml:space="preserve">) (mod p), n</w:t>
      </w:r>
      <w:r>
        <w:rPr>
          <w:vertAlign w:val="subscript"/>
        </w:rPr>
        <w:t xml:space="preserve">i</w:t>
      </w:r>
      <w:r>
        <w:t xml:space="preserve">, k</w:t>
      </w:r>
      <w:r>
        <w:rPr>
          <w:vertAlign w:val="subscript"/>
        </w:rPr>
        <w:t xml:space="preserve">i</w:t>
      </w:r>
      <w:r>
        <w:t xml:space="preserve"> là các chữ số của n, k trong cơ số p.</w:t>
      </w:r>
    </w:p>
    <w:p>
      <w:pPr>
        <w:spacing w:after="70" w:line="276" w:lineRule="auto"/>
        <w:ind w:left="420" w:hanging="300"/>
        <w:jc w:val="both"/>
      </w:pPr>
      <w:r>
        <w:rPr>
          <w:b/>
          <w:bCs/>
          <w:color w:val="1F3864"/>
        </w:rPr>
        <w:t xml:space="preserve">2. </w:t>
      </w:r>
      <w:r>
        <w:rPr>
          <w:b/>
          <w:bCs/>
        </w:rPr>
        <w:t xml:space="preserve">Định lí số dư Trung Hoa</w:t>
      </w:r>
      <w:r>
        <w:t xml:space="preserve"> (Tập 1, Bài 12): biết C(n, k) mod p</w:t>
      </w:r>
      <w:r>
        <w:rPr>
          <w:vertAlign w:val="subscript"/>
        </w:rPr>
        <w:t xml:space="preserve">i</w:t>
      </w:r>
      <w:r>
        <w:t xml:space="preserve"> với mọi ước nguyên tố p</w:t>
      </w:r>
      <w:r>
        <w:rPr>
          <w:vertAlign w:val="subscript"/>
        </w:rPr>
        <w:t xml:space="preserve">i</w:t>
      </w:r>
      <w:r>
        <w:t xml:space="preserve"> của m (đôi một nguyên tố cùng nhau) thì xác định duy nhất C(n, k) mod m.</w:t>
      </w:r>
    </w:p>
    <w:p>
      <w:pPr>
        <w:keepNext/>
        <w:spacing w:before="60" w:after="40"/>
        <w:jc w:val="center"/>
      </w:pPr>
      <w:r>
        <w:rPr>
          <w:noProof/>
        </w:rPr>
        <w:drawing>
          <wp:inline distT="0" distB="0" distL="0" distR="0">
            <wp:extent cx="5472430" cy="2158490"/>
            <wp:docPr id="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Img2"/>
                    <a:stretch>
                      <a:fillRect/>
                    </a:stretch>
                  </pic:blipFill>
                  <pic:spPr>
                    <a:xfrm>
                      <a:off x="0" y="0"/>
                      <a:ext cx="5472430" cy="2158490"/>
                    </a:xfrm>
                    <a:prstGeom prst="rect">
                      <a:avLst/>
                    </a:prstGeom>
                  </pic:spPr>
                </pic:pic>
              </a:graphicData>
            </a:graphic>
          </wp:inline>
        </w:drawing>
      </w:r>
    </w:p>
    <w:p>
      <w:pPr>
        <w:spacing w:after="160" w:line="276" w:lineRule="auto"/>
        <w:jc w:val="center"/>
      </w:pPr>
      <w:r>
        <w:rPr>
          <w:b/>
          <w:bCs/>
          <w:i/>
          <w:iCs/>
          <w:color w:val="404040"/>
          <w:sz w:val="19"/>
          <w:szCs w:val="19"/>
        </w:rPr>
        <w:t xml:space="preserve">Hình 13.3.1. </w:t>
      </w:r>
      <w:r>
        <w:rPr>
          <w:i/>
          <w:iCs/>
          <w:color w:val="404040"/>
          <w:sz w:val="19"/>
          <w:szCs w:val="19"/>
        </w:rPr>
        <w:t xml:space="preserve">Hai bước của lời giải trên ví dụ 1 và ví dụ 2.</w:t>
      </w:r>
    </w:p>
    <w:p>
      <w:pPr>
        <w:pStyle w:val="Heading3"/>
        <w:keepNext/>
        <w:pBdr>
          <w:bottom w:val="single" w:sz="6" w:space="2" w:color="B4C6E7"/>
        </w:pBdr>
        <w:spacing w:before="260" w:after="120"/>
      </w:pPr>
      <w:r>
        <w:t xml:space="preserve">2. Cách ngây thơ: Tam giác Pascal</w:t>
      </w:r>
    </w:p>
    <w:p>
      <w:pPr>
        <w:keepNext/>
        <w:spacing w:before="60" w:after="40"/>
        <w:jc w:val="center"/>
      </w:pPr>
      <w:r>
        <w:rPr>
          <w:noProof/>
        </w:rPr>
        <w:drawing>
          <wp:inline distT="0" distB="0" distL="0" distR="0">
            <wp:extent cx="4534326" cy="1615195"/>
            <wp:docPr id="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Img3"/>
                    <a:stretch>
                      <a:fillRect/>
                    </a:stretch>
                  </pic:blipFill>
                  <pic:spPr>
                    <a:xfrm>
                      <a:off x="0" y="0"/>
                      <a:ext cx="4534326" cy="1615195"/>
                    </a:xfrm>
                    <a:prstGeom prst="rect">
                      <a:avLst/>
                    </a:prstGeom>
                  </pic:spPr>
                </pic:pic>
              </a:graphicData>
            </a:graphic>
          </wp:inline>
        </w:drawing>
      </w:r>
    </w:p>
    <w:p>
      <w:pPr>
        <w:spacing w:after="160" w:line="276" w:lineRule="auto"/>
        <w:jc w:val="center"/>
      </w:pPr>
      <w:r>
        <w:rPr>
          <w:b/>
          <w:bCs/>
          <w:i/>
          <w:iCs/>
          <w:color w:val="404040"/>
          <w:sz w:val="19"/>
          <w:szCs w:val="19"/>
        </w:rPr>
        <w:t xml:space="preserve">Hình 13.3.2. </w:t>
      </w:r>
      <w:r>
        <w:rPr>
          <w:i/>
          <w:iCs/>
          <w:color w:val="404040"/>
          <w:sz w:val="19"/>
          <w:szCs w:val="19"/>
        </w:rPr>
        <w:t xml:space="preserve">Sơ đồ khối của cách dùng tam giác Pascal</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tam giác Pascal theo mô-đun m</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"TOHOPLON.INP"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"TOHOPLON.INP"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"TOHOPLON.OUT"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2001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dùng được khi n &lt;= 2000</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Hằng đẳng thức Pascal chỉ dùng phép cộng nên đúng với </w:t>
      </w:r>
      <w:r>
        <w:rPr>
          <w:b/>
          <w:bCs/>
        </w:rPr>
        <w:t xml:space="preserve">mọi</w:t>
      </w:r>
      <w:r>
        <w:t xml:space="preserve"> mô-đun; nhưng bảng chỉ lập được tới n ≈ 2000.</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2000):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t xml:space="preserve">Coi m là số nguyên tố và dùng thẳng Lucas (</w:t>
      </w:r>
      <w:r>
        <w:rPr>
          <w:rFonts w:ascii="Courier New" w:eastAsia="Courier New" w:hAnsi="Courier New" w:cs="Courier New"/>
          <w:color w:val="C0392B"/>
          <w:sz w:val="20"/>
          <w:szCs w:val="20"/>
        </w:rPr>
        <w:t xml:space="preserve">lucas1.cpp</w:t>
      </w:r>
      <w:r>
        <w:t xml:space="preserve">): đúng ở </w:t>
      </w:r>
      <w:r>
        <w:rPr>
          <w:b/>
          <w:bCs/>
        </w:rPr>
        <w:t xml:space="preserve">subtask 2</w:t>
      </w:r>
      <w:r>
        <w:t xml:space="preserve">. Khi m là hợp số tới 10</w:t>
      </w:r>
      <w:r>
        <w:rPr>
          <w:vertAlign w:val="superscript"/>
        </w:rPr>
        <w:t xml:space="preserve">10</w:t>
      </w:r>
      <w:r>
        <w:t xml:space="preserve">, chương trình phải lập bảng giai thừa tới m − 1 (10</w:t>
      </w:r>
      <w:r>
        <w:rPr>
          <w:vertAlign w:val="superscript"/>
        </w:rPr>
        <w:t xml:space="preserve">10</w:t>
      </w:r>
      <w:r>
        <w:t xml:space="preserve"> phần tử!) và dùng Fermat với mô-đun không nguyên tố: </w:t>
      </w:r>
      <w:r>
        <w:rPr>
          <w:b/>
          <w:bCs/>
        </w:rPr>
        <w:t xml:space="preserve">30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Lucas chỉ đúng với mô-đun </w:t>
            </w:r>
            <w:r>
              <w:rPr>
                <w:b/>
                <w:bCs/>
              </w:rPr>
              <w:t xml:space="preserve">nguyên tố</w:t>
            </w:r>
            <w:r>
              <w:t xml:space="preserve">, và cần bảng giai thừa tới p − 1. Với m = p</w:t>
            </w:r>
            <w:r>
              <w:rPr>
                <w:vertAlign w:val="subscript"/>
              </w:rPr>
              <w:t xml:space="preserve">1</w:t>
            </w:r>
            <w:r>
              <w:t xml:space="preserve">···p</w:t>
            </w:r>
            <w:r>
              <w:rPr>
                <w:vertAlign w:val="subscript"/>
              </w:rPr>
              <w:t xml:space="preserve">r</w:t>
            </w:r>
            <w:r>
              <w:t xml:space="preserve">, hãy dùng Lucas </w:t>
            </w:r>
            <w:r>
              <w:rPr>
                <w:b/>
                <w:bCs/>
              </w:rPr>
              <w:t xml:space="preserve">riêng cho từng</w:t>
            </w:r>
            <w:r>
              <w:t xml:space="preserve"> p</w:t>
            </w:r>
            <w:r>
              <w:rPr>
                <w:vertAlign w:val="subscript"/>
              </w:rPr>
              <w:t xml:space="preserve">i</w:t>
            </w:r>
            <w:r>
              <w:t xml:space="preserve"> (mỗi p</w:t>
            </w:r>
            <w:r>
              <w:rPr>
                <w:vertAlign w:val="subscript"/>
              </w:rPr>
              <w:t xml:space="preserve">i</w:t>
            </w:r>
            <w:r>
              <w:t xml:space="preserve"> ≤ 10</w:t>
            </w:r>
            <w:r>
              <w:rPr>
                <w:vertAlign w:val="superscript"/>
              </w:rPr>
              <w:t xml:space="preserve">5</w:t>
            </w:r>
            <w:r>
              <w:t xml:space="preserve">), rồi ghép lại.</w:t>
            </w:r>
          </w:p>
        </w:tc>
      </w:tr>
    </w:tbl>
    <w:p>
      <w:pPr>
        <w:spacing w:after="100" w:line="200" w:lineRule="auto"/>
        <w:jc w:val="both"/>
      </w:pPr>
    </w:p>
    <w:p>
      <w:pPr>
        <w:pStyle w:val="Heading3"/>
        <w:keepNext/>
        <w:pBdr>
          <w:bottom w:val="single" w:sz="6" w:space="2" w:color="B4C6E7"/>
        </w:pBdr>
        <w:spacing w:before="260" w:after="120"/>
      </w:pPr>
      <w:r>
        <w:t xml:space="preserve">4. Phá bế tắc</w:t>
      </w:r>
    </w:p>
    <w:p>
      <w:pPr>
        <w:keepNext/>
        <w:spacing w:before="160" w:after="80" w:line="276" w:lineRule="auto"/>
      </w:pPr>
      <w:r>
        <w:rPr>
          <w:rFonts w:ascii="Arial" w:eastAsia="Arial" w:hAnsi="Arial" w:cs="Arial"/>
          <w:b/>
          <w:bCs/>
          <w:color w:val="C0504D"/>
          <w:sz w:val="22"/>
          <w:szCs w:val="22"/>
        </w:rPr>
        <w:t xml:space="preserve">Lucas theo từng ước nguyên tố</w:t>
      </w:r>
    </w:p>
    <w:p>
      <w:pPr>
        <w:spacing w:after="110" w:line="276" w:lineRule="auto"/>
        <w:jc w:val="both"/>
      </w:pPr>
      <w:r>
        <w:t xml:space="preserve">Với mỗi p</w:t>
      </w:r>
      <w:r>
        <w:rPr>
          <w:vertAlign w:val="subscript"/>
        </w:rPr>
        <w:t xml:space="preserve">i</w:t>
      </w:r>
      <w:r>
        <w:t xml:space="preserve">, chuẩn bị giai thừa và nghịch đảo giai thừa cho 0..p</w:t>
      </w:r>
      <w:r>
        <w:rPr>
          <w:vertAlign w:val="subscript"/>
        </w:rPr>
        <w:t xml:space="preserve">i</w:t>
      </w:r>
      <w:r>
        <w:t xml:space="preserve"> − 1. Mỗi truy vấn: tách n, k theo cơ số p</w:t>
      </w:r>
      <w:r>
        <w:rPr>
          <w:vertAlign w:val="subscript"/>
        </w:rPr>
        <w:t xml:space="preserve">i</w:t>
      </w:r>
      <w:r>
        <w:t xml:space="preserve">; mỗi cặp chữ số cho một C(n</w:t>
      </w:r>
      <w:r>
        <w:rPr>
          <w:vertAlign w:val="subscript"/>
        </w:rPr>
        <w:t xml:space="preserve">j</w:t>
      </w:r>
      <w:r>
        <w:t xml:space="preserve">, k</w:t>
      </w:r>
      <w:r>
        <w:rPr>
          <w:vertAlign w:val="subscript"/>
        </w:rPr>
        <w:t xml:space="preserve">j</w:t>
      </w:r>
      <w:r>
        <w:t xml:space="preserve">) với n</w:t>
      </w:r>
      <w:r>
        <w:rPr>
          <w:vertAlign w:val="subscript"/>
        </w:rPr>
        <w:t xml:space="preserve">j</w:t>
      </w:r>
      <w:r>
        <w:t xml:space="preserve">, k</w:t>
      </w:r>
      <w:r>
        <w:rPr>
          <w:vertAlign w:val="subscript"/>
        </w:rPr>
        <w:t xml:space="preserve">j</w:t>
      </w:r>
      <w:r>
        <w:t xml:space="preserve"> &lt; p</w:t>
      </w:r>
      <w:r>
        <w:rPr>
          <w:vertAlign w:val="subscript"/>
        </w:rPr>
        <w:t xml:space="preserve">i</w:t>
      </w:r>
      <w:r>
        <w:t xml:space="preserve"> (bằng 0 nếu k</w:t>
      </w:r>
      <w:r>
        <w:rPr>
          <w:vertAlign w:val="subscript"/>
        </w:rPr>
        <w:t xml:space="preserve">j</w:t>
      </w:r>
      <w:r>
        <w:t xml:space="preserve"> &gt; n</w:t>
      </w:r>
      <w:r>
        <w:rPr>
          <w:vertAlign w:val="subscript"/>
        </w:rPr>
        <w:t xml:space="preserve">j</w:t>
      </w:r>
      <w:r>
        <w:t xml:space="preserve">). Số chữ số ≤ log</w:t>
      </w:r>
      <w:r>
        <w:rPr>
          <w:vertAlign w:val="subscript"/>
        </w:rPr>
        <w:t xml:space="preserve">2</w:t>
      </w:r>
      <w:r>
        <w:t xml:space="preserve"> 10</w:t>
      </w:r>
      <w:r>
        <w:rPr>
          <w:vertAlign w:val="superscript"/>
        </w:rPr>
        <w:t xml:space="preserve">18</w:t>
      </w:r>
      <w:r>
        <w:t xml:space="preserve"> ≈ 60.</w:t>
      </w:r>
    </w:p>
    <w:p>
      <w:pPr>
        <w:keepNext/>
        <w:spacing w:before="160" w:after="80" w:line="276" w:lineRule="auto"/>
      </w:pPr>
      <w:r>
        <w:rPr>
          <w:rFonts w:ascii="Arial" w:eastAsia="Arial" w:hAnsi="Arial" w:cs="Arial"/>
          <w:b/>
          <w:bCs/>
          <w:color w:val="C0504D"/>
          <w:sz w:val="22"/>
          <w:szCs w:val="22"/>
        </w:rPr>
        <w:t xml:space="preserve">Ghép bằng định lí Trung Hoa</w:t>
      </w:r>
    </w:p>
    <w:p>
      <w:pPr>
        <w:spacing w:after="110" w:line="276" w:lineRule="auto"/>
        <w:jc w:val="both"/>
      </w:pPr>
      <w:r>
        <w:t xml:space="preserve">Đặt M</w:t>
      </w:r>
      <w:r>
        <w:rPr>
          <w:vertAlign w:val="subscript"/>
        </w:rPr>
        <w:t xml:space="preserve">i</w:t>
      </w:r>
      <w:r>
        <w:t xml:space="preserve"> = m/p</w:t>
      </w:r>
      <w:r>
        <w:rPr>
          <w:vertAlign w:val="subscript"/>
        </w:rPr>
        <w:t xml:space="preserve">i</w:t>
      </w:r>
      <w:r>
        <w:t xml:space="preserve"> và e</w:t>
      </w:r>
      <w:r>
        <w:rPr>
          <w:vertAlign w:val="subscript"/>
        </w:rPr>
        <w:t xml:space="preserve">i</w:t>
      </w:r>
      <w:r>
        <w:t xml:space="preserve"> = M</w:t>
      </w:r>
      <w:r>
        <w:rPr>
          <w:vertAlign w:val="subscript"/>
        </w:rPr>
        <w:t xml:space="preserve">i</w:t>
      </w:r>
      <w:r>
        <w:t xml:space="preserve"> · (M</w:t>
      </w:r>
      <w:r>
        <w:rPr>
          <w:vertAlign w:val="subscript"/>
        </w:rPr>
        <w:t xml:space="preserve">i</w:t>
      </w:r>
      <w:r>
        <w:rPr>
          <w:vertAlign w:val="superscript"/>
        </w:rPr>
        <w:t xml:space="preserve">−1</w:t>
      </w:r>
      <w:r>
        <w:t xml:space="preserve"> mod p</w:t>
      </w:r>
      <w:r>
        <w:rPr>
          <w:vertAlign w:val="subscript"/>
        </w:rPr>
        <w:t xml:space="preserve">i</w:t>
      </w:r>
      <w:r>
        <w:t xml:space="preserve">): e</w:t>
      </w:r>
      <w:r>
        <w:rPr>
          <w:vertAlign w:val="subscript"/>
        </w:rPr>
        <w:t xml:space="preserve">i</w:t>
      </w:r>
      <w:r>
        <w:t xml:space="preserve"> ≡ 1 (mod p</w:t>
      </w:r>
      <w:r>
        <w:rPr>
          <w:vertAlign w:val="subscript"/>
        </w:rPr>
        <w:t xml:space="preserve">i</w:t>
      </w:r>
      <w:r>
        <w:t xml:space="preserve">) và e</w:t>
      </w:r>
      <w:r>
        <w:rPr>
          <w:vertAlign w:val="subscript"/>
        </w:rPr>
        <w:t xml:space="preserve">i</w:t>
      </w:r>
      <w:r>
        <w:t xml:space="preserve"> ≡ 0 (mod p</w:t>
      </w:r>
      <w:r>
        <w:rPr>
          <w:vertAlign w:val="subscript"/>
        </w:rPr>
        <w:t xml:space="preserve">j</w:t>
      </w:r>
      <w:r>
        <w:t xml:space="preserve">) với j ≠ i. Khi đó</w:t>
      </w:r>
    </w:p>
    <w:p>
      <w:pPr>
        <w:spacing w:before="40" w:after="110" w:line="276" w:lineRule="auto"/>
        <w:jc w:val="center"/>
      </w:pPr>
      <w:r>
        <w:rPr>
          <w:b/>
          <w:bCs/>
        </w:rPr>
        <w:t xml:space="preserve">C(n, k) ≡ Σ</w:t>
      </w:r>
      <w:r>
        <w:rPr>
          <w:b/>
          <w:bCs/>
          <w:vertAlign w:val="subscript"/>
        </w:rPr>
        <w:t xml:space="preserve">i</w:t>
      </w:r>
      <w:r>
        <w:rPr>
          <w:b/>
          <w:bCs/>
        </w:rPr>
        <w:t xml:space="preserve"> r</w:t>
      </w:r>
      <w:r>
        <w:rPr>
          <w:b/>
          <w:bCs/>
          <w:vertAlign w:val="subscript"/>
        </w:rPr>
        <w:t xml:space="preserve">i</w:t>
      </w:r>
      <w:r>
        <w:rPr>
          <w:b/>
          <w:bCs/>
        </w:rPr>
        <w:t xml:space="preserve"> · e</w:t>
      </w:r>
      <w:r>
        <w:rPr>
          <w:b/>
          <w:bCs/>
          <w:vertAlign w:val="subscript"/>
        </w:rPr>
        <w:t xml:space="preserve">i</w:t>
      </w:r>
      <w:r>
        <w:rPr>
          <w:b/>
          <w:bCs/>
        </w:rPr>
        <w:t xml:space="preserve">  (mod m),   r</w:t>
      </w:r>
      <w:r>
        <w:rPr>
          <w:b/>
          <w:bCs/>
          <w:vertAlign w:val="subscript"/>
        </w:rPr>
        <w:t xml:space="preserve">i</w:t>
      </w:r>
      <w:r>
        <w:rPr>
          <w:b/>
          <w:bCs/>
        </w:rPr>
        <w:t xml:space="preserve"> = C(n, k) mod p</w:t>
      </w:r>
      <w:r>
        <w:rPr>
          <w:b/>
          <w:bCs/>
          <w:vertAlign w:val="subscript"/>
        </w:rPr>
        <w:t xml:space="preserve">i</w:t>
      </w:r>
      <w:r>
        <w:rPr>
          <w:b/>
          <w:bCs/>
        </w:rPr>
        <w:t xml:space="preserve">.</w:t>
      </w:r>
    </w:p>
    <w:p>
      <w:pPr>
        <w:spacing w:after="110" w:line="276" w:lineRule="auto"/>
        <w:jc w:val="both"/>
      </w:pPr>
      <w:r>
        <w:t xml:space="preserve">Các e</w:t>
      </w:r>
      <w:r>
        <w:rPr>
          <w:vertAlign w:val="subscript"/>
        </w:rPr>
        <w:t xml:space="preserve">i</w:t>
      </w:r>
      <w:r>
        <w:t xml:space="preserve"> chỉ phụ thuộc m, tính </w:t>
      </w:r>
      <w:r>
        <w:rPr>
          <w:b/>
          <w:bCs/>
        </w:rPr>
        <w:t xml:space="preserve">một lần</w:t>
      </w:r>
      <w:r>
        <w:t xml:space="preserve"> cho mọi truy vấn. Mỗi tích r</w:t>
      </w:r>
      <w:r>
        <w:rPr>
          <w:vertAlign w:val="subscript"/>
        </w:rPr>
        <w:t xml:space="preserve">i</w:t>
      </w:r>
      <w:r>
        <w:t xml:space="preserve"> · e</w:t>
      </w:r>
      <w:r>
        <w:rPr>
          <w:vertAlign w:val="subscript"/>
        </w:rPr>
        <w:t xml:space="preserve">i</w:t>
      </w:r>
      <w:r>
        <w:t xml:space="preserve"> &lt; 10</w:t>
      </w:r>
      <w:r>
        <w:rPr>
          <w:vertAlign w:val="superscript"/>
        </w:rPr>
        <w:t xml:space="preserve">5</w:t>
      </w:r>
      <w:r>
        <w:t xml:space="preserve"> · 10</w:t>
      </w:r>
      <w:r>
        <w:rPr>
          <w:vertAlign w:val="superscript"/>
        </w:rPr>
        <w:t xml:space="preserve">10</w:t>
      </w:r>
      <w:r>
        <w:t xml:space="preserve"> = 10</w:t>
      </w:r>
      <w:r>
        <w:rPr>
          <w:vertAlign w:val="superscript"/>
        </w:rPr>
        <w:t xml:space="preserve">15</w:t>
      </w:r>
      <w:r>
        <w:t xml:space="preserve">: vừa long long.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m PHẢI LÀ TÍCH CÁC SỐ NGUYÊN TỐ KHÁC NHAU?</w:t>
            </w:r>
          </w:p>
          <w:p>
            <w:pPr>
              <w:spacing w:after="40" w:line="276" w:lineRule="auto"/>
              <w:jc w:val="both"/>
            </w:pPr>
            <w:r>
              <w:t xml:space="preserve">Lucas cho C(n, k) mod p, không cho mod p</w:t>
            </w:r>
            <w:r>
              <w:rPr>
                <w:vertAlign w:val="superscript"/>
              </w:rPr>
              <w:t xml:space="preserve">2</w:t>
            </w:r>
            <w:r>
              <w:t xml:space="preserve">. Nếu m chứa p</w:t>
            </w:r>
            <w:r>
              <w:rPr>
                <w:vertAlign w:val="superscript"/>
              </w:rPr>
              <w:t xml:space="preserve">2</w:t>
            </w:r>
            <w:r>
              <w:t xml:space="preserve"> (như 12 = 2² · 3), cần định lí Lucas mở rộng (Granville) phức tạp hơn nhiều. Đề bài đã chọn dạng m để hai công cụ cơ bản là đủ.</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597420" cy="2624693"/>
            <wp:docPr id="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Img4"/>
                    <a:stretch>
                      <a:fillRect/>
                    </a:stretch>
                  </pic:blipFill>
                  <pic:spPr>
                    <a:xfrm>
                      <a:off x="0" y="0"/>
                      <a:ext cx="4597420" cy="2624693"/>
                    </a:xfrm>
                    <a:prstGeom prst="rect">
                      <a:avLst/>
                    </a:prstGeom>
                  </pic:spPr>
                </pic:pic>
              </a:graphicData>
            </a:graphic>
          </wp:inline>
        </w:drawing>
      </w:r>
    </w:p>
    <w:p>
      <w:pPr>
        <w:spacing w:after="160" w:line="276" w:lineRule="auto"/>
        <w:jc w:val="center"/>
      </w:pPr>
      <w:r>
        <w:rPr>
          <w:b/>
          <w:bCs/>
          <w:i/>
          <w:iCs/>
          <w:color w:val="404040"/>
          <w:sz w:val="19"/>
          <w:szCs w:val="19"/>
        </w:rPr>
        <w:t xml:space="preserve">Hình 13.3.3.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TOHOPLON.CPP: Lucas + Trung Hoa</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b/>
                <w:bCs/>
                <w:color w:val="1F3864"/>
                <w:sz w:val="17"/>
                <w:szCs w:val="17"/>
              </w:rPr>
              <w:t xml:space="preserve">struct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Prime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dữ liệu cho một ước nguyên tố p</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giai thừa, nghịch đảo giai thừa &lt; p</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init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assign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assign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small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C(n, k) mod p với n, k &lt; p</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lucas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tích C(n_i, k_i) theo chữ số cơ số p</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small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"TOHOPLON.INP"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"TOHOPLON.INP"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"TOHOPLON.OUT"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Prime</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hệ số ghép Trung Hoa</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init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init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e ≡ 1 (mod p), e ≡ 0 (mod m/p)</w:t>
            </w:r>
          </w:p>
          <w:p>
            <w:pPr>
              <w:keepLines/>
              <w:spacing w:after="0" w:line="240" w:lineRule="auto"/>
            </w:pPr>
            <w:r>
              <w:rPr>
                <w:rFonts w:ascii="Courier New" w:eastAsia="Courier New" w:hAnsi="Courier New" w:cs="Courier New"/>
                <w:color w:val="A0A0A0"/>
                <w:sz w:val="17"/>
                <w:szCs w:val="17"/>
              </w:rPr>
              <w:t xml:space="preserve">49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size_t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tích &lt; 10^5 · 10^10</w:t>
            </w:r>
          </w:p>
          <w:p>
            <w:pPr>
              <w:keepLines/>
              <w:spacing w:after="0" w:line="240" w:lineRule="auto"/>
            </w:pPr>
            <w:r>
              <w:rPr>
                <w:rFonts w:ascii="Courier New" w:eastAsia="Courier New" w:hAnsi="Courier New" w:cs="Courier New"/>
                <w:color w:val="A0A0A0"/>
                <w:sz w:val="17"/>
                <w:szCs w:val="17"/>
              </w:rPr>
              <w:t xml:space="preserve">58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lucas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 = 1: luôn 0</w:t>
            </w:r>
          </w:p>
          <w:p>
            <w:pPr>
              <w:keepLines/>
              <w:spacing w:after="0" w:line="240" w:lineRule="auto"/>
            </w:pPr>
            <w:r>
              <w:rPr>
                <w:rFonts w:ascii="Courier New" w:eastAsia="Courier New" w:hAnsi="Courier New" w:cs="Courier New"/>
                <w:color w:val="A0A0A0"/>
                <w:sz w:val="17"/>
                <w:szCs w:val="17"/>
              </w:rPr>
              <w:t xml:space="preserve">60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chuẩn bị O(Σ p</w:t>
      </w:r>
      <w:r>
        <w:rPr>
          <w:vertAlign w:val="subscript"/>
        </w:rPr>
        <w:t xml:space="preserve">i</w:t>
      </w:r>
      <w:r>
        <w:t xml:space="preserve">) ≤ 10</w:t>
      </w:r>
      <w:r>
        <w:rPr>
          <w:vertAlign w:val="superscript"/>
        </w:rPr>
        <w:t xml:space="preserve">6</w:t>
      </w:r>
      <w:r>
        <w:t xml:space="preserve">; mỗi truy vấn O(Σ log</w:t>
      </w:r>
      <w:r>
        <w:rPr>
          <w:vertAlign w:val="subscript"/>
        </w:rPr>
        <w:t xml:space="preserve">p</w:t>
      </w:r>
      <w:r>
        <w:rPr>
          <w:vertAlign w:val="subscript"/>
        </w:rPr>
        <w:t xml:space="preserve">i</w:t>
      </w:r>
      <w:r>
        <w:t xml:space="preserve"> n) ≤ 10 · 60 phép tính.</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40" w:line="276" w:lineRule="auto"/>
              <w:jc w:val="both"/>
            </w:pPr>
            <w:r>
              <w:t xml:space="preserve">m ≤ 10</w:t>
            </w:r>
            <w:r>
              <w:rPr>
                <w:vertAlign w:val="superscript"/>
              </w:rPr>
              <w:t xml:space="preserve">10</w:t>
            </w:r>
            <w:r>
              <w:t xml:space="preserve"> có nhiều nhất 10 ước nguyên tố (tích 11 số nguyên tố đầu tiên đã vượt 2 · 10</w:t>
            </w:r>
            <w:r>
              <w:rPr>
                <w:vertAlign w:val="superscript"/>
              </w:rPr>
              <w:t xml:space="preserve">11</w:t>
            </w:r>
            <w:r>
              <w:t xml:space="preserve">). Kĩ thuật "tách mô-đun thành các thừa số nguyên tố rồi ghép" dùng được cho mọi bài tính theo mô-đun hợp số không có lũy thừa.</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Dùng Fermat với mô-đun hợp số.</w:t>
      </w:r>
    </w:p>
    <w:p>
      <w:pPr>
        <w:tabs>
          <w:tab w:val="left" w:pos="480"/>
        </w:tabs>
        <w:spacing w:after="60" w:line="276" w:lineRule="auto"/>
        <w:ind w:left="480" w:hanging="280"/>
        <w:jc w:val="both"/>
      </w:pPr>
      <w:r>
        <w:rPr>
          <w:b/>
          <w:bCs/>
          <w:color w:val="1F3864"/>
        </w:rPr>
        <w:t>•</w:t>
      </w:r>
      <w:r>
        <w:rPr>
          <w:b/>
          <w:bCs/>
          <w:color w:val="1F3864"/>
        </w:rPr>
        <w:tab/>
      </w:r>
      <w:r>
        <w:rPr>
          <w:b/>
          <w:bCs/>
        </w:rPr>
        <w:t xml:space="preserve">k &gt; n:</w:t>
      </w:r>
      <w:r>
        <w:t xml:space="preserve"> phải in 0 (Lucas tự cho 0 khi một chữ số k</w:t>
      </w:r>
      <w:r>
        <w:rPr>
          <w:vertAlign w:val="subscript"/>
        </w:rPr>
        <w:t xml:space="preserve">j</w:t>
      </w:r>
      <w:r>
        <w:t xml:space="preserve"> &gt; n</w:t>
      </w:r>
      <w:r>
        <w:rPr>
          <w:vertAlign w:val="subscript"/>
        </w:rPr>
        <w:t xml:space="preserve">j</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m = 1:</w:t>
      </w:r>
      <w:r>
        <w:t xml:space="preserve"> mọi đáp số 0.</w:t>
      </w:r>
    </w:p>
    <w:p>
      <w:pPr>
        <w:tabs>
          <w:tab w:val="left" w:pos="480"/>
        </w:tabs>
        <w:spacing w:after="60" w:line="276" w:lineRule="auto"/>
        <w:ind w:left="480" w:hanging="280"/>
        <w:jc w:val="both"/>
      </w:pPr>
      <w:r>
        <w:rPr>
          <w:b/>
          <w:bCs/>
          <w:color w:val="1F3864"/>
        </w:rPr>
        <w:t>•</w:t>
      </w:r>
      <w:r>
        <w:rPr>
          <w:b/>
          <w:bCs/>
          <w:color w:val="1F3864"/>
        </w:rPr>
        <w:tab/>
      </w:r>
      <w:r>
        <w:rPr>
          <w:b/>
          <w:bCs/>
        </w:rPr>
        <w:t xml:space="preserve">Tích r</w:t>
      </w:r>
      <w:r>
        <w:rPr>
          <w:b/>
          <w:bCs/>
          <w:vertAlign w:val="subscript"/>
        </w:rPr>
        <w:t xml:space="preserve">i</w:t>
      </w:r>
      <w:r>
        <w:rPr>
          <w:b/>
          <w:bCs/>
        </w:rPr>
        <w:t xml:space="preserve">·e</w:t>
      </w:r>
      <w:r>
        <w:rPr>
          <w:b/>
          <w:bCs/>
          <w:vertAlign w:val="subscript"/>
        </w:rPr>
        <w:t xml:space="preserve">i</w:t>
      </w:r>
      <w:r>
        <w:rPr>
          <w:b/>
          <w:bCs/>
        </w:rPr>
        <w:t xml:space="preserve"> trong int:</w:t>
      </w:r>
      <w:r>
        <w:t xml:space="preserve"> tràn.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Tam giác Pascal theo mô-đun m</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Định lí Lucas, coi m là số nguyên tố</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Lucas cho từng ước nguyên tố + ghép Trung Hoa</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pPr>
        <w:sectPr>
          <w:headerReference w:type="default" r:id="rIdHdr3"/>
          <w:footerReference w:type="default" r:id="rIdFtr1"/>
          <w:pgSz w:w="10772" w:h="15024"/>
          <w:pgMar w:top="1134" w:right="1077" w:bottom="1134" w:left="1077" w:header="560" w:footer="520" w:gutter="0"/>
          <w:cols w:space="720"/>
          <w:docGrid w:linePitch="360"/>
        </w:sectPr>
      </w:pPr>
    </w:p>
    <w:p>
      <w:pPr>
        <w:pStyle w:val="Heading1"/>
        <w:spacing w:before="200" w:after="200"/>
        <w:jc w:val="center"/>
      </w:pPr>
      <w:bookmarkStart w:id="5" w:name="_Toc000005"/>
      <w:r>
        <w:rPr>
          <w:sz w:val="34"/>
          <w:szCs w:val="34"/>
        </w:rPr>
        <w:t xml:space="preserve">PHỤ LỤC A. BẢNG TỔNG HỢP ĐIỂM</w:t>
      </w:r>
      <w:bookmarkEnd w:id="5"/>
    </w:p>
    <w:p>
      <w:pPr>
        <w:spacing w:after="110" w:line="276" w:lineRule="auto"/>
        <w:jc w:val="both"/>
      </w:pPr>
      <w:r>
        <w:t xml:space="preserve">Bảng dưới đây tóm tắt điểm (trên thang 100) của cách ngây thơ đầu tiên và của lời giải mẫu ở cả 60 bài, đo trên cùng bộ test. Khoảng cách giữa hai cột chính là "giá trị" của quan sát then chốt trong từng bài.</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35"/>
        <w:gridCol w:w="2358"/>
        <w:gridCol w:w="3810"/>
        <w:gridCol w:w="725"/>
        <w:gridCol w:w="1090"/>
      </w:tblGrid>
      <w:tr>
        <w:tblPrEx>
          <w:tblCellMar>
            <w:top w:w="0" w:type="dxa"/>
            <w:bottom w:w="0" w:type="dxa"/>
          </w:tblCellMar>
        </w:tblPrEx>
        <w:trPr>
          <w:cantSplit/>
          <w:tblHeader/>
          <w:jc w:val="center"/>
        </w:trPr>
        <w:tc>
          <w:tcPr>
            <w:tcW w:w="63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35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381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Cách ngây thơ</w:t>
            </w:r>
          </w:p>
        </w:tc>
        <w:tc>
          <w:tcPr>
            <w:tcW w:w="72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Điểm</w:t>
            </w:r>
          </w:p>
        </w:tc>
        <w:tc>
          <w:tcPr>
            <w:tcW w:w="109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Lời giải mẫu</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NGÀY TRONG TUẦN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từng ngày</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CHỮ SỐ CUỐI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Nhân b lần, số kiểu long long</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VIẾT LIỀN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Ghép thành số long long rồi chia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XẾP HÀNG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từ 1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ƯỚC TĂNG DẦN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 n; duyệt dãy cho mỗi khách</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BẠN BÈ</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s(n) bằng thử mọi ước, O(N²)</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CẮT GẠCH</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cạnh giảm dần từ min(a, b)</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BỎ MỘT SỐ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Bỏ thử từng phần tử, tính lại gcd O(n²)</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ĐÈN NHÁY</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lại BCNN cho mỗi kịch bản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ĐONG NƯỚC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Loang (BFS) trên các lượng nước ≤ 4000</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MUA HÀNG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x từ 0 tới c / 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ĐỒNG HỒ HỎNG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Mô phỏng từng giây</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NGUYÊN TỐ GẦN NHẤT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Kiểm tra bằng thử chia tới n − 1</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TỔNG HAI SỐ NGUYÊN TỐ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Sàng Eratosthenes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NGUYÊN TỐ 64 BIT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6k ± 1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SỐ NGUYÊN TỐ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từng số cho mỗi truy vấn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NGUYÊN TỐ SINH ĐÔI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duyệt p trong đoạn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CÓ ĐÚNG BA 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Phân tích bằng thử chia tới √a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7.1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từ 1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7.2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CHỮ SỐ 0 CỦA GIAI THỪA</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n! rồi chia dần cho b</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7.3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BCNN CỦA DÃY</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BCNN chính xác bằng </w:t>
            </w:r>
            <w:r>
              <w:rPr>
                <w:i/>
                <w:iCs/>
                <w:sz w:val="18"/>
                <w:szCs w:val="18"/>
              </w:rPr>
              <w:t xml:space="preserve">int128, xóa thử từng số</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8.1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NGUYÊN TỐ TRÊN ĐOẠN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Sàng Eratosthenes tới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8.2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KHOẢNG CÁCH LỚN NHẤT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từng số trong đoạn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8.3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ƯỚC TRÊN ĐOẠN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Sàng điều hòa đếm ước tới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9.1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LŨY THỪA</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Nhân b lần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9.2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MŨ KHỔNG LỒ</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Đọc b vào long long, lũy thừa nhanh</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9.3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TỔNG LŨY THỪA</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Cộng dồn n + 1 số hạng</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10.1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XÁC SUẤT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Phân số chính xác bằng long long</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10.2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NGHỊCH ĐẢO DÃY</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x cho từng i</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10.3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PHƯƠNG TRÌNH ĐỒNG DƯ</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x trong [L,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11.1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k ≤ n với gcd(k, n) = 1</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11.2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PHÂN SỐ TỐI GIẢN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cặp (a, b) với gcd = 1</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11.3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THÁP LŨY THỪA</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giá trị thật của tháp (k ≤ 3)</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12.1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ĐIỂM BINH</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x = L, L + 1, ...</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12.2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HAI NGỌN ĐÈN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Mô phỏng hai dãy thời điểm nháy</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12.3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LỊCH CAN CHI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Liệt kê các năm</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13.1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CHIA KẸO</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Đệ quy liệt kê mọi cách chia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13.2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ĐƯỜNG ĐI TRÊN LƯỚI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Quy hoạch động trên lưới</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13.3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TỔ HỢP KHỔNG LỒ</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Tam giác Pascal theo mô-đun m</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bl>
    <w:p>
      <w:pPr>
        <w:spacing w:after="100" w:line="200" w:lineRule="auto"/>
        <w:jc w:val="both"/>
      </w:pPr>
    </w:p>
    <w:p>
      <w:r>
        <w:br w:type="page"/>
      </w:r>
    </w:p>
    <w:p>
      <w:pPr>
        <w:pStyle w:val="Heading1"/>
        <w:spacing w:before="200" w:after="200"/>
        <w:jc w:val="center"/>
      </w:pPr>
      <w:bookmarkStart w:id="6" w:name="_Toc000006"/>
      <w:r>
        <w:rPr>
          <w:sz w:val="34"/>
          <w:szCs w:val="34"/>
        </w:rPr>
        <w:t xml:space="preserve">PHỤ LỤC B. THƯ VIỆN HÀM SỐ HỌC</w:t>
      </w:r>
      <w:bookmarkEnd w:id="6"/>
    </w:p>
    <w:p>
      <w:pPr>
        <w:spacing w:after="110" w:line="276" w:lineRule="auto"/>
        <w:jc w:val="both"/>
      </w:pPr>
      <w:r>
        <w:t xml:space="preserve">(đang soạn)</w:t>
      </w:r>
    </w:p>
    <w:sectPr>
      <w:headerReference w:type="default" r:id="rIdHdr4"/>
      <w:footerReference w:type="default" r:id="rIdFtr1"/>
      <w:pgSz w:w="10772" w:h="15024"/>
      <w:pgMar w:top="1134" w:right="1077" w:bottom="1134" w:left="1077" w:header="56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94849" w14:textId="77777777" w:rsidR="00316B03" w:rsidRDefault="00316B03">
      <w:r>
        <w:separator/>
      </w:r>
    </w:p>
  </w:endnote>
  <w:endnote w:type="continuationSeparator" w:id="0">
    <w:p w14:paraId="302A384F" w14:textId="77777777" w:rsidR="00316B03" w:rsidRDefault="00316B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B0276" w14:textId="1C565610" w:rsidR="00EE69CA" w:rsidRDefault="00000000">
    <w:pPr>
      <w:jc w:val="center"/>
    </w:pPr>
    <w:r>
      <w:rPr>
        <w:color w:val="595959"/>
        <w:sz w:val="19"/>
        <w:szCs w:val="19"/>
      </w:rPr>
      <w:fldChar w:fldCharType="begin"/>
    </w:r>
    <w:r>
      <w:rPr>
        <w:color w:val="595959"/>
        <w:sz w:val="19"/>
        <w:szCs w:val="19"/>
      </w:rPr>
      <w:instrText>PAGE</w:instrText>
    </w:r>
    <w:r>
      <w:rPr>
        <w:color w:val="595959"/>
        <w:sz w:val="19"/>
        <w:szCs w:val="19"/>
      </w:rPr>
      <w:fldChar w:fldCharType="separate"/>
    </w:r>
    <w:r w:rsidR="00787CB7">
      <w:rPr>
        <w:noProof/>
        <w:color w:val="595959"/>
        <w:sz w:val="19"/>
        <w:szCs w:val="19"/>
      </w:rPr>
      <w:t>1</w:t>
    </w:r>
    <w:r>
      <w:rPr>
        <w:color w:val="595959"/>
        <w:sz w:val="19"/>
        <w:szCs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35DC1" w14:textId="77777777" w:rsidR="00316B03" w:rsidRDefault="00316B03">
      <w:r>
        <w:separator/>
      </w:r>
    </w:p>
  </w:footnote>
  <w:footnote w:type="continuationSeparator" w:id="0">
    <w:p w14:paraId="67133451" w14:textId="77777777" w:rsidR="00316B03" w:rsidRDefault="00316B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CHƯƠNG 4. TỔ HỢP VÀ ĐẾM</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23FE9"/>
    <w:multiLevelType w:val="hybridMultilevel"/>
    <w:tmpl w:val="64324614"/>
    <w:lvl w:ilvl="0" w:tplc="C8F273E8">
      <w:start w:val="1"/>
      <w:numFmt w:val="bullet"/>
      <w:lvlText w:val="●"/>
      <w:lvlJc w:val="left"/>
      <w:pPr>
        <w:ind w:left="720" w:hanging="360"/>
      </w:pPr>
    </w:lvl>
    <w:lvl w:ilvl="1" w:tplc="1FFC7468">
      <w:start w:val="1"/>
      <w:numFmt w:val="bullet"/>
      <w:lvlText w:val="○"/>
      <w:lvlJc w:val="left"/>
      <w:pPr>
        <w:ind w:left="1440" w:hanging="360"/>
      </w:pPr>
    </w:lvl>
    <w:lvl w:ilvl="2" w:tplc="18A48C9A">
      <w:start w:val="1"/>
      <w:numFmt w:val="bullet"/>
      <w:lvlText w:val="■"/>
      <w:lvlJc w:val="left"/>
      <w:pPr>
        <w:ind w:left="2160" w:hanging="360"/>
      </w:pPr>
    </w:lvl>
    <w:lvl w:ilvl="3" w:tplc="67384524">
      <w:start w:val="1"/>
      <w:numFmt w:val="bullet"/>
      <w:lvlText w:val="●"/>
      <w:lvlJc w:val="left"/>
      <w:pPr>
        <w:ind w:left="2880" w:hanging="360"/>
      </w:pPr>
    </w:lvl>
    <w:lvl w:ilvl="4" w:tplc="E01C50D0">
      <w:start w:val="1"/>
      <w:numFmt w:val="bullet"/>
      <w:lvlText w:val="○"/>
      <w:lvlJc w:val="left"/>
      <w:pPr>
        <w:ind w:left="3600" w:hanging="360"/>
      </w:pPr>
    </w:lvl>
    <w:lvl w:ilvl="5" w:tplc="8C8C530A">
      <w:start w:val="1"/>
      <w:numFmt w:val="bullet"/>
      <w:lvlText w:val="■"/>
      <w:lvlJc w:val="left"/>
      <w:pPr>
        <w:ind w:left="4320" w:hanging="360"/>
      </w:pPr>
    </w:lvl>
    <w:lvl w:ilvl="6" w:tplc="20BE77C8">
      <w:start w:val="1"/>
      <w:numFmt w:val="bullet"/>
      <w:lvlText w:val="●"/>
      <w:lvlJc w:val="left"/>
      <w:pPr>
        <w:ind w:left="5040" w:hanging="360"/>
      </w:pPr>
    </w:lvl>
    <w:lvl w:ilvl="7" w:tplc="9C501A4E">
      <w:start w:val="1"/>
      <w:numFmt w:val="bullet"/>
      <w:lvlText w:val="●"/>
      <w:lvlJc w:val="left"/>
      <w:pPr>
        <w:ind w:left="5760" w:hanging="360"/>
      </w:pPr>
    </w:lvl>
    <w:lvl w:ilvl="8" w:tplc="9AECF5A8">
      <w:start w:val="1"/>
      <w:numFmt w:val="bullet"/>
      <w:lvlText w:val="●"/>
      <w:lvlJc w:val="left"/>
      <w:pPr>
        <w:ind w:left="6480" w:hanging="360"/>
      </w:pPr>
    </w:lvl>
  </w:abstractNum>
  <w:num w:numId="1" w16cid:durableId="995655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9CA"/>
    <w:rsid w:val="00316B03"/>
    <w:rsid w:val="00787CB7"/>
    <w:rsid w:val="00B53543"/>
    <w:rsid w:val="00EE6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D35D1"/>
  <w15:docId w15:val="{DEC34729-3501-496E-95AE-747CC79C4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Arial" w:eastAsia="Arial" w:hAnsi="Arial" w:cs="Arial"/>
      <w:b/>
      <w:bCs/>
      <w:color w:val="1F3864"/>
      <w:sz w:val="40"/>
      <w:szCs w:val="40"/>
    </w:rPr>
  </w:style>
  <w:style w:type="paragraph" w:styleId="Heading2">
    <w:name w:val="heading 2"/>
    <w:uiPriority w:val="9"/>
    <w:unhideWhenUsed/>
    <w:qFormat/>
    <w:pPr>
      <w:outlineLvl w:val="1"/>
    </w:pPr>
    <w:rPr>
      <w:rFonts w:ascii="Arial" w:eastAsia="Arial" w:hAnsi="Arial" w:cs="Arial"/>
      <w:b/>
      <w:bCs/>
      <w:sz w:val="28"/>
      <w:szCs w:val="28"/>
    </w:rPr>
  </w:style>
  <w:style w:type="paragraph" w:styleId="Heading3">
    <w:name w:val="heading 3"/>
    <w:uiPriority w:val="9"/>
    <w:unhideWhenUsed/>
    <w:qFormat/>
    <w:pPr>
      <w:outlineLvl w:val="2"/>
    </w:pPr>
    <w:rPr>
      <w:rFonts w:ascii="Arial" w:eastAsia="Arial" w:hAnsi="Arial" w:cs="Arial"/>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3" Type="http://schemas.openxmlformats.org/officeDocument/2006/relationships/fontTable" Target="fontTable.xml"/><Relationship Id="rId5" Type="http://schemas.openxmlformats.org/officeDocument/2006/relationships/footnotes" Target="footnotes.xml"/><Relationship Id="rId134" Type="http://schemas.openxmlformats.org/officeDocument/2006/relationships/theme" Target="theme/theme1.xml"/><Relationship Id="rId3" Type="http://schemas.openxmlformats.org/officeDocument/2006/relationships/settings" Target="settings.xml"/><Relationship Id="rId1" Type="http://schemas.openxmlformats.org/officeDocument/2006/relationships/numbering" Target="numbering.xml"/><Relationship Id="rId6" Type="http://schemas.openxmlformats.org/officeDocument/2006/relationships/endnotes" Target="endnotes.xml"/><Relationship Id="rId4" Type="http://schemas.openxmlformats.org/officeDocument/2006/relationships/webSettings" Target="webSettings.xml"/><Relationship Id="rId2" Type="http://schemas.openxmlformats.org/officeDocument/2006/relationships/styles" Target="styles.xml"/><Relationship Id="rIdHdr1" Type="http://schemas.openxmlformats.org/officeDocument/2006/relationships/header" Target="header1.xml"/><Relationship Id="rIdHdr2" Type="http://schemas.openxmlformats.org/officeDocument/2006/relationships/header" Target="header2.xml"/><Relationship Id="rIdHdr3" Type="http://schemas.openxmlformats.org/officeDocument/2006/relationships/header" Target="header3.xml"/><Relationship Id="rIdHdr4" Type="http://schemas.openxmlformats.org/officeDocument/2006/relationships/header" Target="header4.xml"/><Relationship Id="rIdFtr1"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34760</Words>
  <Characters>198133</Characters>
  <Application>Microsoft Office Word</Application>
  <DocSecurity>0</DocSecurity>
  <Lines>1651</Lines>
  <Paragraphs>464</Paragraphs>
  <ScaleCrop>false</ScaleCrop>
  <Company/>
  <LinksUpToDate>false</LinksUpToDate>
  <CharactersWithSpaces>232429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hoạch động: Từ cơ bản đến nâng cao. Tập 3: Hướng dẫn giải</dc:title>
  <dc:creator>Lê Thành Nam</dc:creator>
  <cp:lastModifiedBy>Admin</cp:lastModifiedBy>
  <cp:revision>3</cp:revision>
  <cp:lastPrinted>2026-10-12T04:52:00Z</cp:lastPrinted>
  <dcterms:created xsi:type="dcterms:W3CDTF">2026-10-11T02:14:00Z</dcterms:created>
  <dcterms:modified xsi:type="dcterms:W3CDTF">2026-10-12T05:00:00Z</dcterms:modified>
</cp:coreProperties>
</file>