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«ХК «Брест» ОСП «СДЮШОР по хоккею с шайбой и фигурному катанию»</w:t>
      </w:r>
    </w:p>
    <w:p>
      <w:pPr>
        <w:jc w:val="both"/>
      </w:pPr>
      <w:r>
        <w:rPr>
          <w:sz w:val="28"/>
        </w:rPr>
        <w:t>В этом месяце просмотренно 323 тренеровки, средний балл 71.6. В общем рейтенге Школа занимает 18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17) ОСП «СДЮШОР «Неман» ГУ ХК «Неман»</w:t>
        <w:br/>
      </w:r>
      <w:r>
        <w:rPr>
          <w:b/>
          <w:sz w:val="36"/>
        </w:rPr>
        <w:t>18) ГУ «ХК «Брест» ОСП «СДЮШОР по хоккею с шайбой и фигурному катанию»</w:t>
        <w:br/>
      </w:r>
      <w:r>
        <w:rPr>
          <w:sz w:val="28"/>
        </w:rPr>
        <w:t>19) УCУ «ДЮСШ Ивацевичского района»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12.7%</w:t>
        <w:br/>
      </w:r>
      <w:r>
        <w:t>2) На каждые 10 спортсменов 1 тренер и больше: выполнение</w:t>
      </w:r>
      <w:r>
        <w:rPr>
          <w:b/>
        </w:rPr>
        <w:t xml:space="preserve"> 44.3%</w:t>
        <w:br/>
      </w:r>
      <w:r>
        <w:t>3) Для проведения УТЗ предоставлена достаточная площадь льда: выполнение</w:t>
      </w:r>
      <w:r>
        <w:rPr>
          <w:b/>
        </w:rPr>
        <w:t xml:space="preserve"> 52.9%</w:t>
        <w:br/>
      </w:r>
      <w:r>
        <w:t>4) Есть план-конспект на занятие составленный с помощью Google-таблицы: выполнение</w:t>
      </w:r>
      <w:r>
        <w:rPr>
          <w:b/>
        </w:rPr>
        <w:t xml:space="preserve"> 56.0%</w:t>
        <w:br/>
      </w:r>
      <w:r>
        <w:t>5)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58.5%</w:t>
        <w:br/>
      </w:r>
      <w:r>
        <w:t>6) Есть недельный микроцикл: выполнение</w:t>
      </w:r>
      <w:r>
        <w:rPr>
          <w:b/>
        </w:rPr>
        <w:t xml:space="preserve"> 61.0%</w:t>
        <w:br/>
      </w:r>
      <w:r>
        <w:t>7) Высокий уровень организации УТЗ: выполнение</w:t>
      </w:r>
      <w:r>
        <w:rPr>
          <w:b/>
        </w:rPr>
        <w:t xml:space="preserve"> 61.9%</w:t>
        <w:br/>
      </w:r>
      <w:r>
        <w:t>8)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64.1%</w:t>
        <w:br/>
      </w:r>
      <w:r>
        <w:t>9)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69.7%</w:t>
        <w:br/>
      </w:r>
      <w:r>
        <w:t>10) Отсутствует годовой план: выполнение</w:t>
      </w:r>
      <w:r>
        <w:rPr>
          <w:b/>
        </w:rPr>
        <w:t xml:space="preserve"> 75.5%</w:t>
        <w:br/>
      </w:r>
      <w:r>
        <w:t>11) Игра составляет 15% общего времени и больше: выполнение</w:t>
      </w:r>
      <w:r>
        <w:rPr>
          <w:b/>
        </w:rPr>
        <w:t xml:space="preserve"> 75.9%</w:t>
        <w:br/>
      </w:r>
      <w:r>
        <w:t>12) Нет плана на месяц: выполнение</w:t>
      </w:r>
      <w:r>
        <w:rPr>
          <w:b/>
        </w:rPr>
        <w:t xml:space="preserve"> 77.1%</w:t>
        <w:br/>
      </w:r>
      <w:r>
        <w:t>13) Применение необходимого инвентаря: выполнение</w:t>
      </w:r>
      <w:r>
        <w:rPr>
          <w:b/>
        </w:rPr>
        <w:t xml:space="preserve"> 79.6%</w:t>
        <w:br/>
      </w:r>
      <w:r>
        <w:t>14) Рациональное использование времени тренировки: выполнение</w:t>
      </w:r>
      <w:r>
        <w:rPr>
          <w:b/>
        </w:rPr>
        <w:t xml:space="preserve"> 82.4%</w:t>
        <w:br/>
      </w:r>
      <w:r>
        <w:t>15)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87.0%</w:t>
        <w:br/>
      </w:r>
      <w:r>
        <w:t>16)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88.2%</w:t>
        <w:br/>
      </w:r>
      <w:r>
        <w:t>17) Высокий эмоциональный фон: выполнение</w:t>
      </w:r>
      <w:r>
        <w:rPr>
          <w:b/>
        </w:rPr>
        <w:t xml:space="preserve"> 90.7%</w:t>
        <w:br/>
      </w:r>
      <w:r>
        <w:t>18) Прописаны 3 задачи занятия: выполнение</w:t>
      </w:r>
      <w:r>
        <w:rPr>
          <w:b/>
        </w:rPr>
        <w:t xml:space="preserve"> 91.0%</w:t>
        <w:br/>
      </w:r>
      <w:r>
        <w:t>19) Все запланированные задачи занятия решены: выполнение</w:t>
      </w:r>
      <w:r>
        <w:rPr>
          <w:b/>
        </w:rPr>
        <w:t xml:space="preserve"> 92.6%</w:t>
        <w:br/>
      </w:r>
      <w:r>
        <w:t>20) Присутствует основная подготовительная и заключительная части занятия: выполнение</w:t>
      </w:r>
      <w:r>
        <w:rPr>
          <w:b/>
        </w:rPr>
        <w:t xml:space="preserve"> 94.1%</w:t>
        <w:br/>
      </w:r>
      <w:r>
        <w:t>21) Прописано общее время работы в упражнении: выполнение</w:t>
      </w:r>
      <w:r>
        <w:rPr>
          <w:b/>
        </w:rPr>
        <w:t xml:space="preserve"> 95.7%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96.6%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97.8%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99.4%</w:t>
        <w:br/>
      </w:r>
    </w:p>
    <w:p>
      <w:r>
        <w:rPr>
          <w:b/>
          <w:sz w:val="32"/>
        </w:rPr>
        <w:t>Климовец Дмитрий Игоревич</w:t>
        <w:br/>
      </w:r>
      <w:r>
        <w:rPr>
          <w:sz w:val="28"/>
        </w:rPr>
        <w:t>В этом месяце просмотренно 61 тренеровки, получил средний балл 60.79. В этом месяце данный тренер занял 142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4.9%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9.8%</w:t>
        <w:br/>
      </w:r>
    </w:p>
    <w:p>
      <w:r>
        <w:rPr>
          <w:b/>
          <w:sz w:val="32"/>
        </w:rPr>
        <w:t>Селивоник Вадим Сергеевич</w:t>
        <w:br/>
      </w:r>
      <w:r>
        <w:rPr>
          <w:sz w:val="28"/>
        </w:rPr>
        <w:t>В этом месяце просмотренно 97 тренеровки, получил средний балл 64.45. В этом месяце данный тренер занял 135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6.2%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6.2%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13.4%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2 тренеровки, получил средний балл 64.0.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Завадский Артур Николаевич</w:t>
        <w:br/>
      </w:r>
      <w:r>
        <w:rPr>
          <w:sz w:val="28"/>
        </w:rPr>
        <w:t>В этом месяце просмотренно 23 тренеровки, получил средний балл 72.46. В этом месяце данный тренер занял 157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Гук Валентин Сергеевич</w:t>
        <w:br/>
      </w:r>
      <w:r>
        <w:rPr>
          <w:sz w:val="28"/>
        </w:rPr>
        <w:t>В этом месяце просмотренно 70 тренеровки, получил средний балл 82.25. В этом месяце данный тренер занял 63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1.4%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1.4%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2.9%</w:t>
        <w:br/>
      </w:r>
    </w:p>
    <w:p>
      <w:r>
        <w:rPr>
          <w:b/>
          <w:sz w:val="32"/>
        </w:rPr>
        <w:t>Занько Сергей Леонидович</w:t>
        <w:br/>
      </w:r>
      <w:r>
        <w:rPr>
          <w:sz w:val="28"/>
        </w:rPr>
        <w:t>В этом месяце просмотренно 2 тренеровки, получил средний балл 87.25. В этом месяце данный тренер занял 39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Бараношник Дмитрий Александрович</w:t>
        <w:br/>
      </w:r>
      <w:r>
        <w:rPr>
          <w:sz w:val="28"/>
        </w:rPr>
        <w:t>В этом месяце просмотренно 29 тренеровки, получил средний балл 92.79. В этом месяце данный тренер занял 15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3.4%</w:t>
        <w:br/>
      </w:r>
    </w:p>
    <w:p>
      <w:r>
        <w:rPr>
          <w:b/>
          <w:sz w:val="32"/>
        </w:rPr>
        <w:t>Берчук Кирилл Николаевич</w:t>
        <w:br/>
      </w:r>
      <w:r>
        <w:rPr>
          <w:sz w:val="28"/>
        </w:rPr>
        <w:t>В этом месяце просмотренно 17 тренеровки, получил средний балл 53.74. В этом месяце данный тренер занял 149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5.9%</w:t>
        <w:br/>
      </w:r>
    </w:p>
    <w:p>
      <w:r>
        <w:rPr>
          <w:b/>
          <w:sz w:val="32"/>
        </w:rPr>
        <w:t>Логвинюк Николай Владимирович</w:t>
        <w:br/>
      </w:r>
      <w:r>
        <w:rPr>
          <w:sz w:val="28"/>
        </w:rPr>
        <w:t>В этом месяце просмотренно 22 тренеровки, получил средний балл 83.43. В этом месяце данный тренер занял 57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4.5%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