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«ДЮСШ по хоккею и фигурному катанию ГУФКиС «ХК г.Барановичи»</w:t>
      </w:r>
    </w:p>
    <w:p>
      <w:pPr>
        <w:jc w:val="both"/>
      </w:pPr>
      <w:r>
        <w:rPr>
          <w:sz w:val="28"/>
        </w:rPr>
        <w:t>В этом месяце просмотренно 279 тренеровки, средний балл 72.75. В общем рейтенге Школа занимает 15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14) ОСП «СДЮШОР по хоккею с шайбой ГУ «ХК «Могилев»</w:t>
        <w:br/>
      </w:r>
      <w:r>
        <w:rPr>
          <w:b/>
          <w:sz w:val="36"/>
        </w:rPr>
        <w:t>15) ОСП «ДЮСШ по хоккею и фигурному катанию ГУФКиС «ХК г.Барановичи»</w:t>
        <w:br/>
      </w:r>
      <w:r>
        <w:rPr>
          <w:sz w:val="28"/>
        </w:rPr>
        <w:t>16) ГУ «ДЮСШ № 2 г. Пружаны»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3.9%</w:t>
        <w:br/>
      </w:r>
      <w:r>
        <w:t>2) Высокий уровень организации УТЗ: выполнение</w:t>
      </w:r>
      <w:r>
        <w:rPr>
          <w:b/>
        </w:rPr>
        <w:t xml:space="preserve"> 46.2%</w:t>
        <w:br/>
      </w:r>
      <w:r>
        <w:t>3)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47.0%</w:t>
        <w:br/>
      </w:r>
      <w:r>
        <w:t>4)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53.0%</w:t>
        <w:br/>
      </w:r>
      <w:r>
        <w:t>5) Для проведения УТЗ предоставлена достаточная площадь льда: выполнение</w:t>
      </w:r>
      <w:r>
        <w:rPr>
          <w:b/>
        </w:rPr>
        <w:t xml:space="preserve"> 62.0%</w:t>
        <w:br/>
      </w:r>
      <w:r>
        <w:t>6) Применение необходимого инвентаря: выполнение</w:t>
      </w:r>
      <w:r>
        <w:rPr>
          <w:b/>
        </w:rPr>
        <w:t xml:space="preserve"> 64.9%</w:t>
        <w:br/>
      </w:r>
      <w:r>
        <w:t>7)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65.9%</w:t>
        <w:br/>
      </w:r>
      <w:r>
        <w:t>8) На каждые 10 спортсменов 1 тренер и больше: выполнение</w:t>
      </w:r>
      <w:r>
        <w:rPr>
          <w:b/>
        </w:rPr>
        <w:t xml:space="preserve"> 67.7%</w:t>
        <w:br/>
      </w:r>
      <w:r>
        <w:t>9)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76.3%</w:t>
        <w:br/>
      </w:r>
      <w:r>
        <w:t>10) Есть план-конспект на занятие составленный с помощью Google-таблицы: выполнение</w:t>
      </w:r>
      <w:r>
        <w:rPr>
          <w:b/>
        </w:rPr>
        <w:t xml:space="preserve"> 76.7%</w:t>
        <w:br/>
      </w:r>
      <w:r>
        <w:t>11) УТЗ не соответствует плану-конспекту либо отсутствует план-конспект на УТЗ: выполнение</w:t>
      </w:r>
      <w:r>
        <w:rPr>
          <w:b/>
        </w:rPr>
        <w:t xml:space="preserve"> 76.7%</w:t>
        <w:br/>
      </w:r>
      <w:r>
        <w:t>12) Есть недельный микроцикл: выполнение</w:t>
      </w:r>
      <w:r>
        <w:rPr>
          <w:b/>
        </w:rPr>
        <w:t xml:space="preserve"> 82.1%</w:t>
        <w:br/>
      </w:r>
      <w:r>
        <w:t>13) Прописаны 3 задачи занятия: выполнение</w:t>
      </w:r>
      <w:r>
        <w:rPr>
          <w:b/>
        </w:rPr>
        <w:t xml:space="preserve"> 82.1%</w:t>
        <w:br/>
      </w:r>
      <w:r>
        <w:t>14) Прописано общее время работы в упражнении: выполнение</w:t>
      </w:r>
      <w:r>
        <w:rPr>
          <w:b/>
        </w:rPr>
        <w:t xml:space="preserve"> 84.9%</w:t>
        <w:br/>
      </w:r>
      <w:r>
        <w:t>15)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88.2%</w:t>
        <w:br/>
      </w:r>
      <w:r>
        <w:t>16) Все запланированные задачи занятия решены: выполнение</w:t>
      </w:r>
      <w:r>
        <w:rPr>
          <w:b/>
        </w:rPr>
        <w:t xml:space="preserve"> 88.2%</w:t>
        <w:br/>
      </w:r>
      <w:r>
        <w:t>17) Рациональное использование времени тренировки: выполнение</w:t>
      </w:r>
      <w:r>
        <w:rPr>
          <w:b/>
        </w:rPr>
        <w:t xml:space="preserve"> 91.0%</w:t>
        <w:br/>
      </w:r>
      <w:r>
        <w:t>18) Присутствует основная подготовительная и заключительная части занятия: выполнение</w:t>
      </w:r>
      <w:r>
        <w:rPr>
          <w:b/>
        </w:rPr>
        <w:t xml:space="preserve"> 92.8%</w:t>
        <w:br/>
      </w:r>
      <w:r>
        <w:t>19) Нет плана на месяц: выполнение</w:t>
      </w:r>
      <w:r>
        <w:rPr>
          <w:b/>
        </w:rPr>
        <w:t xml:space="preserve"> 93.2%</w:t>
        <w:br/>
      </w:r>
      <w:r>
        <w:t>20) Высокий эмоциональный фон: выполнение</w:t>
      </w:r>
      <w:r>
        <w:rPr>
          <w:b/>
        </w:rPr>
        <w:t xml:space="preserve"> 93.9%</w:t>
        <w:br/>
      </w:r>
      <w:r>
        <w:t>21) Игра составляет 15% общего времени и больше: выполнение</w:t>
      </w:r>
      <w:r>
        <w:rPr>
          <w:b/>
        </w:rPr>
        <w:t xml:space="preserve"> 94.3%</w:t>
        <w:br/>
      </w:r>
      <w:r>
        <w:t>22) Отсутствует годовой план: выполнение</w:t>
      </w:r>
      <w:r>
        <w:rPr>
          <w:b/>
        </w:rPr>
        <w:t xml:space="preserve"> 96.8%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97.5%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98.9%</w:t>
        <w:br/>
      </w:r>
    </w:p>
    <w:p>
      <w:r>
        <w:rPr>
          <w:b/>
          <w:sz w:val="32"/>
        </w:rPr>
        <w:t>Рыков Никита Викторович</w:t>
        <w:br/>
      </w:r>
      <w:r>
        <w:rPr>
          <w:sz w:val="28"/>
        </w:rPr>
        <w:t>В этом месяце просмотренно 166 тренеровки, получил средний балл 74.32. В этом месяце данный тренер занял 160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1.2%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5.4%</w:t>
        <w:br/>
      </w:r>
    </w:p>
    <w:p>
      <w:r>
        <w:rPr>
          <w:b/>
          <w:sz w:val="32"/>
        </w:rPr>
        <w:t>Клюкин Павел Сергеевич</w:t>
        <w:br/>
      </w:r>
      <w:r>
        <w:rPr>
          <w:sz w:val="28"/>
        </w:rPr>
        <w:t>В этом месяце просмотренно 6 тренеровки, получил средний балл 53.17. В этом месяце данный тренер занял 64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Старовойтов Антон Сергеевич</w:t>
        <w:br/>
      </w:r>
      <w:r>
        <w:rPr>
          <w:sz w:val="28"/>
        </w:rPr>
        <w:t>В этом месяце просмотренно 15 тренеровки, получил средний балл 46.47. В этом месяце данный тренер занял 78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Прописаны 3 задачи занятия: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13.3%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13.3%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13.3%</w:t>
        <w:br/>
      </w:r>
    </w:p>
    <w:p>
      <w:r>
        <w:rPr>
          <w:b/>
          <w:sz w:val="32"/>
        </w:rPr>
        <w:t>Рымша Александр Станиславович</w:t>
        <w:br/>
      </w:r>
      <w:r>
        <w:rPr>
          <w:sz w:val="28"/>
        </w:rPr>
        <w:t>В этом месяце просмотренно 17 тренеровки, получил средний балл 77.62. В этом месяце данный тренер занял 80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5.9%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5.9%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11.8%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11.8%</w:t>
        <w:br/>
      </w:r>
    </w:p>
    <w:p>
      <w:r>
        <w:rPr>
          <w:b/>
          <w:sz w:val="32"/>
        </w:rPr>
        <w:t>Бернат Степан Андреевич</w:t>
        <w:br/>
      </w:r>
      <w:r>
        <w:rPr>
          <w:sz w:val="28"/>
        </w:rPr>
        <w:t>В этом месяце просмотренно 16 тренеровки, получил средний балл 62.56. В этом месяце данный тренер занял 141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12.5%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12.5%</w:t>
        <w:br/>
      </w:r>
    </w:p>
    <w:p>
      <w:r>
        <w:rPr>
          <w:b/>
          <w:sz w:val="32"/>
        </w:rPr>
        <w:t>Бахур Максим Сергеевич</w:t>
        <w:br/>
      </w:r>
      <w:r>
        <w:rPr>
          <w:sz w:val="28"/>
        </w:rPr>
        <w:t>В этом месяце просмотренно 18 тренеровки, получил средний балл 72.25. В этом месяце данный тренер занял 103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Кирпичев Валерий Алексеевич</w:t>
        <w:br/>
      </w:r>
      <w:r>
        <w:rPr>
          <w:sz w:val="28"/>
        </w:rPr>
        <w:t>В этом месяце просмотренно 31 тренеровки, получил средний балл 82.52. В этом месяце данный тренер занял 61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Канищев Вадим Юрьевич</w:t>
        <w:br/>
      </w:r>
      <w:r>
        <w:rPr>
          <w:sz w:val="28"/>
        </w:rPr>
        <w:t>В этом месяце просмотренно 10 тренеровки, получил средний балл 76.4. В этом месяце данный тренер занял 85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10.0%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