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378407930</wp:posOffset>
                </wp:positionV>
                <wp:extent cx="6090920" cy="4445"/>
                <wp:effectExtent l="0" t="0" r="0" b="0"/>
                <wp:wrapTopAndBottom/>
                <wp:docPr id="1" name="Image1"/>
                <a:graphic xmlns:a="http://schemas.openxmlformats.org/drawingml/2006/main">
                  <a:graphicData uri="http://schemas.microsoft.com/office/word/2010/wordprocessingShape">
                    <wps:wsp>
                      <wps:cNvSpPr/>
                      <wps:spPr>
                        <a:xfrm>
                          <a:off x="0" y="0"/>
                          <a:ext cx="609012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85pt" to="3140.35pt,29795.9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389279765</wp:posOffset>
                </wp:positionV>
                <wp:extent cx="6090920" cy="4445"/>
                <wp:effectExtent l="0" t="0" r="0" b="0"/>
                <wp:wrapTopAndBottom/>
                <wp:docPr id="2" name="Image2"/>
                <a:graphic xmlns:a="http://schemas.openxmlformats.org/drawingml/2006/main">
                  <a:graphicData uri="http://schemas.microsoft.com/office/word/2010/wordprocessingShape">
                    <wps:wsp>
                      <wps:cNvSpPr/>
                      <wps:spPr>
                        <a:xfrm>
                          <a:off x="0" y="0"/>
                          <a:ext cx="6090120" cy="144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9pt" to="3140.35pt,30651.9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2"/>
      </w:r>
      <w:r>
        <w:rPr>
          <w:color w:val="CE181E"/>
          <w:sz w:val="22"/>
          <w:szCs w:val="22"/>
          <w:lang w:val="fr-FR"/>
        </w:rPr>
        <w:t>, que ce soit via un smartphone ou un ordinateur, fixe ou portable.</w:t>
      </w:r>
    </w:p>
    <w:p>
      <w:pPr>
        <w:pStyle w:val="TextBody"/>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3"/>
      </w:r>
      <w:r>
        <w:rPr>
          <w:color w:val="CE181E"/>
          <w:sz w:val="22"/>
          <w:szCs w:val="22"/>
          <w:lang w:val="fr-FR"/>
        </w:rPr>
        <w:t xml:space="preserve">. </w:t>
      </w:r>
    </w:p>
    <w:p>
      <w:pPr>
        <w:pStyle w:val="Heading2"/>
        <w:numPr>
          <w:ilvl w:val="1"/>
          <w:numId w:val="2"/>
        </w:numPr>
        <w:ind w:left="408" w:right="0" w:hanging="68"/>
        <w:rPr/>
      </w:pPr>
      <w:r>
        <w:rPr/>
        <w:t>La donnée de signalements brute</w:t>
      </w:r>
    </w:p>
    <w:p>
      <w:pPr>
        <w:pStyle w:val="TextBody"/>
        <w:rPr>
          <w:u w:val="none"/>
        </w:rPr>
      </w:pPr>
      <w:r>
        <w:rPr>
          <w:color w:val="CE181E"/>
          <w:sz w:val="22"/>
          <w:szCs w:val="22"/>
          <w:u w:val="none"/>
          <w:lang w:val="fr-FR"/>
        </w:rPr>
        <w:t>Le jeu de donnée brut issue des collectes du projet CiTIQUE comportait un nombre de signalements concernant humains et animaux. Ces signalements s’étalent dans une fourchette temporelle allant du 17 janvier 2017 au 04 avril 2020. Les ‘‘saisons’’ de collecte, quant à elles, sont simplifiées selon les trois années principales d’activité, soit : 2017, 2018, 2019. L’analyse directe en partant de la donnée brut s’est avéré impossible. Les formulaires de collecte ayant choisi des séparateurs de donnée ambigus, ainsi que des champs libres où ces séparateurs mêmes, ayant une valeur sémantique</w:t>
      </w:r>
      <w:r>
        <w:rPr>
          <w:rStyle w:val="FootnoteAnchor"/>
          <w:rStyle w:val="FootnoteAnchor"/>
          <w:color w:val="CE181E"/>
          <w:sz w:val="22"/>
          <w:szCs w:val="22"/>
          <w:u w:val="none"/>
          <w:lang w:val="fr-FR"/>
        </w:rPr>
        <w:footnoteReference w:id="14"/>
      </w:r>
      <w:r>
        <w:rPr>
          <w:color w:val="CE181E"/>
          <w:sz w:val="22"/>
          <w:szCs w:val="22"/>
          <w:u w:val="none"/>
          <w:lang w:val="fr-FR"/>
        </w:rPr>
        <w:t xml:space="preserve"> interprétée, sont permis, rendait ce traitement directe impossible et compromettaient la structure de la donnée. Une phase de pré-traitement et de nettoyage fut indispensable avant de qualifier les signalements géographiquement et météorologiquement. Un géo-codage inverse</w:t>
      </w:r>
      <w:r>
        <w:rPr>
          <w:rStyle w:val="FootnoteAnchor"/>
          <w:rStyle w:val="FootnoteAnchor"/>
          <w:color w:val="CE181E"/>
          <w:sz w:val="22"/>
          <w:szCs w:val="22"/>
          <w:u w:val="none"/>
          <w:lang w:val="fr-FR"/>
        </w:rPr>
        <w:footnoteReference w:id="15"/>
      </w:r>
      <w:r>
        <w:rPr>
          <w:color w:val="CE181E"/>
          <w:sz w:val="22"/>
          <w:szCs w:val="22"/>
          <w:u w:val="none"/>
          <w:lang w:val="fr-FR"/>
        </w:rPr>
        <w:t xml:space="preserve"> a permis de déterminer les localités administratives exactes de chaque lieu de morsure. Les serveurs de géocodage publiques étant sujet à des quotas d’utilisation, il fut nécessaire de compiler un serveur local de géocodage sur une machine sous le système d’exploitation GNU/Linux. Une informatisation de ces processus grâce au langages Python</w:t>
      </w:r>
      <w:r>
        <w:rPr>
          <w:rStyle w:val="FootnoteAnchor"/>
          <w:rStyle w:val="FootnoteAnchor"/>
          <w:color w:val="CE181E"/>
          <w:sz w:val="22"/>
          <w:szCs w:val="22"/>
          <w:u w:val="none"/>
          <w:lang w:val="fr-FR"/>
        </w:rPr>
        <w:footnoteReference w:id="16"/>
      </w:r>
      <w:r>
        <w:rPr>
          <w:color w:val="CE181E"/>
          <w:sz w:val="22"/>
          <w:szCs w:val="22"/>
          <w:u w:val="none"/>
          <w:lang w:val="fr-FR"/>
        </w:rPr>
        <w:t xml:space="preserve"> et SQL</w:t>
      </w:r>
      <w:r>
        <w:rPr>
          <w:rStyle w:val="FootnoteAnchor"/>
          <w:rStyle w:val="FootnoteAnchor"/>
          <w:color w:val="CE181E"/>
          <w:sz w:val="22"/>
          <w:szCs w:val="22"/>
          <w:u w:val="none"/>
          <w:lang w:val="fr-FR"/>
        </w:rPr>
        <w:footnoteReference w:id="17"/>
      </w:r>
      <w:r>
        <w:rPr>
          <w:color w:val="CE181E"/>
          <w:sz w:val="22"/>
          <w:szCs w:val="22"/>
          <w:u w:val="none"/>
          <w:lang w:val="fr-FR"/>
        </w:rPr>
        <w:t xml:space="preserve"> a permis d’effectuer ces tâche avec précision en tenant compte des irrégularités textuelles de la donnée brute.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 dans un dépôt à contrôle versionné ou Git</w:t>
      </w:r>
      <w:r>
        <w:rPr>
          <w:rStyle w:val="FootnoteAnchor"/>
          <w:rStyle w:val="FootnoteAnchor"/>
          <w:color w:val="CE181E"/>
          <w:sz w:val="22"/>
          <w:szCs w:val="22"/>
          <w:u w:val="none"/>
          <w:lang w:val="fr-FR"/>
        </w:rPr>
        <w:footnoteReference w:id="18"/>
      </w:r>
      <w:r>
        <w:rPr>
          <w:color w:val="CE181E"/>
          <w:sz w:val="22"/>
          <w:szCs w:val="22"/>
          <w:u w:val="none"/>
          <w:lang w:val="fr-FR"/>
        </w:rPr>
        <w:t>. Le tableau suivant présente le nombre de signalements brut, pré-traités et nettoyé puis finales et qualifié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376"/>
        <w:gridCol w:w="1377"/>
        <w:gridCol w:w="1377"/>
        <w:gridCol w:w="1377"/>
        <w:gridCol w:w="1"/>
        <w:gridCol w:w="1377"/>
        <w:gridCol w:w="1377"/>
        <w:gridCol w:w="1375"/>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30"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Style w:val="FootnoteAnchor"/>
              </w:rPr>
              <w:footnoteReference w:id="19"/>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7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3 586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3 271</w:t>
            </w:r>
          </w:p>
        </w:tc>
        <w:tc>
          <w:tcPr>
            <w:tcW w:w="137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2 979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1 920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991</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8 636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7 546</w:t>
            </w:r>
          </w:p>
        </w:tc>
        <w:tc>
          <w:tcPr>
            <w:tcW w:w="137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6 412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2 376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2 052</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1 914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5 516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5 277</w:t>
            </w:r>
          </w:p>
        </w:tc>
        <w:tc>
          <w:tcPr>
            <w:tcW w:w="137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5 266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2 096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2 070</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2 060</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16 094</w:t>
            </w:r>
          </w:p>
        </w:tc>
        <w:tc>
          <w:tcPr>
            <w:tcW w:w="1378" w:type="dxa"/>
            <w:gridSpan w:val="2"/>
            <w:tcBorders>
              <w:top w:val="single" w:sz="2" w:space="0" w:color="000000"/>
              <w:left w:val="single" w:sz="2" w:space="0" w:color="000000"/>
              <w:bottom w:val="single" w:sz="2" w:space="0" w:color="000000"/>
              <w:insideH w:val="single" w:sz="2" w:space="0" w:color="000000"/>
            </w:tcBorders>
            <w:shd w:fill="ADC5E7" w:val="clear"/>
          </w:tcPr>
          <w:p>
            <w:pPr>
              <w:pStyle w:val="TableContents"/>
              <w:rPr/>
            </w:pPr>
            <w:r>
              <w:rPr>
                <w:b/>
                <w:bCs/>
              </w:rPr>
              <w:t>14 657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5 762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5 113</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pPr>
            <w:r>
              <w:rPr>
                <w:b/>
                <w:bCs/>
              </w:rPr>
              <w:t>4 926</w:t>
            </w:r>
          </w:p>
        </w:tc>
      </w:tr>
    </w:tbl>
    <w:p>
      <w:pPr>
        <w:pStyle w:val="TextBody"/>
        <w:rPr>
          <w:color w:val="CE181E"/>
          <w:sz w:val="22"/>
          <w:szCs w:val="22"/>
          <w:lang w:val="fr-FR"/>
        </w:rPr>
      </w:pPr>
      <w:r>
        <w:rPr>
          <w:color w:val="CE181E"/>
          <w:sz w:val="22"/>
          <w:szCs w:val="22"/>
          <w:lang w:val="fr-FR"/>
        </w:rPr>
      </w:r>
    </w:p>
    <w:p>
      <w:pPr>
        <w:pStyle w:val="TextBody"/>
        <w:rPr/>
      </w:pPr>
      <w:r>
        <w:rPr>
          <w:color w:val="CE181E"/>
          <w:sz w:val="22"/>
          <w:szCs w:val="22"/>
          <w:u w:val="none"/>
          <w:lang w:val="fr-FR"/>
        </w:rPr>
        <w:t>Une fois la donnée géolocalisée, qualifiée et nettoyée, elle est stockée dans une base de donnée relationnelle de type Postgresql augmentée de l’extension spatiale Postgis</w:t>
      </w:r>
      <w:r>
        <w:rPr>
          <w:rStyle w:val="FootnoteAnchor"/>
          <w:rStyle w:val="FootnoteAnchor"/>
          <w:color w:val="CE181E"/>
          <w:sz w:val="22"/>
          <w:szCs w:val="22"/>
          <w:u w:val="none"/>
          <w:lang w:val="fr-FR"/>
        </w:rPr>
        <w:footnoteReference w:id="20"/>
      </w:r>
      <w:r>
        <w:rPr>
          <w:color w:val="CE181E"/>
          <w:sz w:val="22"/>
          <w:szCs w:val="22"/>
          <w:u w:val="none"/>
          <w:lang w:val="fr-FR"/>
        </w:rPr>
        <w:t xml:space="preserve">. La qualification par la météo se fait </w:t>
      </w:r>
      <w:r>
        <w:rPr>
          <w:color w:val="CE181E"/>
          <w:sz w:val="22"/>
          <w:szCs w:val="22"/>
          <w:u w:val="none"/>
          <w:lang w:val="fr-FR"/>
        </w:rPr>
        <w:t>à partir</w:t>
      </w:r>
      <w:r>
        <w:rPr>
          <w:color w:val="CE181E"/>
          <w:sz w:val="22"/>
          <w:szCs w:val="22"/>
          <w:u w:val="none"/>
          <w:lang w:val="fr-FR"/>
        </w:rPr>
        <w:t xml:space="preserve"> de la coordonnée géographique exacte de la morsure ainsi que l</w:t>
      </w:r>
      <w:r>
        <w:rPr>
          <w:color w:val="CE181E"/>
          <w:sz w:val="22"/>
          <w:szCs w:val="22"/>
          <w:u w:val="none"/>
          <w:lang w:val="fr-FR"/>
        </w:rPr>
        <w:t xml:space="preserve">a date </w:t>
      </w:r>
      <w:r>
        <w:rPr>
          <w:color w:val="CE181E"/>
          <w:sz w:val="22"/>
          <w:szCs w:val="22"/>
          <w:u w:val="none"/>
          <w:lang w:val="fr-FR"/>
        </w:rPr>
        <w:t>de signalement. Le silo de donnée météorologique darksky.net offre un ensemble d’outils programmatiques (API)</w:t>
      </w:r>
      <w:r>
        <w:rPr>
          <w:rStyle w:val="FootnoteAnchor"/>
          <w:rStyle w:val="FootnoteAnchor"/>
          <w:color w:val="CE181E"/>
          <w:sz w:val="22"/>
          <w:szCs w:val="22"/>
          <w:u w:val="none"/>
          <w:lang w:val="fr-FR"/>
        </w:rPr>
        <w:footnoteReference w:id="21"/>
      </w:r>
      <w:r>
        <w:rPr>
          <w:color w:val="CE181E"/>
          <w:sz w:val="22"/>
          <w:szCs w:val="22"/>
          <w:u w:val="none"/>
          <w:lang w:val="fr-FR"/>
        </w:rPr>
        <w:t xml:space="preserve"> permettant d’interroger leurs installations sur les conditions météo survenue à une instant ‘‘T’’ dans une localité ‘‘L’’. Le prog</w:t>
      </w:r>
      <w:r>
        <w:rPr>
          <w:color w:val="CE181E"/>
          <w:sz w:val="22"/>
          <w:szCs w:val="22"/>
          <w:u w:val="none"/>
          <w:lang w:val="fr-FR"/>
        </w:rPr>
        <w:t xml:space="preserve">ramme Pycitique </w:t>
      </w:r>
      <w:r>
        <w:rPr>
          <w:rStyle w:val="Intextcitation"/>
          <w:color w:val="CE181E"/>
          <w:u w:val="none"/>
        </w:rPr>
        <w:t>(cf. 17)</w:t>
      </w:r>
      <w:r>
        <w:rPr>
          <w:color w:val="CE181E"/>
          <w:sz w:val="22"/>
          <w:szCs w:val="22"/>
          <w:u w:val="none"/>
          <w:lang w:val="fr-FR"/>
        </w:rPr>
        <w:t xml:space="preserve"> constitue un ensemble d’outils pratiques construits autour de l’engin d’interrogation darksky.net , le serveur de géocodage et la machine permettant le traitement et accueillant la base de donnée. Le déclarant ayant fourni la date de morsure, l’interrogation récupère une valeur journalière interpolée à la localité sur vingt-quatre heures</w:t>
      </w:r>
      <w:r>
        <w:rPr>
          <w:rStyle w:val="FootnoteAnchor"/>
          <w:color w:val="CE181E"/>
          <w:sz w:val="22"/>
          <w:szCs w:val="22"/>
          <w:u w:val="none"/>
          <w:lang w:val="fr-FR"/>
        </w:rPr>
        <w:footnoteReference w:id="22"/>
      </w:r>
      <w:r>
        <w:rPr>
          <w:color w:val="CE181E"/>
          <w:sz w:val="22"/>
          <w:szCs w:val="22"/>
          <w:u w:val="none"/>
          <w:lang w:val="fr-FR"/>
        </w:rPr>
        <w:t xml:space="preserve">. </w:t>
      </w:r>
    </w:p>
    <w:p>
      <w:pPr>
        <w:pStyle w:val="TextBody"/>
        <w:rPr/>
      </w:pPr>
      <w:r>
        <w:rPr>
          <w:color w:val="CE181E"/>
          <w:sz w:val="22"/>
          <w:szCs w:val="22"/>
          <w:u w:val="single"/>
          <w:lang w:val="fr-FR"/>
        </w:rPr>
        <w:t>Faire un topo sur la collecte des données DS.net ou Météo France où description du point d’enregistrement (station standard ou données sat ?)</w:t>
      </w:r>
    </w:p>
    <w:p>
      <w:pPr>
        <w:pStyle w:val="TextBody"/>
        <w:rPr>
          <w:u w:val="single"/>
        </w:rPr>
      </w:pPr>
      <w:r>
        <w:rPr>
          <w:u w:val="single"/>
        </w:rPr>
        <w:t>Choix des paramètres</w:t>
      </w:r>
    </w:p>
    <w:p>
      <w:pPr>
        <w:pStyle w:val="TextBody"/>
        <w:rPr>
          <w:sz w:val="22"/>
          <w:szCs w:val="22"/>
          <w:lang w:val="fr-FR"/>
        </w:rPr>
      </w:pPr>
      <w:r>
        <w:rPr>
          <w:color w:val="CE181E"/>
          <w:sz w:val="22"/>
          <w:szCs w:val="22"/>
          <w:lang w:val="fr-FR"/>
        </w:rPr>
        <w:t>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lang w:val="fr-FR"/>
        </w:rPr>
        <w:footnoteReference w:id="23"/>
      </w:r>
      <w:r>
        <w:rPr>
          <w:color w:val="CE181E"/>
          <w:sz w:val="22"/>
          <w:szCs w:val="22"/>
          <w:lang w:val="fr-FR"/>
        </w:rPr>
        <w:t>.</w:t>
      </w:r>
    </w:p>
    <w:p>
      <w:pPr>
        <w:pStyle w:val="TextBody"/>
        <w:rPr/>
      </w:pPr>
      <w:r>
        <w:rPr>
          <w:color w:val="CE181E"/>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CE181E"/>
          <w:sz w:val="22"/>
          <w:szCs w:val="22"/>
          <w:lang w:val="fr-FR"/>
        </w:rPr>
        <w:t>Ce sont ici les :</w:t>
      </w:r>
    </w:p>
    <w:p>
      <w:pPr>
        <w:pStyle w:val="TextBody"/>
        <w:numPr>
          <w:ilvl w:val="0"/>
          <w:numId w:val="4"/>
        </w:numPr>
        <w:spacing w:lineRule="auto" w:line="240"/>
        <w:rPr>
          <w:sz w:val="22"/>
          <w:szCs w:val="22"/>
          <w:lang w:val="fr-FR"/>
        </w:rPr>
      </w:pPr>
      <w:r>
        <w:rPr>
          <w:color w:val="CE181E"/>
          <w:sz w:val="22"/>
          <w:szCs w:val="22"/>
          <w:lang w:val="fr-FR"/>
        </w:rPr>
        <w:t xml:space="preserve">Variables abiotiques Cat thèse p.175-177 t°, précipitation, humidité, éclairement </w:t>
      </w:r>
      <w:r>
        <w:rPr>
          <w:rStyle w:val="Intextcitation"/>
          <w:color w:val="CE181E"/>
        </w:rPr>
        <w:t>(Cat 2017; Cat et al. 2017)</w:t>
      </w:r>
    </w:p>
    <w:p>
      <w:pPr>
        <w:pStyle w:val="TextBody"/>
        <w:numPr>
          <w:ilvl w:val="0"/>
          <w:numId w:val="4"/>
        </w:numPr>
        <w:spacing w:lineRule="auto" w:line="240"/>
        <w:rPr>
          <w:sz w:val="22"/>
          <w:szCs w:val="22"/>
          <w:lang w:val="fr-FR"/>
        </w:rPr>
      </w:pPr>
      <w:r>
        <w:rPr>
          <w:color w:val="CE181E"/>
          <w:sz w:val="22"/>
          <w:szCs w:val="22"/>
          <w:lang w:val="fr-FR"/>
        </w:rPr>
        <w:t xml:space="preserve">Humidité atmosphérique </w:t>
      </w:r>
      <w:r>
        <w:rPr>
          <w:rStyle w:val="Intextcitation"/>
          <w:color w:val="CE181E"/>
        </w:rPr>
        <w:t>(Paltridge, Arking, and Pook 2009)</w:t>
      </w:r>
    </w:p>
    <w:p>
      <w:pPr>
        <w:pStyle w:val="TextBody"/>
        <w:numPr>
          <w:ilvl w:val="0"/>
          <w:numId w:val="4"/>
        </w:numPr>
        <w:spacing w:lineRule="auto" w:line="240"/>
        <w:rPr>
          <w:sz w:val="22"/>
          <w:szCs w:val="22"/>
          <w:lang w:val="fr-FR"/>
        </w:rPr>
      </w:pPr>
      <w:r>
        <w:rPr>
          <w:color w:val="CE181E"/>
          <w:sz w:val="22"/>
          <w:szCs w:val="22"/>
          <w:lang w:val="fr-FR"/>
        </w:rPr>
        <w:t xml:space="preserve">Climate humidity dans le rapport chercher Willet surface humidity ? </w:t>
      </w:r>
      <w:r>
        <w:rPr>
          <w:rStyle w:val="Intextcitation"/>
          <w:color w:val="CE181E"/>
        </w:rPr>
        <w:t>(Arndt et al. n.d.)</w:t>
      </w:r>
    </w:p>
    <w:p>
      <w:pPr>
        <w:pStyle w:val="TextBody"/>
        <w:numPr>
          <w:ilvl w:val="0"/>
          <w:numId w:val="4"/>
        </w:numPr>
        <w:spacing w:lineRule="auto" w:line="240"/>
        <w:rPr/>
      </w:pPr>
      <w:r>
        <w:rPr>
          <w:color w:val="CE181E"/>
          <w:sz w:val="22"/>
          <w:szCs w:val="22"/>
          <w:lang w:val="fr-FR"/>
        </w:rPr>
        <w:t xml:space="preserve">Effet des températures et hausse des températures </w:t>
      </w:r>
      <w:r>
        <w:rPr>
          <w:rStyle w:val="Intextcitation"/>
          <w:color w:val="CE181E"/>
        </w:rPr>
        <w:t>(Greenfield 2011)</w:t>
      </w:r>
    </w:p>
    <w:p>
      <w:pPr>
        <w:pStyle w:val="TextBody"/>
        <w:numPr>
          <w:ilvl w:val="0"/>
          <w:numId w:val="4"/>
        </w:numPr>
        <w:spacing w:lineRule="auto" w:line="240"/>
        <w:rPr/>
      </w:pPr>
      <w:r>
        <w:rPr>
          <w:color w:val="CE181E"/>
          <w:sz w:val="22"/>
          <w:szCs w:val="22"/>
          <w:lang w:val="fr-FR"/>
        </w:rPr>
        <w:t xml:space="preserve">Climatic data et le fameux saturation deficit (SD) </w:t>
      </w:r>
      <w:r>
        <w:rPr>
          <w:rStyle w:val="Intextcitation"/>
          <w:color w:val="CE181E"/>
        </w:rPr>
        <w:t>(Hauser et al. 2018)</w:t>
      </w:r>
    </w:p>
    <w:p>
      <w:pPr>
        <w:pStyle w:val="TextBody"/>
        <w:numPr>
          <w:ilvl w:val="0"/>
          <w:numId w:val="4"/>
        </w:numPr>
        <w:spacing w:lineRule="auto" w:line="240"/>
        <w:rPr>
          <w:sz w:val="22"/>
          <w:szCs w:val="22"/>
          <w:lang w:val="fr-FR"/>
        </w:rPr>
      </w:pPr>
      <w:r>
        <w:rPr>
          <w:color w:val="CE181E"/>
          <w:sz w:val="22"/>
          <w:szCs w:val="22"/>
          <w:lang w:val="fr-FR"/>
        </w:rPr>
        <w:t>Using volunteered observations to map human exposure to ticks (collecte de piqûres a posteriori)(Garcia-Marti et al. 2018)</w:t>
      </w:r>
    </w:p>
    <w:p>
      <w:pPr>
        <w:pStyle w:val="TextBody"/>
        <w:rPr/>
      </w:pPr>
      <w:r>
        <w:rPr/>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sz w:val="22"/>
          <w:szCs w:val="22"/>
          <w:lang w:val="fr-FR"/>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24"/>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Précipitations</w:t>
      </w:r>
    </w:p>
    <w:p>
      <w:pPr>
        <w:pStyle w:val="TextBody"/>
        <w:rPr>
          <w:sz w:val="22"/>
          <w:szCs w:val="22"/>
          <w:lang w:val="fr-FR"/>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6</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3">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4">
    <w:p>
      <w:pPr>
        <w:pStyle w:val="Footnote"/>
        <w:rPr/>
      </w:pPr>
      <w:r>
        <w:rPr>
          <w:rStyle w:val="FootnoteCharacters"/>
        </w:rPr>
        <w:footnoteRef/>
      </w:r>
      <w:r>
        <w:rPr>
          <w:rStyle w:val="FootnoteCharacters"/>
        </w:rPr>
        <w:tab/>
      </w:r>
      <w:r>
        <w:rPr/>
        <w:t>Toute expression interprétée comme ayant une valeur algorithmique et non pas simplement textuelle.</w:t>
      </w:r>
    </w:p>
  </w:footnote>
  <w:footnote w:id="15">
    <w:p>
      <w:pPr>
        <w:pStyle w:val="Footnote"/>
        <w:rPr/>
      </w:pPr>
      <w:r>
        <w:rPr>
          <w:rStyle w:val="FootnoteCharacters"/>
        </w:rPr>
        <w:footnoteRef/>
      </w:r>
      <w:r>
        <w:rPr>
          <w:rStyle w:val="FootnoteCharacters"/>
        </w:rPr>
        <w:tab/>
      </w:r>
      <w:r>
        <w:rPr/>
        <w:t>Attribution d’un contexte spatiale exacte à partir d’une paire de coordonnées géographiques.</w:t>
      </w:r>
    </w:p>
  </w:footnote>
  <w:footnote w:id="16">
    <w:p>
      <w:pPr>
        <w:pStyle w:val="Footnote"/>
        <w:rPr/>
      </w:pPr>
      <w:r>
        <w:rPr>
          <w:rStyle w:val="FootnoteCharacters"/>
        </w:rPr>
        <w:footnoteRef/>
      </w:r>
      <w:r>
        <w:rPr>
          <w:rStyle w:val="FootnoteCharacters"/>
        </w:rPr>
        <w:tab/>
      </w:r>
      <w:r>
        <w:rPr/>
        <w:t>python.org</w:t>
      </w:r>
    </w:p>
  </w:footnote>
  <w:footnote w:id="17">
    <w:p>
      <w:pPr>
        <w:pStyle w:val="Footnote"/>
        <w:rPr/>
      </w:pPr>
      <w:r>
        <w:rPr>
          <w:rStyle w:val="FootnoteCharacters"/>
        </w:rPr>
        <w:footnoteRef/>
      </w:r>
      <w:r>
        <w:rPr>
          <w:rStyle w:val="FootnoteCharacters"/>
        </w:rPr>
        <w:tab/>
      </w:r>
      <w:r>
        <w:rPr/>
        <w:t>postgresql.org</w:t>
      </w:r>
    </w:p>
  </w:footnote>
  <w:footnote w:id="18">
    <w:p>
      <w:pPr>
        <w:pStyle w:val="Footnote"/>
        <w:rPr/>
      </w:pPr>
      <w:r>
        <w:rPr>
          <w:rStyle w:val="FootnoteCharacters"/>
        </w:rPr>
        <w:footnoteRef/>
      </w:r>
      <w:r>
        <w:rPr>
          <w:rStyle w:val="FootnoteCharacters"/>
        </w:rPr>
        <w:tab/>
      </w:r>
      <w:r>
        <w:rPr/>
        <w:t>https://github.com/spicysardine/pycitique</w:t>
      </w:r>
    </w:p>
  </w:footnote>
  <w:footnote w:id="19">
    <w:p>
      <w:pPr>
        <w:pStyle w:val="Footnote"/>
        <w:rPr/>
      </w:pPr>
      <w:r>
        <w:rPr>
          <w:rStyle w:val="FootnoteCharacters"/>
        </w:rPr>
        <w:footnoteRef/>
      </w:r>
      <w:r>
        <w:rPr>
          <w:rStyle w:val="FootnoteCharacters"/>
        </w:rPr>
        <w:tab/>
      </w:r>
      <w:r>
        <w:rPr/>
        <w:t>PT=pré-traitement. T=nettoyage. NET=nettoyé</w:t>
      </w:r>
    </w:p>
  </w:footnote>
  <w:footnote w:id="20">
    <w:p>
      <w:pPr>
        <w:pStyle w:val="Footnote"/>
        <w:rPr/>
      </w:pPr>
      <w:r>
        <w:rPr>
          <w:rStyle w:val="FootnoteCharacters"/>
        </w:rPr>
        <w:footnoteRef/>
      </w:r>
      <w:r>
        <w:rPr>
          <w:rStyle w:val="FootnoteCharacters"/>
        </w:rPr>
        <w:tab/>
      </w:r>
      <w:r>
        <w:rPr/>
        <w:t>postgis.net</w:t>
      </w:r>
    </w:p>
  </w:footnote>
  <w:footnote w:id="21">
    <w:p>
      <w:pPr>
        <w:pStyle w:val="Footnote"/>
        <w:rPr/>
      </w:pPr>
      <w:r>
        <w:rPr>
          <w:rStyle w:val="FootnoteCharacters"/>
        </w:rPr>
        <w:footnoteRef/>
      </w:r>
      <w:r>
        <w:rPr>
          <w:rStyle w:val="FootnoteCharacters"/>
        </w:rPr>
        <w:tab/>
      </w:r>
      <w:r>
        <w:rPr/>
        <w:t>Application Programming Interface</w:t>
      </w:r>
    </w:p>
  </w:footnote>
  <w:footnote w:id="22">
    <w:p>
      <w:pPr>
        <w:pStyle w:val="Footnote"/>
        <w:rPr/>
      </w:pPr>
      <w:r>
        <w:rPr>
          <w:rStyle w:val="FootnoteCharacters"/>
        </w:rPr>
        <w:footnoteRef/>
      </w:r>
      <w:r>
        <w:rPr/>
        <w:tab/>
        <w:t>https://darksky.net/dev/docs#time-machine-request</w:t>
      </w:r>
    </w:p>
  </w:footnote>
  <w:footnote w:id="23">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4">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878_2248565901"/>
    <w:r>
      <w:rPr/>
    </w:r>
    <w:r>
      <w:rPr/>
    </w:r>
    <w:r>
      <w:rPr/>
      <w:fldChar w:fldCharType="end"/>
    </w:r>
    <w:r>
      <w:fldChar w:fldCharType="begin"/>
    </w:r>
    <w:r>
      <w:rPr/>
      <w:instrText>STYLEREF  1 \* MERGEFORMAT</w:instrText>
    </w:r>
    <w:r>
      <w:rPr/>
      <w:fldChar w:fldCharType="separate"/>
    </w:r>
    <w:bookmarkStart w:id="1" w:name="__Fieldmark__360_2248565901"/>
    <w:bookmarkStart w:id="2" w:name="__Fieldmark__881_2248565901"/>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tru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6"/>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tru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tru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tru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tru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1303</TotalTime>
  <Application>LibreOffice/6.0.7.3$Linux_X86_64 LibreOffice_project/00m0$Build-3</Application>
  <Pages>6</Pages>
  <Words>3533</Words>
  <Characters>20182</Characters>
  <CharactersWithSpaces>23575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2021-01-13T01:07:11Z</dcterms:modified>
  <cp:revision>58</cp:revision>
  <dc:subject/>
  <dc:title>memoir-III</dc:title>
</cp:coreProperties>
</file>