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378404120</wp:posOffset>
                </wp:positionV>
                <wp:extent cx="6088380" cy="1905"/>
                <wp:effectExtent l="0" t="0" r="0" b="0"/>
                <wp:wrapTopAndBottom/>
                <wp:docPr id="1" name="Image1"/>
                <a:graphic xmlns:a="http://schemas.openxmlformats.org/drawingml/2006/main">
                  <a:graphicData uri="http://schemas.microsoft.com/office/word/2010/wordprocessingShape">
                    <wps:wsp>
                      <wps:cNvSpPr/>
                      <wps:spPr>
                        <a:xfrm>
                          <a:off x="0" y="0"/>
                          <a:ext cx="608760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6pt" to="3140.15pt,29795.6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389275955</wp:posOffset>
                </wp:positionV>
                <wp:extent cx="6088380" cy="1905"/>
                <wp:effectExtent l="0" t="0" r="0" b="0"/>
                <wp:wrapTopAndBottom/>
                <wp:docPr id="2" name="Image2"/>
                <a:graphic xmlns:a="http://schemas.openxmlformats.org/drawingml/2006/main">
                  <a:graphicData uri="http://schemas.microsoft.com/office/word/2010/wordprocessingShape">
                    <wps:wsp>
                      <wps:cNvSpPr/>
                      <wps:spPr>
                        <a:xfrm>
                          <a:off x="0" y="0"/>
                          <a:ext cx="608760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65pt" to="3140.15pt,30651.6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sur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2"/>
        </w:numPr>
        <w:ind w:left="432" w:right="0" w:hanging="432"/>
        <w:rPr/>
      </w:pPr>
      <w:r>
        <w:rPr/>
        <w:t>Arrière-plan</w:t>
      </w:r>
    </w:p>
    <w:p>
      <w:pPr>
        <w:pStyle w:val="Heading2"/>
        <w:numPr>
          <w:ilvl w:val="1"/>
          <w:numId w:val="2"/>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sz w:val="22"/>
          <w:szCs w:val="22"/>
          <w:lang w:val="fr-FR"/>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sz w:val="22"/>
          <w:szCs w:val="22"/>
          <w:lang w:val="fr-FR"/>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 à risque » que les forêts périurbaines (en nombre de morsures constatées par exemple), et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 porté à connaissance » à partir de signaux météorologiques avant-coureurs concernant les espaces les plus favorables à l’interaction tiques-humains, ceux où se produisent les morsures.</w:t>
      </w:r>
    </w:p>
    <w:p>
      <w:pPr>
        <w:pStyle w:val="TextBody"/>
        <w:rPr>
          <w:sz w:val="22"/>
          <w:szCs w:val="22"/>
          <w:lang w:val="fr-FR"/>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sz w:val="22"/>
          <w:szCs w:val="22"/>
          <w:lang w:val="fr-FR"/>
        </w:rPr>
      </w:pPr>
      <w:r>
        <w:rPr>
          <w:sz w:val="22"/>
          <w:szCs w:val="22"/>
          <w:lang w:val="fr-FR"/>
        </w:rPr>
        <w:t>Pour notre part, sur les trente premiers mois de fonctionnement, entre juillet 2017 et janvier 2020, après nettoyage de la base de données, plus de 22 000 signalements ont été enregistrés, dont plus de 17 000 sur des humains et 5 000 sur les animaux de compagnie. Parmi les plus de 20 000 tiques qui ont été archivées dans les tiquothèques de l’INRAe, à la suite d’envois liés au programme de sciences participatives CiTIQUE, plus de 1 400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sz w:val="22"/>
          <w:szCs w:val="22"/>
          <w:lang w:val="fr-FR"/>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2"/>
        </w:numPr>
        <w:ind w:left="432" w:right="0" w:hanging="432"/>
        <w:rPr/>
      </w:pPr>
      <w:r>
        <w:rPr/>
        <w:t xml:space="preserve"> </w:t>
      </w:r>
      <w:r>
        <w:rPr/>
        <w:t>Méthode</w:t>
      </w:r>
    </w:p>
    <w:p>
      <w:pPr>
        <w:pStyle w:val="TextBody"/>
        <w:rPr>
          <w:sz w:val="22"/>
          <w:szCs w:val="22"/>
          <w:lang w:val="fr-FR"/>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(Léger et al. 2013).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dont il s’agit dans cet article et en particulier de la collecte des données météorologiques au moment où le participant a ‘‘collecté’’ la tique responsable de la piqûre détectée et des jours qui ont précédé.</w:t>
      </w:r>
      <w:r>
        <w:rPr>
          <w:sz w:val="22"/>
          <w:szCs w:val="22"/>
          <w:lang w:val="fr-FR"/>
        </w:rPr>
        <w:t xml:space="preserve"> </w:t>
      </w:r>
      <w:r>
        <w:rPr>
          <w:color w:val="CE181E"/>
          <w:sz w:val="22"/>
          <w:szCs w:val="22"/>
          <w:lang w:val="fr-FR"/>
        </w:rPr>
        <w:t>Cette météorologie est à l’échelle des paysages car elle provient des stations de Météo France (plus précisément du fournisseur Dark Sky API, cf. infra) et non pas de capteurs disséminés à hauteur de tiques dans les sous-bois, les parcs ou les jardins. Elle doit venir qualifier les données issues des signalements envoyés par les ‘‘collecteurs’’ et fournies par l’application « Signalement Tique »</w:t>
      </w:r>
      <w:r>
        <w:rPr>
          <w:rStyle w:val="FootnoteAnchor"/>
          <w:rStyle w:val="FootnoteAnchor"/>
          <w:color w:val="CE181E"/>
          <w:sz w:val="22"/>
          <w:szCs w:val="22"/>
          <w:lang w:val="fr-FR"/>
        </w:rPr>
        <w:footnoteReference w:id="12"/>
      </w:r>
      <w:r>
        <w:rPr>
          <w:color w:val="CE181E"/>
          <w:sz w:val="22"/>
          <w:szCs w:val="22"/>
          <w:lang w:val="fr-FR"/>
        </w:rPr>
        <w:t>, que ce soit via un téléphone ou un ordinateur.</w:t>
      </w:r>
    </w:p>
    <w:p>
      <w:pPr>
        <w:pStyle w:val="TextBody"/>
        <w:rPr>
          <w:sz w:val="22"/>
          <w:szCs w:val="22"/>
          <w:lang w:val="fr-FR"/>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TextBody"/>
        <w:rPr>
          <w:color w:val="CE181E"/>
          <w:sz w:val="22"/>
          <w:szCs w:val="22"/>
          <w:lang w:val="fr-FR"/>
        </w:rPr>
      </w:pPr>
      <w:r>
        <w:rPr>
          <w:color w:val="CE181E"/>
          <w:sz w:val="22"/>
          <w:szCs w:val="22"/>
          <w:lang w:val="fr-FR"/>
        </w:rPr>
        <w:t>Nb d’enregistrement récupéré / nb d’enregistrements conservés après nettoyage qui consiste en quoi ? Les principaux problèmes.</w:t>
      </w:r>
    </w:p>
    <w:p>
      <w:pPr>
        <w:pStyle w:val="TextBody"/>
        <w:rPr>
          <w:color w:val="CE181E"/>
          <w:sz w:val="22"/>
          <w:szCs w:val="22"/>
          <w:lang w:val="fr-FR"/>
        </w:rPr>
      </w:pPr>
      <w:r>
        <w:rPr>
          <w:color w:val="CE181E"/>
          <w:sz w:val="22"/>
          <w:szCs w:val="22"/>
          <w:lang w:val="fr-FR"/>
        </w:rPr>
        <w:t>Faire un topo sur la collecte des données DS.net ou Météo France où description du point d’enregistrement (station standard ou données sat ?)</w:t>
      </w:r>
    </w:p>
    <w:p>
      <w:pPr>
        <w:pStyle w:val="TextBody"/>
        <w:rPr>
          <w:sz w:val="22"/>
          <w:szCs w:val="22"/>
          <w:lang w:val="fr-FR"/>
        </w:rPr>
      </w:pPr>
      <w:r>
        <w:rPr>
          <w:color w:val="CE181E"/>
          <w:sz w:val="22"/>
          <w:szCs w:val="22"/>
          <w:lang w:val="fr-FR"/>
        </w:rPr>
        <w:t>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lang w:val="fr-FR"/>
        </w:rPr>
        <w:footnoteReference w:id="14"/>
      </w:r>
      <w:r>
        <w:rPr>
          <w:color w:val="CE181E"/>
          <w:sz w:val="22"/>
          <w:szCs w:val="22"/>
          <w:lang w:val="fr-FR"/>
        </w:rPr>
        <w:t>.</w:t>
      </w:r>
    </w:p>
    <w:p>
      <w:pPr>
        <w:pStyle w:val="TextBody"/>
        <w:rPr>
          <w:sz w:val="22"/>
          <w:szCs w:val="22"/>
          <w:lang w:val="fr-FR"/>
        </w:rPr>
      </w:pPr>
      <w:r>
        <w:rPr>
          <w:color w:val="CE181E"/>
          <w:sz w:val="22"/>
          <w:szCs w:val="22"/>
          <w:lang w:val="fr-FR"/>
        </w:rPr>
        <w:t>Si les données qui vont être présentées ici sont bien des données qui caractérisent et/ou influencent le comportement humain, elles caractérisent aussi l’interaction entre les tiques à l’affut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CE181E"/>
          <w:sz w:val="22"/>
          <w:szCs w:val="22"/>
          <w:lang w:val="fr-FR"/>
        </w:rPr>
        <w:t>Ce sont ici les :</w:t>
      </w:r>
    </w:p>
    <w:p>
      <w:pPr>
        <w:pStyle w:val="TextBody"/>
        <w:numPr>
          <w:ilvl w:val="0"/>
          <w:numId w:val="3"/>
        </w:numPr>
        <w:spacing w:lineRule="auto" w:line="240"/>
        <w:rPr>
          <w:sz w:val="22"/>
          <w:szCs w:val="22"/>
          <w:lang w:val="fr-FR"/>
        </w:rPr>
      </w:pPr>
      <w:r>
        <w:rPr>
          <w:color w:val="CE181E"/>
          <w:sz w:val="22"/>
          <w:szCs w:val="22"/>
          <w:lang w:val="fr-FR"/>
        </w:rPr>
        <w:t xml:space="preserve">Variables abiotiques Cat thèse p.175-177 t°, précipitation, humidité, éclairement </w:t>
      </w:r>
      <w:r>
        <w:rPr>
          <w:rStyle w:val="Intextcitation"/>
          <w:color w:val="CE181E"/>
        </w:rPr>
        <w:t>(Cat 2017; Cat et al. 2017)</w:t>
      </w:r>
    </w:p>
    <w:p>
      <w:pPr>
        <w:pStyle w:val="TextBody"/>
        <w:numPr>
          <w:ilvl w:val="0"/>
          <w:numId w:val="3"/>
        </w:numPr>
        <w:spacing w:lineRule="auto" w:line="240"/>
        <w:rPr>
          <w:sz w:val="22"/>
          <w:szCs w:val="22"/>
          <w:lang w:val="fr-FR"/>
        </w:rPr>
      </w:pPr>
      <w:r>
        <w:rPr>
          <w:color w:val="CE181E"/>
          <w:sz w:val="22"/>
          <w:szCs w:val="22"/>
          <w:lang w:val="fr-FR"/>
        </w:rPr>
        <w:t xml:space="preserve">Humidité atmosphérique </w:t>
      </w:r>
      <w:r>
        <w:rPr>
          <w:rStyle w:val="Intextcitation"/>
          <w:color w:val="CE181E"/>
        </w:rPr>
        <w:t>(Paltridge, Arking, and Pook 2009)</w:t>
      </w:r>
    </w:p>
    <w:p>
      <w:pPr>
        <w:pStyle w:val="TextBody"/>
        <w:numPr>
          <w:ilvl w:val="0"/>
          <w:numId w:val="3"/>
        </w:numPr>
        <w:spacing w:lineRule="auto" w:line="240"/>
        <w:rPr>
          <w:sz w:val="22"/>
          <w:szCs w:val="22"/>
          <w:lang w:val="fr-FR"/>
        </w:rPr>
      </w:pPr>
      <w:r>
        <w:rPr>
          <w:color w:val="CE181E"/>
          <w:sz w:val="22"/>
          <w:szCs w:val="22"/>
          <w:lang w:val="fr-FR"/>
        </w:rPr>
        <w:t xml:space="preserve">Climate humidity dans le rapport chercher Willet surface humidity ? </w:t>
      </w:r>
      <w:r>
        <w:rPr>
          <w:rStyle w:val="Intextcitation"/>
          <w:color w:val="CE181E"/>
        </w:rPr>
        <w:t>(Arndt et al. n.d.)</w:t>
      </w:r>
    </w:p>
    <w:p>
      <w:pPr>
        <w:pStyle w:val="TextBody"/>
        <w:numPr>
          <w:ilvl w:val="0"/>
          <w:numId w:val="3"/>
        </w:numPr>
        <w:spacing w:lineRule="auto" w:line="240"/>
        <w:rPr>
          <w:sz w:val="22"/>
          <w:szCs w:val="22"/>
          <w:lang w:val="fr-FR"/>
        </w:rPr>
      </w:pPr>
      <w:r>
        <w:rPr>
          <w:color w:val="CE181E"/>
          <w:sz w:val="22"/>
          <w:szCs w:val="22"/>
          <w:lang w:val="fr-FR"/>
        </w:rPr>
        <w:t xml:space="preserve">Effet des températures et hausse des tempétarures </w:t>
      </w:r>
      <w:r>
        <w:rPr>
          <w:rStyle w:val="Intextcitation"/>
          <w:color w:val="CE181E"/>
        </w:rPr>
        <w:t>(Greenfield 2011)</w:t>
      </w:r>
    </w:p>
    <w:p>
      <w:pPr>
        <w:pStyle w:val="TextBody"/>
        <w:numPr>
          <w:ilvl w:val="0"/>
          <w:numId w:val="3"/>
        </w:numPr>
        <w:spacing w:lineRule="auto" w:line="240"/>
        <w:rPr/>
      </w:pPr>
      <w:r>
        <w:rPr>
          <w:color w:val="CE181E"/>
          <w:sz w:val="22"/>
          <w:szCs w:val="22"/>
          <w:lang w:val="fr-FR"/>
        </w:rPr>
        <w:t xml:space="preserve">Climatic data et le fameux saturation deficit (SD) </w:t>
      </w:r>
      <w:r>
        <w:rPr>
          <w:rStyle w:val="Intextcitation"/>
          <w:color w:val="CE181E"/>
        </w:rPr>
        <w:t>(Hauser et al. 2018)</w:t>
      </w:r>
    </w:p>
    <w:p>
      <w:pPr>
        <w:pStyle w:val="TextBody"/>
        <w:numPr>
          <w:ilvl w:val="0"/>
          <w:numId w:val="3"/>
        </w:numPr>
        <w:spacing w:lineRule="auto" w:line="240"/>
        <w:rPr>
          <w:sz w:val="22"/>
          <w:szCs w:val="22"/>
          <w:lang w:val="fr-FR"/>
        </w:rPr>
      </w:pPr>
      <w:r>
        <w:rPr>
          <w:color w:val="CE181E"/>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2"/>
        </w:numPr>
        <w:ind w:left="432" w:right="0" w:hanging="432"/>
        <w:rPr/>
      </w:pPr>
      <w:r>
        <w:rPr/>
        <w:t>Resultats</w:t>
      </w:r>
    </w:p>
    <w:p>
      <w:pPr>
        <w:pStyle w:val="Heading2"/>
        <w:numPr>
          <w:ilvl w:val="1"/>
          <w:numId w:val="2"/>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2"/>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15"/>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5</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15">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1590_4146314079"/>
    <w:r>
      <w:rPr/>
    </w:r>
    <w:r>
      <w:rPr/>
    </w:r>
    <w:r>
      <w:rPr/>
      <w:fldChar w:fldCharType="end"/>
    </w:r>
    <w:bookmarkEnd w:id="0"/>
    <w:r>
      <w:rPr/>
      <w:fldChar w:fldCharType="begin"/>
    </w:r>
    <w:r>
      <w:rPr/>
      <w:instrText> STYLEREF  1 \* MERGEFORMAT </w:instrText>
    </w:r>
    <w:r>
      <w:rPr/>
      <w:fldChar w:fldCharType="separate"/>
    </w:r>
    <w:r>
      <w:rPr/>
      <w:t>Resultats</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4"/>
      <w:szCs w:val="28"/>
    </w:rPr>
  </w:style>
  <w:style w:type="paragraph" w:styleId="Heading3">
    <w:name w:val="Heading 3"/>
    <w:basedOn w:val="Heading"/>
    <w:qFormat/>
    <w:pPr>
      <w:numPr>
        <w:ilvl w:val="2"/>
        <w:numId w:val="1"/>
      </w:numPr>
      <w:spacing w:before="454" w:after="170"/>
      <w:ind w:left="1020" w:right="0" w:hanging="170"/>
      <w:outlineLvl w:val="2"/>
    </w:pPr>
    <w:rPr>
      <w:rFonts w:ascii="Ubuntu" w:hAnsi="Ubuntu"/>
      <w:b w:val="false"/>
      <w:bCs/>
      <w:color w:val="006699"/>
      <w:sz w:val="24"/>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96</TotalTime>
  <Application>LibreOffice/6.0.7.3$Linux_X86_64 LibreOffice_project/00m0$Build-3</Application>
  <Pages>5</Pages>
  <Words>3034</Words>
  <Characters>17297</Characters>
  <CharactersWithSpaces>20251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2021-01-11T23:50:46Z</dcterms:modified>
  <cp:revision>29</cp:revision>
  <dc:subject/>
  <dc:title>memoir-III</dc:title>
</cp:coreProperties>
</file>