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rFonts w:ascii="Rubik SemiBold" w:cs="Rubik SemiBold" w:eastAsia="Rubik SemiBold" w:hAnsi="Rubik SemiBold"/>
          <w:b w:val="0"/>
          <w:bCs w:val="0"/>
          <w:color w:val="343334"/>
        </w:rPr>
      </w:pPr>
      <w:bookmarkStart w:colFirst="0" w:colLast="0" w:name="_heading=h.alp3uc5h7buz" w:id="0"/>
      <w:bookmarkEnd w:id="0"/>
      <w:r w:rsidDel="00000000" w:rsidR="00000000" w:rsidRPr="00000000">
        <w:rPr>
          <w:rFonts w:ascii="Rubik SemiBold" w:cs="Rubik SemiBold" w:eastAsia="Rubik SemiBold" w:hAnsi="Rubik SemiBold"/>
          <w:b w:val="0"/>
          <w:bCs w:val="0"/>
          <w:color w:val="343334"/>
          <w:rtl w:val="0"/>
        </w:rPr>
        <w:t xml:space="preserve">ALEXANDRA R. MITCHELL</w:t>
      </w:r>
    </w:p>
    <w:p w:rsidR="00000000" w:rsidDel="00000000" w:rsidP="00000000" w:rsidRDefault="00000000" w:rsidRPr="00000000" w14:paraId="00000002">
      <w:pPr>
        <w:jc w:val="center"/>
        <w:rPr>
          <w:rFonts w:ascii="Rubik" w:cs="Rubik" w:eastAsia="Rubik" w:hAnsi="Rubik"/>
          <w:color w:val="00b6cb"/>
        </w:rPr>
      </w:pPr>
      <w:r w:rsidDel="00000000" w:rsidR="00000000" w:rsidRPr="00000000">
        <w:rPr>
          <w:rFonts w:ascii="Rubik" w:cs="Rubik" w:eastAsia="Rubik" w:hAnsi="Rubik"/>
          <w:color w:val="00b6cb"/>
          <w:rtl w:val="0"/>
        </w:rPr>
        <w:t xml:space="preserve">Operations Manager </w:t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3.000000000002" w:type="dxa"/>
        <w:jc w:val="center"/>
        <w:tblLayout w:type="fixed"/>
        <w:tblLook w:val="0600"/>
      </w:tblPr>
      <w:tblGrid>
        <w:gridCol w:w="3285"/>
        <w:gridCol w:w="2343"/>
        <w:gridCol w:w="1988.338582677165"/>
        <w:gridCol w:w="2886.6614173228354"/>
        <w:tblGridChange w:id="0">
          <w:tblGrid>
            <w:gridCol w:w="3285"/>
            <w:gridCol w:w="2343"/>
            <w:gridCol w:w="1988.338582677165"/>
            <w:gridCol w:w="2886.66141732283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rPr>
                <w:rFonts w:ascii="Rubik" w:cs="Rubik" w:eastAsia="Rubik" w:hAnsi="Rubik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</w:rPr>
              <w:drawing>
                <wp:inline distB="114300" distT="114300" distL="114300" distR="114300">
                  <wp:extent cx="95250" cy="146538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17499" r="1749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146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  <w:rtl w:val="0"/>
              </w:rPr>
              <w:t xml:space="preserve">  Evergreen Terrace, San Jose,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Rubik" w:cs="Rubik" w:eastAsia="Rubik" w:hAnsi="Rubik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</w:rPr>
              <w:drawing>
                <wp:inline distB="114300" distT="114300" distL="114300" distR="114300">
                  <wp:extent cx="146538" cy="127000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6665" l="0" r="0" t="6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38" cy="12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  <w:rtl w:val="0"/>
              </w:rPr>
              <w:t xml:space="preserve">   help@enhancv.com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ubik" w:cs="Rubik" w:eastAsia="Rubik" w:hAnsi="Rubik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</w:rPr>
              <w:drawing>
                <wp:inline distB="114300" distT="114300" distL="114300" distR="114300">
                  <wp:extent cx="127000" cy="1270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  <w:rtl w:val="0"/>
              </w:rPr>
              <w:t xml:space="preserve">   +123-456-7890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ubik" w:cs="Rubik" w:eastAsia="Rubik" w:hAnsi="Rubik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</w:rPr>
              <w:drawing>
                <wp:inline distB="114300" distT="114300" distL="114300" distR="114300">
                  <wp:extent cx="133350" cy="127000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2380" l="0" r="0" t="2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2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  <w:rtl w:val="0"/>
              </w:rPr>
              <w:t xml:space="preserve">  linkedin.com/in/your.name</w:t>
            </w:r>
          </w:p>
        </w:tc>
      </w:tr>
    </w:tbl>
    <w:p w:rsidR="00000000" w:rsidDel="00000000" w:rsidP="00000000" w:rsidRDefault="00000000" w:rsidRPr="00000000" w14:paraId="00000008">
      <w:pPr>
        <w:pBdr>
          <w:bottom w:color="999999" w:space="2" w:sz="8" w:val="single"/>
        </w:pBdr>
        <w:jc w:val="left"/>
        <w:rPr>
          <w:rFonts w:ascii="Roboto" w:cs="Roboto" w:eastAsia="Roboto" w:hAnsi="Roboto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Data-driven operations professional with 8+ years of experience supporting high-growth technology companies. Proven expertise in process optimization, cross-functional program execution, and performance analytics. Known for streamlining workflows, improving operational efficiency, and enabling scalable growth across product, engineering, and customer success teams. Strong communicator with a hands-on, systems-oriented mindset.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999999" w:space="2" w:sz="8" w:val="single"/>
        </w:pBdr>
        <w:spacing w:line="276" w:lineRule="auto"/>
        <w:jc w:val="both"/>
        <w:rPr>
          <w:rFonts w:ascii="Rubik Medium" w:cs="Rubik Medium" w:eastAsia="Rubik Medium" w:hAnsi="Rubik Medium"/>
          <w:color w:val="343334"/>
        </w:rPr>
      </w:pPr>
      <w:bookmarkStart w:colFirst="0" w:colLast="0" w:name="_heading=h.7d38bnbc0q9e" w:id="1"/>
      <w:bookmarkEnd w:id="1"/>
      <w:r w:rsidDel="00000000" w:rsidR="00000000" w:rsidRPr="00000000">
        <w:rPr>
          <w:rFonts w:ascii="Rubik Medium" w:cs="Rubik Medium" w:eastAsia="Rubik Medium" w:hAnsi="Rubik Medium"/>
          <w:color w:val="343334"/>
          <w:rtl w:val="0"/>
        </w:rPr>
        <w:t xml:space="preserve">PROFESSIONAL EXPERIENCE</w:t>
      </w:r>
    </w:p>
    <w:tbl>
      <w:tblPr>
        <w:tblStyle w:val="Table2"/>
        <w:tblW w:w="10830.0" w:type="dxa"/>
        <w:jc w:val="left"/>
        <w:tblLayout w:type="fixed"/>
        <w:tblLook w:val="0600"/>
      </w:tblPr>
      <w:tblGrid>
        <w:gridCol w:w="7830"/>
        <w:gridCol w:w="3000"/>
        <w:tblGridChange w:id="0">
          <w:tblGrid>
            <w:gridCol w:w="7830"/>
            <w:gridCol w:w="3000"/>
          </w:tblGrid>
        </w:tblGridChange>
      </w:tblGrid>
      <w:tr>
        <w:trPr>
          <w:cantSplit w:val="0"/>
          <w:trHeight w:val="527.9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0" w:line="276" w:lineRule="auto"/>
              <w:rPr>
                <w:rFonts w:ascii="Rubik Medium" w:cs="Rubik Medium" w:eastAsia="Rubik Medium" w:hAnsi="Rubik Medium"/>
                <w:color w:val="343334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00b6cb"/>
                <w:rtl w:val="0"/>
              </w:rPr>
              <w:t xml:space="preserve">Senior Product Operations Manager</w:t>
            </w:r>
            <w:r w:rsidDel="00000000" w:rsidR="00000000" w:rsidRPr="00000000">
              <w:rPr>
                <w:rFonts w:ascii="Rubik Medium" w:cs="Rubik Medium" w:eastAsia="Rubik Medium" w:hAnsi="Rubik Medium"/>
                <w:rtl w:val="0"/>
              </w:rPr>
              <w:t xml:space="preserve"> </w:t>
            </w:r>
            <w:r w:rsidDel="00000000" w:rsidR="00000000" w:rsidRPr="00000000">
              <w:rPr>
                <w:rFonts w:ascii="Rubik Medium" w:cs="Rubik Medium" w:eastAsia="Rubik Medium" w:hAnsi="Rubik Medium"/>
                <w:color w:val="343334"/>
                <w:rtl w:val="0"/>
              </w:rPr>
              <w:t xml:space="preserve">| NovaCloud Technologies, San Jose,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right"/>
              <w:rPr>
                <w:rFonts w:ascii="Rubik Medium" w:cs="Rubik Medium" w:eastAsia="Rubik Medium" w:hAnsi="Rubik Medium"/>
                <w:color w:val="343334"/>
                <w:sz w:val="18"/>
                <w:szCs w:val="1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343334"/>
                <w:sz w:val="18"/>
                <w:szCs w:val="18"/>
                <w:rtl w:val="0"/>
              </w:rPr>
              <w:t xml:space="preserve">February 2022 – Present</w:t>
            </w:r>
          </w:p>
        </w:tc>
      </w:tr>
    </w:tbl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Partner with product, engineering, and go-to-market teams to support roadmap execution for a B2B SaaS platform serving 40,000+ users.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Designed and implemented operational workflows that reduced product launch cycle time by 28%.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Own product metrics dashboards (adoption, retention, feature usage), enabling leadership to make data-informed decisions.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Lead quarterly planning and retrospectives, improving cross-team alignment and delivery predictability.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0"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Standardized documentation and handoff processes, cutting internal rework by 20%.</w:t>
      </w:r>
    </w:p>
    <w:tbl>
      <w:tblPr>
        <w:tblStyle w:val="Table3"/>
        <w:tblW w:w="10815.0" w:type="dxa"/>
        <w:jc w:val="left"/>
        <w:tblLayout w:type="fixed"/>
        <w:tblLook w:val="0600"/>
      </w:tblPr>
      <w:tblGrid>
        <w:gridCol w:w="7425"/>
        <w:gridCol w:w="3390"/>
        <w:tblGridChange w:id="0">
          <w:tblGrid>
            <w:gridCol w:w="7425"/>
            <w:gridCol w:w="3390"/>
          </w:tblGrid>
        </w:tblGridChange>
      </w:tblGrid>
      <w:tr>
        <w:trPr>
          <w:cantSplit w:val="0"/>
          <w:trHeight w:val="806.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Rubik Medium" w:cs="Rubik Medium" w:eastAsia="Rubik Medium" w:hAnsi="Rubik Medium"/>
                <w:color w:val="343334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00b6cb"/>
                <w:rtl w:val="0"/>
              </w:rPr>
              <w:t xml:space="preserve">Operations Manager</w:t>
            </w:r>
            <w:r w:rsidDel="00000000" w:rsidR="00000000" w:rsidRPr="00000000">
              <w:rPr>
                <w:rFonts w:ascii="Rubik Medium" w:cs="Rubik Medium" w:eastAsia="Rubik Medium" w:hAnsi="Rubik Medium"/>
                <w:color w:val="343334"/>
                <w:rtl w:val="0"/>
              </w:rPr>
              <w:t xml:space="preserve"> | Brightline Software, Palo Alto,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right"/>
              <w:rPr>
                <w:rFonts w:ascii="Rubik Medium" w:cs="Rubik Medium" w:eastAsia="Rubik Medium" w:hAnsi="Rubik Medium"/>
                <w:color w:val="343334"/>
                <w:sz w:val="18"/>
                <w:szCs w:val="1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343334"/>
                <w:sz w:val="18"/>
                <w:szCs w:val="18"/>
                <w:rtl w:val="0"/>
              </w:rPr>
              <w:t xml:space="preserve">August 2018 – January 2022</w:t>
            </w:r>
          </w:p>
        </w:tc>
      </w:tr>
    </w:tbl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Managed day-to-day business and operational processes for a scaling SaaS organization with 120+ employees.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reporting systems to track KPIs across product delivery, customer support, and revenue operations.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Coordinated vendor relationships, budgeting, and contract renewals, reducing operational costs by 15%.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Supported onboarding and enablement programs for new hires, improving time-to-productivity by 25%.</w:t>
      </w:r>
    </w:p>
    <w:tbl>
      <w:tblPr>
        <w:tblStyle w:val="Table4"/>
        <w:tblW w:w="10800.0" w:type="dxa"/>
        <w:jc w:val="left"/>
        <w:tblLayout w:type="fixed"/>
        <w:tblLook w:val="0600"/>
      </w:tblPr>
      <w:tblGrid>
        <w:gridCol w:w="7425"/>
        <w:gridCol w:w="3375"/>
        <w:tblGridChange w:id="0">
          <w:tblGrid>
            <w:gridCol w:w="7425"/>
            <w:gridCol w:w="3375"/>
          </w:tblGrid>
        </w:tblGridChange>
      </w:tblGrid>
      <w:tr>
        <w:trPr>
          <w:cantSplit w:val="0"/>
          <w:trHeight w:val="569.37825520833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Rubik Medium" w:cs="Rubik Medium" w:eastAsia="Rubik Medium" w:hAnsi="Rubik Medium"/>
                <w:color w:val="343334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00b6cb"/>
                <w:rtl w:val="0"/>
              </w:rPr>
              <w:t xml:space="preserve">Business Operations Analyst</w:t>
            </w:r>
            <w:r w:rsidDel="00000000" w:rsidR="00000000" w:rsidRPr="00000000">
              <w:rPr>
                <w:rFonts w:ascii="Rubik Medium" w:cs="Rubik Medium" w:eastAsia="Rubik Medium" w:hAnsi="Rubik Medium"/>
                <w:rtl w:val="0"/>
              </w:rPr>
              <w:t xml:space="preserve"> </w:t>
            </w:r>
            <w:r w:rsidDel="00000000" w:rsidR="00000000" w:rsidRPr="00000000">
              <w:rPr>
                <w:rFonts w:ascii="Rubik Medium" w:cs="Rubik Medium" w:eastAsia="Rubik Medium" w:hAnsi="Rubik Medium"/>
                <w:color w:val="343334"/>
                <w:rtl w:val="0"/>
              </w:rPr>
              <w:t xml:space="preserve">| Vertex Digital Solutions, Mountain View,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right"/>
              <w:rPr>
                <w:rFonts w:ascii="Rubik Medium" w:cs="Rubik Medium" w:eastAsia="Rubik Medium" w:hAnsi="Rubik Medium"/>
                <w:color w:val="343334"/>
                <w:sz w:val="18"/>
                <w:szCs w:val="18"/>
              </w:rPr>
            </w:pPr>
            <w:r w:rsidDel="00000000" w:rsidR="00000000" w:rsidRPr="00000000">
              <w:rPr>
                <w:rFonts w:ascii="Rubik Medium" w:cs="Rubik Medium" w:eastAsia="Rubik Medium" w:hAnsi="Rubik Medium"/>
                <w:color w:val="343334"/>
                <w:sz w:val="18"/>
                <w:szCs w:val="18"/>
                <w:rtl w:val="0"/>
              </w:rPr>
              <w:t xml:space="preserve">June 2016 – July 2018</w:t>
            </w:r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Analyzed operational data to identify inefficiencies and improvement opportunities across departments.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Created process documentation and SOPs used company-wide for training and compliance.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Supported leadership with ad hoc analysis, forecasts, and performance reports.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Collaborated with finance and product teams on budgeting and capacity planning initiatives.</w:t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276" w:lineRule="auto"/>
        <w:jc w:val="both"/>
        <w:rPr>
          <w:rFonts w:ascii="Rubik Medium" w:cs="Rubik Medium" w:eastAsia="Rubik Medium" w:hAnsi="Rubik Medium"/>
          <w:color w:val="343334"/>
        </w:rPr>
      </w:pPr>
      <w:bookmarkStart w:colFirst="0" w:colLast="0" w:name="_heading=h.i8hs9pvstw8h" w:id="2"/>
      <w:bookmarkEnd w:id="2"/>
      <w:r w:rsidDel="00000000" w:rsidR="00000000" w:rsidRPr="00000000">
        <w:rPr>
          <w:rFonts w:ascii="Rubik Medium" w:cs="Rubik Medium" w:eastAsia="Rubik Medium" w:hAnsi="Rubik Medium"/>
          <w:color w:val="343334"/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spacing w:before="200" w:line="276" w:lineRule="auto"/>
        <w:rPr>
          <w:rFonts w:ascii="Rubik Medium" w:cs="Rubik Medium" w:eastAsia="Rubik Medium" w:hAnsi="Rubik Medium"/>
          <w:color w:val="00b6cb"/>
        </w:rPr>
      </w:pPr>
      <w:r w:rsidDel="00000000" w:rsidR="00000000" w:rsidRPr="00000000">
        <w:rPr>
          <w:rFonts w:ascii="Rubik Medium" w:cs="Rubik Medium" w:eastAsia="Rubik Medium" w:hAnsi="Rubik Medium"/>
          <w:color w:val="00b6cb"/>
          <w:rtl w:val="0"/>
        </w:rPr>
        <w:t xml:space="preserve">Bachelor of Science in Management Information Systems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Rubik" w:cs="Rubik" w:eastAsia="Rubik" w:hAnsi="Rubik"/>
          <w:color w:val="343334"/>
        </w:rPr>
      </w:pPr>
      <w:r w:rsidDel="00000000" w:rsidR="00000000" w:rsidRPr="00000000">
        <w:rPr>
          <w:rFonts w:ascii="Rubik" w:cs="Rubik" w:eastAsia="Rubik" w:hAnsi="Rubik"/>
          <w:color w:val="343334"/>
          <w:rtl w:val="0"/>
        </w:rPr>
        <w:t xml:space="preserve">California State University, Fullerton | Fullerton, CA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Relevant Coursework: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Business Analytics, Systems Analysis, Project Management, Operations Strategy, Database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line="276" w:lineRule="auto"/>
        <w:jc w:val="both"/>
        <w:rPr>
          <w:sz w:val="16"/>
          <w:szCs w:val="16"/>
        </w:rPr>
      </w:pPr>
      <w:bookmarkStart w:colFirst="0" w:colLast="0" w:name="_heading=h.t5n9qpq8ydt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line="276" w:lineRule="auto"/>
        <w:jc w:val="both"/>
        <w:rPr>
          <w:rFonts w:ascii="Rubik Medium" w:cs="Rubik Medium" w:eastAsia="Rubik Medium" w:hAnsi="Rubik Medium"/>
        </w:rPr>
      </w:pPr>
      <w:bookmarkStart w:colFirst="0" w:colLast="0" w:name="_heading=h.p71y38hv5l2i" w:id="4"/>
      <w:bookmarkEnd w:id="4"/>
      <w:r w:rsidDel="00000000" w:rsidR="00000000" w:rsidRPr="00000000">
        <w:rPr>
          <w:rFonts w:ascii="Rubik Medium" w:cs="Rubik Medium" w:eastAsia="Rubik Medium" w:hAnsi="Rubik Medium"/>
          <w:rtl w:val="0"/>
        </w:rPr>
        <w:t xml:space="preserve">SKILLS</w:t>
      </w:r>
    </w:p>
    <w:p w:rsidR="00000000" w:rsidDel="00000000" w:rsidP="00000000" w:rsidRDefault="00000000" w:rsidRPr="00000000" w14:paraId="00000027">
      <w:pPr>
        <w:spacing w:before="20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15.0" w:type="dxa"/>
        <w:jc w:val="left"/>
        <w:tblLayout w:type="fixed"/>
        <w:tblLook w:val="0600"/>
      </w:tblPr>
      <w:tblGrid>
        <w:gridCol w:w="5400"/>
        <w:gridCol w:w="5415"/>
        <w:tblGridChange w:id="0">
          <w:tblGrid>
            <w:gridCol w:w="5400"/>
            <w:gridCol w:w="5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8.6614173228347" w:right="0" w:hanging="360"/>
              <w:jc w:val="left"/>
              <w:rPr>
                <w:rFonts w:ascii="Rubik" w:cs="Rubik" w:eastAsia="Rubik" w:hAnsi="Rubik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  <w:rtl w:val="0"/>
              </w:rPr>
              <w:t xml:space="preserve">Product &amp; Business Operations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8.6614173228347" w:right="0" w:hanging="360"/>
              <w:jc w:val="left"/>
              <w:rPr>
                <w:rFonts w:ascii="Rubik" w:cs="Rubik" w:eastAsia="Rubik" w:hAnsi="Rubik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  <w:rtl w:val="0"/>
              </w:rPr>
              <w:t xml:space="preserve">Process Optimization &amp; Documentation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8.6614173228347" w:right="0" w:hanging="360"/>
              <w:jc w:val="left"/>
              <w:rPr>
                <w:rFonts w:ascii="Rubik" w:cs="Rubik" w:eastAsia="Rubik" w:hAnsi="Rubik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  <w:rtl w:val="0"/>
              </w:rPr>
              <w:t xml:space="preserve">Cross-Functional Program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Rubik" w:cs="Rubik" w:eastAsia="Rubik" w:hAnsi="Rubik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  <w:rtl w:val="0"/>
              </w:rPr>
              <w:t xml:space="preserve">KPI Tracking &amp; Dashboarding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Rubik" w:cs="Rubik" w:eastAsia="Rubik" w:hAnsi="Rubik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  <w:rtl w:val="0"/>
              </w:rPr>
              <w:t xml:space="preserve">SaaS Tools (Jira, Confluence, Notion, SQL, Looker)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Rubik" w:cs="Rubik" w:eastAsia="Rubik" w:hAnsi="Rubik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sz w:val="18"/>
                <w:szCs w:val="18"/>
                <w:rtl w:val="0"/>
              </w:rPr>
              <w:t xml:space="preserve">Stakeholder Communication &amp; Alignment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spacing w:before="0" w:lineRule="auto"/>
        <w:rPr>
          <w:sz w:val="8"/>
          <w:szCs w:val="8"/>
        </w:rPr>
      </w:pPr>
      <w:bookmarkStart w:colFirst="0" w:colLast="0" w:name="_heading=h.v2saf3ysixl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before="200" w:lineRule="auto"/>
        <w:rPr>
          <w:rFonts w:ascii="Rubik Medium" w:cs="Rubik Medium" w:eastAsia="Rubik Medium" w:hAnsi="Rubik Medium"/>
        </w:rPr>
      </w:pPr>
      <w:bookmarkStart w:colFirst="0" w:colLast="0" w:name="_heading=h.3iakxgsg5hw8" w:id="6"/>
      <w:bookmarkEnd w:id="6"/>
      <w:r w:rsidDel="00000000" w:rsidR="00000000" w:rsidRPr="00000000">
        <w:rPr>
          <w:rFonts w:ascii="Rubik Medium" w:cs="Rubik Medium" w:eastAsia="Rubik Medium" w:hAnsi="Rubik Medium"/>
          <w:rtl w:val="0"/>
        </w:rPr>
        <w:t xml:space="preserve">CERTIFICATIONS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200" w:line="276" w:lineRule="auto"/>
        <w:ind w:left="720" w:hanging="360"/>
        <w:rPr>
          <w:rFonts w:ascii="Rubik" w:cs="Rubik" w:eastAsia="Rubik" w:hAnsi="Rubik"/>
          <w:sz w:val="18"/>
          <w:szCs w:val="18"/>
        </w:rPr>
      </w:pPr>
      <w:r w:rsidDel="00000000" w:rsidR="00000000" w:rsidRPr="00000000">
        <w:rPr>
          <w:rFonts w:ascii="Rubik" w:cs="Rubik" w:eastAsia="Rubik" w:hAnsi="Rubik"/>
          <w:sz w:val="18"/>
          <w:szCs w:val="18"/>
          <w:rtl w:val="0"/>
        </w:rPr>
        <w:t xml:space="preserve">Certified Scrum Product Owner (CSPO)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before="0" w:line="276" w:lineRule="auto"/>
        <w:ind w:left="720" w:hanging="360"/>
        <w:rPr>
          <w:rFonts w:ascii="Rubik" w:cs="Rubik" w:eastAsia="Rubik" w:hAnsi="Rubik"/>
          <w:sz w:val="18"/>
          <w:szCs w:val="18"/>
        </w:rPr>
      </w:pPr>
      <w:r w:rsidDel="00000000" w:rsidR="00000000" w:rsidRPr="00000000">
        <w:rPr>
          <w:rFonts w:ascii="Rubik" w:cs="Rubik" w:eastAsia="Rubik" w:hAnsi="Rubik"/>
          <w:sz w:val="18"/>
          <w:szCs w:val="18"/>
          <w:rtl w:val="0"/>
        </w:rPr>
        <w:t xml:space="preserve">Lean Six Sigma Green Belt</w:t>
      </w:r>
    </w:p>
    <w:p w:rsidR="00000000" w:rsidDel="00000000" w:rsidP="00000000" w:rsidRDefault="00000000" w:rsidRPr="00000000" w14:paraId="00000032">
      <w:pPr>
        <w:spacing w:before="200" w:line="276" w:lineRule="auto"/>
        <w:rPr>
          <w:rFonts w:ascii="Rubik" w:cs="Rubik" w:eastAsia="Rubik" w:hAnsi="Rubik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00" w:line="276" w:lineRule="auto"/>
        <w:rPr>
          <w:rFonts w:ascii="Rubik" w:cs="Rubik" w:eastAsia="Rubik" w:hAnsi="Rubik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Rubik" w:cs="Rubik" w:eastAsia="Rubik" w:hAnsi="Rubik"/>
          <w:b w:val="1"/>
          <w:bCs w:val="1"/>
          <w:color w:val="00b6c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Rubik" w:cs="Rubik" w:eastAsia="Rubik" w:hAnsi="Rubik"/>
          <w:b w:val="1"/>
          <w:bCs w:val="1"/>
          <w:color w:val="00b6cb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b6cb"/>
          <w:sz w:val="26"/>
          <w:szCs w:val="26"/>
          <w:rtl w:val="0"/>
        </w:rPr>
        <w:t xml:space="preserve">Thank You for Using Enhancv!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Rubik" w:cs="Rubik" w:eastAsia="Rubik" w:hAnsi="Rubik"/>
          <w:b w:val="1"/>
          <w:bCs w:val="1"/>
          <w:color w:val="162e66"/>
          <w:sz w:val="26"/>
          <w:szCs w:val="26"/>
        </w:rPr>
      </w:pPr>
      <w:hyperlink r:id="rId11">
        <w:r w:rsidDel="00000000" w:rsidR="00000000" w:rsidRPr="00000000">
          <w:rPr>
            <w:rFonts w:ascii="Rubik" w:cs="Rubik" w:eastAsia="Rubik" w:hAnsi="Rubik"/>
            <w:b w:val="1"/>
            <w:bCs w:val="1"/>
            <w:color w:val="1155cc"/>
            <w:sz w:val="26"/>
            <w:szCs w:val="26"/>
            <w:u w:val="single"/>
          </w:rPr>
          <w:drawing>
            <wp:inline distB="114300" distT="114300" distL="114300" distR="114300">
              <wp:extent cx="3268028" cy="595880"/>
              <wp:effectExtent b="0" l="0" r="0" t="0"/>
              <wp:docPr id="1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8028" cy="59588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ubik" w:cs="Rubik" w:eastAsia="Rubik" w:hAnsi="Rubik"/>
          <w:b w:val="1"/>
          <w:bCs w:val="1"/>
          <w:color w:val="162e66"/>
          <w:sz w:val="26"/>
          <w:szCs w:val="26"/>
          <w:rtl w:val="0"/>
        </w:rPr>
        <w:t xml:space="preserve">      </w:t>
      </w:r>
      <w:hyperlink r:id="rId13">
        <w:r w:rsidDel="00000000" w:rsidR="00000000" w:rsidRPr="00000000">
          <w:rPr>
            <w:rFonts w:ascii="Rubik" w:cs="Rubik" w:eastAsia="Rubik" w:hAnsi="Rubik"/>
            <w:b w:val="1"/>
            <w:bCs w:val="1"/>
            <w:color w:val="1155cc"/>
            <w:sz w:val="26"/>
            <w:szCs w:val="26"/>
            <w:u w:val="single"/>
          </w:rPr>
          <w:drawing>
            <wp:inline distB="114300" distT="114300" distL="114300" distR="114300">
              <wp:extent cx="2847023" cy="603343"/>
              <wp:effectExtent b="0" l="0" r="0" t="0"/>
              <wp:docPr id="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47023" cy="60334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rFonts w:ascii="Rubik" w:cs="Rubik" w:eastAsia="Rubik" w:hAnsi="Rubik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t xml:space="preserve">I wanted to personally thank you for choosing an Enhancv resume template while preparing your application.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Rubik" w:cs="Rubik" w:eastAsia="Rubik" w:hAnsi="Rubik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t xml:space="preserve">Looking for a new role takes courage, focus, and persistence. You invested real effort into presenting your experience clearly and honestly, and that matters. A resume is more than a document. It reflects your choices, your priorities, and the work you stand behind.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Rubik" w:cs="Rubik" w:eastAsia="Rubik" w:hAnsi="Rubik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t xml:space="preserve">If you would like to explore everything our platform offers, you can visit </w:t>
      </w:r>
      <w:hyperlink r:id="rId15">
        <w:r w:rsidDel="00000000" w:rsidR="00000000" w:rsidRPr="00000000">
          <w:rPr>
            <w:rFonts w:ascii="Rubik" w:cs="Rubik" w:eastAsia="Rubik" w:hAnsi="Rubik"/>
            <w:color w:val="1155cc"/>
            <w:sz w:val="22"/>
            <w:szCs w:val="22"/>
            <w:u w:val="single"/>
            <w:rtl w:val="0"/>
          </w:rPr>
          <w:t xml:space="preserve">https://enhancv.com</w:t>
        </w:r>
      </w:hyperlink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t xml:space="preserve">. There, you’ll have access to tools such as: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Rubik" w:cs="Rubik" w:eastAsia="Rubik" w:hAnsi="Rubik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t xml:space="preserve">Resume checks with real-time feedback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Rubik" w:cs="Rubik" w:eastAsia="Rubik" w:hAnsi="Rubik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t xml:space="preserve">ATS compatibility insights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Rubik" w:cs="Rubik" w:eastAsia="Rubik" w:hAnsi="Rubik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t xml:space="preserve">AI-powered content suggestions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Rubik" w:cs="Rubik" w:eastAsia="Rubik" w:hAnsi="Rubik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t xml:space="preserve">Cover letter creation and customization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line="276" w:lineRule="auto"/>
        <w:ind w:left="720" w:hanging="360"/>
        <w:rPr>
          <w:rFonts w:ascii="Rubik" w:cs="Rubik" w:eastAsia="Rubik" w:hAnsi="Rubik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t xml:space="preserve">Role-specific guidance to improve clarity and impact</w:t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rFonts w:ascii="Rubik" w:cs="Rubik" w:eastAsia="Rubik" w:hAnsi="Rubik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t xml:space="preserve">At Enhancv, we build tools for people who take their next step seriously. Seeing our templates and platform support job seekers like you is why we do this work.</w:t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Rubik" w:cs="Rubik" w:eastAsia="Rubik" w:hAnsi="Rubik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t xml:space="preserve">Thank you for trusting us during an important moment in your career. I wish you confidence in your applications and success in the opportunities ahead.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rFonts w:ascii="Rubik" w:cs="Rubik" w:eastAsia="Rubik" w:hAnsi="Rubik"/>
          <w:b w:val="1"/>
          <w:bCs w:val="1"/>
          <w:color w:val="343334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t xml:space="preserve">Warm regards,</w:t>
        <w:br w:type="textWrapping"/>
      </w:r>
      <w:r w:rsidDel="00000000" w:rsidR="00000000" w:rsidRPr="00000000">
        <w:rPr>
          <w:rFonts w:ascii="Rubik" w:cs="Rubik" w:eastAsia="Rubik" w:hAnsi="Rubik"/>
          <w:b w:val="1"/>
          <w:bCs w:val="1"/>
          <w:color w:val="00b6cb"/>
          <w:sz w:val="22"/>
          <w:szCs w:val="22"/>
          <w:rtl w:val="0"/>
        </w:rPr>
        <w:t xml:space="preserve">Volen Vulkov</w:t>
      </w:r>
      <w:r w:rsidDel="00000000" w:rsidR="00000000" w:rsidRPr="00000000">
        <w:rPr>
          <w:rFonts w:ascii="Rubik" w:cs="Rubik" w:eastAsia="Rubik" w:hAnsi="Rubik"/>
          <w:sz w:val="22"/>
          <w:szCs w:val="22"/>
          <w:rtl w:val="0"/>
        </w:rPr>
        <w:br w:type="textWrapping"/>
      </w:r>
      <w:r w:rsidDel="00000000" w:rsidR="00000000" w:rsidRPr="00000000">
        <w:rPr>
          <w:rFonts w:ascii="Rubik" w:cs="Rubik" w:eastAsia="Rubik" w:hAnsi="Rubik"/>
          <w:b w:val="1"/>
          <w:bCs w:val="1"/>
          <w:color w:val="343334"/>
          <w:sz w:val="22"/>
          <w:szCs w:val="22"/>
          <w:rtl w:val="0"/>
        </w:rPr>
        <w:t xml:space="preserve">Co-Founder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rFonts w:ascii="Rubik" w:cs="Rubik" w:eastAsia="Rubik" w:hAnsi="Rubik"/>
          <w:b w:val="1"/>
          <w:bCs w:val="1"/>
          <w:color w:val="162e66"/>
          <w:sz w:val="22"/>
          <w:szCs w:val="2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62e66"/>
          <w:sz w:val="22"/>
          <w:szCs w:val="22"/>
        </w:rPr>
        <w:drawing>
          <wp:inline distB="114300" distT="114300" distL="114300" distR="114300">
            <wp:extent cx="1239203" cy="20578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203" cy="20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00" w:line="276" w:lineRule="auto"/>
        <w:rPr>
          <w:rFonts w:ascii="Rubik" w:cs="Rubik" w:eastAsia="Rubik" w:hAnsi="Rubik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8" w:w="11906" w:orient="portrait"/>
      <w:pgMar w:bottom="705.6" w:top="705.6" w:left="705.6" w:right="705.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Rubik SemiBol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Rubik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999999" w:space="2" w:sz="8" w:val="single"/>
      </w:pBdr>
      <w:spacing w:line="276" w:lineRule="auto"/>
      <w:jc w:val="both"/>
    </w:pPr>
    <w:rPr>
      <w:rFonts w:ascii="Montserrat SemiBold" w:cs="Montserrat SemiBold" w:eastAsia="Montserrat SemiBold" w:hAnsi="Montserrat SemiBold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Montserrat" w:cs="Montserrat" w:eastAsia="Montserrat" w:hAnsi="Montserrat"/>
      <w:b w:val="1"/>
      <w:bCs w:val="1"/>
      <w:sz w:val="34"/>
      <w:szCs w:val="3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.enhancv.com/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enhancv.com/resources/resume-checker/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enhancv.com" TargetMode="External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RubikSemiBold-boldItalic.ttf"/><Relationship Id="rId11" Type="http://schemas.openxmlformats.org/officeDocument/2006/relationships/font" Target="fonts/Roboto-italic.ttf"/><Relationship Id="rId22" Type="http://schemas.openxmlformats.org/officeDocument/2006/relationships/font" Target="fonts/Rubik-bold.ttf"/><Relationship Id="rId10" Type="http://schemas.openxmlformats.org/officeDocument/2006/relationships/font" Target="fonts/Roboto-bold.ttf"/><Relationship Id="rId21" Type="http://schemas.openxmlformats.org/officeDocument/2006/relationships/font" Target="fonts/Rubik-regular.ttf"/><Relationship Id="rId13" Type="http://schemas.openxmlformats.org/officeDocument/2006/relationships/font" Target="fonts/Montserrat-regular.ttf"/><Relationship Id="rId24" Type="http://schemas.openxmlformats.org/officeDocument/2006/relationships/font" Target="fonts/Rubik-boldItalic.ttf"/><Relationship Id="rId12" Type="http://schemas.openxmlformats.org/officeDocument/2006/relationships/font" Target="fonts/Roboto-boldItalic.ttf"/><Relationship Id="rId23" Type="http://schemas.openxmlformats.org/officeDocument/2006/relationships/font" Target="fonts/Rubik-italic.ttf"/><Relationship Id="rId1" Type="http://schemas.openxmlformats.org/officeDocument/2006/relationships/font" Target="fonts/RubikMedium-regular.ttf"/><Relationship Id="rId2" Type="http://schemas.openxmlformats.org/officeDocument/2006/relationships/font" Target="fonts/RubikMedium-bold.ttf"/><Relationship Id="rId3" Type="http://schemas.openxmlformats.org/officeDocument/2006/relationships/font" Target="fonts/RubikMedium-italic.ttf"/><Relationship Id="rId4" Type="http://schemas.openxmlformats.org/officeDocument/2006/relationships/font" Target="fonts/RubikMedium-boldItalic.ttf"/><Relationship Id="rId9" Type="http://schemas.openxmlformats.org/officeDocument/2006/relationships/font" Target="fonts/Roboto-regular.ttf"/><Relationship Id="rId15" Type="http://schemas.openxmlformats.org/officeDocument/2006/relationships/font" Target="fonts/Montserrat-italic.ttf"/><Relationship Id="rId14" Type="http://schemas.openxmlformats.org/officeDocument/2006/relationships/font" Target="fonts/Montserrat-bold.ttf"/><Relationship Id="rId17" Type="http://schemas.openxmlformats.org/officeDocument/2006/relationships/font" Target="fonts/RubikSemiBold-regular.ttf"/><Relationship Id="rId16" Type="http://schemas.openxmlformats.org/officeDocument/2006/relationships/font" Target="fonts/Montserrat-boldItalic.ttf"/><Relationship Id="rId5" Type="http://schemas.openxmlformats.org/officeDocument/2006/relationships/font" Target="fonts/MontserratSemiBold-regular.ttf"/><Relationship Id="rId19" Type="http://schemas.openxmlformats.org/officeDocument/2006/relationships/font" Target="fonts/RubikSemiBold-italic.ttf"/><Relationship Id="rId6" Type="http://schemas.openxmlformats.org/officeDocument/2006/relationships/font" Target="fonts/MontserratSemiBold-bold.ttf"/><Relationship Id="rId18" Type="http://schemas.openxmlformats.org/officeDocument/2006/relationships/font" Target="fonts/RubikSemiBold-bold.ttf"/><Relationship Id="rId7" Type="http://schemas.openxmlformats.org/officeDocument/2006/relationships/font" Target="fonts/MontserratSemiBold-italic.ttf"/><Relationship Id="rId8" Type="http://schemas.openxmlformats.org/officeDocument/2006/relationships/font" Target="fonts/Montserrat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4neBs9VW0Sd6f+k/aIBrVk0o2w==">CgMxLjAyDmguYWxwM3VjNWg3YnV6Mg5oLjdkMzhibmJjMHE5ZTIOaC5pOGhzOXB2c3R3OGgyDmgudDVuOXFwcTh5ZHRiMg5oLnA3MXkzOGh2NWwyaTIOaC52MnNhZjN5c2l4bHMyDmguM2lha3hnc2c1aHc4OAByITF2cnRCWEt6ZzdNdjI1bGZtbFpQWGNveHpDR3hJNU1iMA==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