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0B2447" w:sz="1"/>
              <w:left w:val="single" w:color="0B2447" w:sz="1"/>
              <w:bottom w:val="single" w:color="0B2447" w:sz="1"/>
              <w:right w:val="single" w:color="0B2447" w:sz="1"/>
            </w:tcBorders>
            <w:shd w:fill="0B2447" w:val="clear"/>
            <w:tcMar>
              <w:top w:type="dxa" w:w="480"/>
              <w:left w:type="dxa" w:w="480"/>
              <w:bottom w:type="dxa" w:w="480"/>
              <w:right w:type="dxa" w:w="480"/>
            </w:tcMar>
          </w:tcPr>
          <w:p>
            <w:pPr>
              <w:spacing w:after="60"/>
              <w:jc w:val="center"/>
            </w:pPr>
            <w:r>
              <w:rPr>
                <w:rFonts w:ascii="Arial" w:cs="Arial" w:eastAsia="Arial" w:hAnsi="Arial"/>
                <w:b/>
                <w:bCs/>
                <w:color w:val="A8D5B5"/>
                <w:sz w:val="18"/>
                <w:szCs w:val="18"/>
              </w:rPr>
              <w:t xml:space="preserve">PROJECT CROSSLINK — PHASE 1</w:t>
            </w:r>
          </w:p>
          <w:p>
            <w:pPr>
              <w:spacing w:after="60"/>
              <w:jc w:val="center"/>
            </w:pPr>
            <w:r>
              <w:rPr>
                <w:rFonts w:ascii="Arial" w:cs="Arial" w:eastAsia="Arial" w:hAnsi="Arial"/>
                <w:b/>
                <w:bCs/>
                <w:color w:val="FFFFFF"/>
                <w:sz w:val="48"/>
                <w:szCs w:val="48"/>
              </w:rPr>
              <w:t xml:space="preserve">Blockchain &amp; DLT Adoption</w:t>
            </w:r>
          </w:p>
          <w:p>
            <w:pPr>
              <w:spacing w:after="160"/>
              <w:jc w:val="center"/>
            </w:pPr>
            <w:r>
              <w:rPr>
                <w:rFonts w:ascii="Arial" w:cs="Arial" w:eastAsia="Arial" w:hAnsi="Arial"/>
                <w:b/>
                <w:bCs/>
                <w:color w:val="A8D5B5"/>
                <w:sz w:val="40"/>
                <w:szCs w:val="40"/>
              </w:rPr>
              <w:t xml:space="preserve">for Cross-Border Payments</w:t>
            </w:r>
          </w:p>
          <w:p>
            <w:pPr>
              <w:spacing w:after="200"/>
              <w:jc w:val="center"/>
            </w:pPr>
            <w:r>
              <w:rPr>
                <w:rFonts w:ascii="Arial" w:cs="Arial" w:eastAsia="Arial" w:hAnsi="Arial"/>
                <w:color w:val="A0C4D0"/>
                <w:sz w:val="22"/>
                <w:szCs w:val="22"/>
              </w:rPr>
              <w:t xml:space="preserve">Regulatory &amp; Strategic Advisory to CrossLink Financial Group (CFG)</w:t>
            </w:r>
          </w:p>
          <w:p>
            <w:pPr>
              <w:spacing w:after="80"/>
              <w:jc w:val="center"/>
            </w:pPr>
            <w:r>
              <w:rPr>
                <w:rFonts w:ascii="Arial" w:cs="Arial" w:eastAsia="Arial" w:hAnsi="Arial"/>
                <w:color w:val="A8D5B5"/>
                <w:sz w:val="18"/>
                <w:szCs w:val="18"/>
              </w:rPr>
              <w:t xml:space="preserve">Prepared by: FinCrest Advisory (FA)  |  Jurisdiction: Singapore</w:t>
            </w:r>
          </w:p>
          <w:p>
            <w:pPr>
              <w:spacing w:after="0"/>
              <w:jc w:val="center"/>
            </w:pPr>
            <w:r>
              <w:rPr>
                <w:rFonts w:ascii="Arial" w:cs="Arial" w:eastAsia="Arial" w:hAnsi="Arial"/>
                <w:color w:val="8099BB"/>
                <w:sz w:val="17"/>
                <w:szCs w:val="17"/>
              </w:rPr>
              <w:t xml:space="preserve">Audience: CFG Board &amp; MAS Innovation Office  |  Classification: Confidential</w:t>
            </w:r>
          </w:p>
        </w:tc>
      </w:tr>
    </w:tbl>
    <w:p>
      <w:pPr>
        <w:spacing w:after="20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B8D8C4" w:sz="1"/>
              <w:left w:val="single" w:color="D97706" w:sz="18"/>
              <w:bottom w:val="single" w:color="B8D8C4" w:sz="1"/>
              <w:right w:val="single" w:color="B8D8C4" w:sz="1"/>
            </w:tcBorders>
            <w:shd w:fill="FFFBEB" w:val="clear"/>
            <w:tcMar>
              <w:top w:type="dxa" w:w="120"/>
              <w:left w:type="dxa" w:w="200"/>
              <w:bottom w:type="dxa" w:w="120"/>
              <w:right w:type="dxa" w:w="200"/>
            </w:tcMar>
          </w:tcPr>
          <w:p>
            <w:pPr>
              <w:spacing w:after="60"/>
            </w:pPr>
            <w:r>
              <w:rPr>
                <w:rFonts w:ascii="Arial" w:cs="Arial" w:eastAsia="Arial" w:hAnsi="Arial"/>
                <w:b/>
                <w:bCs/>
                <w:color w:val="92400E"/>
                <w:sz w:val="18"/>
                <w:szCs w:val="18"/>
              </w:rPr>
              <w:t xml:space="preserve">⚠  SCENARIO CONTEXT</w:t>
            </w:r>
          </w:p>
          <w:p>
            <w:r>
              <w:rPr>
                <w:rFonts w:ascii="Arial" w:cs="Arial" w:eastAsia="Arial" w:hAnsi="Arial"/>
                <w:color w:val="78350F"/>
                <w:sz w:val="19"/>
                <w:szCs w:val="19"/>
              </w:rPr>
              <w:t xml:space="preserve">CFG's Payments Division is losing ground to fintech competitors — RippleNet, Revolut, and Wise. The CEO wants to adopt blockchain-based cross-border payment rails. The CFO fears volatile transaction costs and compliance risks in jurisdictions with unclear crypto laws. The CISO warns of cyber threats and smart contract vulnerabilities. This advisory is prepared for the CFG Board and MAS Innovation Office.</w:t>
            </w:r>
          </w:p>
        </w:tc>
      </w:tr>
    </w:tbl>
    <w:p>
      <w:pPr>
        <w:spacing w:after="16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40"/>
        <w:gridCol w:w="3240"/>
        <w:gridCol w:w="3240"/>
      </w:tblGrid>
      <w:tr>
        <w:tc>
          <w:tcPr>
            <w:tcW w:type="dxa" w:w="3240"/>
            <w:tcBorders>
              <w:top w:val="single" w:color="B8D8C4" w:sz="1"/>
              <w:left w:val="single" w:color="B8D8C4" w:sz="1"/>
              <w:bottom w:val="single" w:color="B8D8C4" w:sz="1"/>
              <w:right w:val="single" w:color="B8D8C4" w:sz="1"/>
            </w:tcBorders>
            <w:shd w:fill="EDF7F1" w:val="clear"/>
            <w:tcMar>
              <w:top w:type="dxa" w:w="80"/>
              <w:left w:type="dxa" w:w="120"/>
              <w:bottom w:type="dxa" w:w="80"/>
              <w:right w:type="dxa" w:w="120"/>
            </w:tcMar>
          </w:tcPr>
          <w:p>
            <w:pPr>
              <w:spacing w:after="40"/>
            </w:pPr>
            <w:r>
              <w:rPr>
                <w:rFonts w:ascii="Arial" w:cs="Arial" w:eastAsia="Arial" w:hAnsi="Arial"/>
                <w:b/>
                <w:bCs/>
                <w:color w:val="1A6B3C"/>
                <w:sz w:val="18"/>
                <w:szCs w:val="18"/>
              </w:rPr>
              <w:t xml:space="preserve">Objective 1</w:t>
            </w:r>
          </w:p>
          <w:p>
            <w:r>
              <w:rPr>
                <w:rFonts w:ascii="Arial" w:cs="Arial" w:eastAsia="Arial" w:hAnsi="Arial"/>
                <w:color w:val="1A1A2E"/>
                <w:sz w:val="18"/>
                <w:szCs w:val="18"/>
              </w:rPr>
              <w:t xml:space="preserve">Explain blockchain vs SWIFT — how DLT improves efficiency and settlement speed</w:t>
            </w:r>
          </w:p>
        </w:tc>
        <w:tc>
          <w:tcPr>
            <w:tcW w:type="dxa" w:w="3240"/>
            <w:tcBorders>
              <w:top w:val="single" w:color="B8D8C4" w:sz="1"/>
              <w:left w:val="single" w:color="B8D8C4" w:sz="1"/>
              <w:bottom w:val="single" w:color="B8D8C4" w:sz="1"/>
              <w:right w:val="single" w:color="B8D8C4" w:sz="1"/>
            </w:tcBorders>
            <w:shd w:fill="EDF7F1" w:val="clear"/>
            <w:tcMar>
              <w:top w:type="dxa" w:w="80"/>
              <w:left w:type="dxa" w:w="120"/>
              <w:bottom w:type="dxa" w:w="80"/>
              <w:right w:type="dxa" w:w="120"/>
            </w:tcMar>
          </w:tcPr>
          <w:p>
            <w:pPr>
              <w:spacing w:after="40"/>
            </w:pPr>
            <w:r>
              <w:rPr>
                <w:rFonts w:ascii="Arial" w:cs="Arial" w:eastAsia="Arial" w:hAnsi="Arial"/>
                <w:b/>
                <w:bCs/>
                <w:color w:val="1A6B3C"/>
                <w:sz w:val="18"/>
                <w:szCs w:val="18"/>
              </w:rPr>
              <w:t xml:space="preserve">Objective 2</w:t>
            </w:r>
          </w:p>
          <w:p>
            <w:r>
              <w:rPr>
                <w:rFonts w:ascii="Arial" w:cs="Arial" w:eastAsia="Arial" w:hAnsi="Arial"/>
                <w:color w:val="1A1A2E"/>
                <w:sz w:val="18"/>
                <w:szCs w:val="18"/>
              </w:rPr>
              <w:t xml:space="preserve">Identify regulatory and operational risks — AML/CFT gaps, data localisation, cybersecurity</w:t>
            </w:r>
          </w:p>
        </w:tc>
        <w:tc>
          <w:tcPr>
            <w:tcW w:type="dxa" w:w="3240"/>
            <w:tcBorders>
              <w:top w:val="single" w:color="B8D8C4" w:sz="1"/>
              <w:left w:val="single" w:color="B8D8C4" w:sz="1"/>
              <w:bottom w:val="single" w:color="B8D8C4" w:sz="1"/>
              <w:right w:val="single" w:color="B8D8C4" w:sz="1"/>
            </w:tcBorders>
            <w:shd w:fill="EDF7F1" w:val="clear"/>
            <w:tcMar>
              <w:top w:type="dxa" w:w="80"/>
              <w:left w:type="dxa" w:w="120"/>
              <w:bottom w:type="dxa" w:w="80"/>
              <w:right w:type="dxa" w:w="120"/>
            </w:tcMar>
          </w:tcPr>
          <w:p>
            <w:pPr>
              <w:spacing w:after="40"/>
            </w:pPr>
            <w:r>
              <w:rPr>
                <w:rFonts w:ascii="Arial" w:cs="Arial" w:eastAsia="Arial" w:hAnsi="Arial"/>
                <w:b/>
                <w:bCs/>
                <w:color w:val="1A6B3C"/>
                <w:sz w:val="18"/>
                <w:szCs w:val="18"/>
              </w:rPr>
              <w:t xml:space="preserve">Objective 3</w:t>
            </w:r>
          </w:p>
          <w:p>
            <w:r>
              <w:rPr>
                <w:rFonts w:ascii="Arial" w:cs="Arial" w:eastAsia="Arial" w:hAnsi="Arial"/>
                <w:color w:val="1A1A2E"/>
                <w:sz w:val="18"/>
                <w:szCs w:val="18"/>
              </w:rPr>
              <w:t xml:space="preserve">Design a high-level risk mitigation framework for CFG's DLT pilot — Board &amp; MAS Innovation Office</w:t>
            </w:r>
          </w:p>
        </w:tc>
      </w:tr>
    </w:tbl>
    <w:p>
      <w:pPr>
        <w:spacing w:after="20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800"/>
        <w:gridCol w:w="8920"/>
      </w:tblGrid>
      <w:tr>
        <w:tc>
          <w:tcPr>
            <w:tcW w:type="dxa" w:w="800"/>
            <w:tcBorders>
              <w:top w:val="single" w:color="1A6B3C" w:sz="1"/>
              <w:left w:val="single" w:color="1A6B3C" w:sz="1"/>
              <w:bottom w:val="single" w:color="1A6B3C" w:sz="1"/>
              <w:right w:val="single" w:color="1A6B3C" w:sz="1"/>
            </w:tcBorders>
            <w:shd w:fill="1A6B3C" w:val="clear"/>
            <w:tcMar>
              <w:top w:type="dxa" w:w="120"/>
              <w:left w:type="dxa" w:w="100"/>
              <w:bottom w:type="dxa" w:w="120"/>
              <w:right w:type="dxa" w:w="100"/>
            </w:tcMar>
            <w:vAlign w:val="center"/>
          </w:tcPr>
          <w:p>
            <w:pPr>
              <w:jc w:val="center"/>
            </w:pPr>
            <w:r>
              <w:rPr>
                <w:rFonts w:ascii="Arial" w:cs="Arial" w:eastAsia="Arial" w:hAnsi="Arial"/>
                <w:b/>
                <w:bCs/>
                <w:color w:val="FFFFFF"/>
                <w:sz w:val="28"/>
                <w:szCs w:val="28"/>
              </w:rPr>
              <w:t xml:space="preserve">Q1</w:t>
            </w:r>
          </w:p>
        </w:tc>
        <w:tc>
          <w:tcPr>
            <w:tcW w:type="dxa" w:w="8920"/>
            <w:tcBorders>
              <w:top w:val="single" w:color="0B2447" w:sz="1"/>
              <w:left w:val="single" w:color="0B2447" w:sz="1"/>
              <w:bottom w:val="single" w:color="0B2447" w:sz="1"/>
              <w:right w:val="single" w:color="0B2447" w:sz="1"/>
            </w:tcBorders>
            <w:shd w:fill="0B2447" w:val="clear"/>
            <w:tcMar>
              <w:top w:type="dxa" w:w="120"/>
              <w:left w:type="dxa" w:w="180"/>
              <w:bottom w:type="dxa" w:w="120"/>
              <w:right w:type="dxa" w:w="120"/>
            </w:tcMar>
            <w:vAlign w:val="center"/>
          </w:tcPr>
          <w:p>
            <w:r>
              <w:rPr>
                <w:rFonts w:ascii="Arial" w:cs="Arial" w:eastAsia="Arial" w:hAnsi="Arial"/>
                <w:b/>
                <w:bCs/>
                <w:color w:val="FFFFFF"/>
                <w:sz w:val="22"/>
                <w:szCs w:val="22"/>
              </w:rPr>
              <w:t xml:space="preserve">What are the key advantages of blockchain for cross-border payments compared to SWIFT?</w:t>
            </w:r>
          </w:p>
        </w:tc>
      </w:tr>
    </w:tbl>
    <w:p>
      <w:pPr>
        <w:spacing w:after="120"/>
      </w:pPr>
    </w:p>
    <w:p>
      <w:pPr>
        <w:pStyle w:val="Heading2"/>
        <w:pBdr>
          <w:bottom w:val="single" w:color="1A6B3C" w:sz="4" w:space="1"/>
        </w:pBdr>
        <w:spacing w:after="100" w:before="240"/>
      </w:pPr>
      <w:r>
        <w:rPr>
          <w:rFonts w:ascii="Arial" w:cs="Arial" w:eastAsia="Arial" w:hAnsi="Arial"/>
          <w:b/>
          <w:bCs/>
          <w:color w:val="0B2447"/>
          <w:sz w:val="26"/>
          <w:szCs w:val="26"/>
        </w:rPr>
        <w:t xml:space="preserve">SWIFT vs Blockchain — Head-to-Head Comparison</w:t>
      </w:r>
    </w:p>
    <w:p>
      <w:pPr>
        <w:spacing w:after="6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3660"/>
        <w:gridCol w:w="3660"/>
      </w:tblGrid>
      <w:tr>
        <w:tc>
          <w:tcPr>
            <w:tcW w:type="dxa" w:w="2400"/>
            <w:tcBorders>
              <w:top w:val="single" w:color="0B2447" w:sz="1"/>
              <w:left w:val="single" w:color="0B2447" w:sz="1"/>
              <w:bottom w:val="single" w:color="0B2447" w:sz="1"/>
              <w:right w:val="single" w:color="0B2447" w:sz="1"/>
            </w:tcBorders>
            <w:shd w:fill="0B2447" w:val="clear"/>
            <w:tcMar>
              <w:top w:type="dxa" w:w="80"/>
              <w:left w:type="dxa" w:w="120"/>
              <w:bottom w:type="dxa" w:w="80"/>
              <w:right w:type="dxa" w:w="120"/>
            </w:tcMar>
          </w:tcPr>
          <w:p>
            <w:r>
              <w:rPr>
                <w:rFonts w:ascii="Arial" w:cs="Arial" w:eastAsia="Arial" w:hAnsi="Arial"/>
                <w:b/>
                <w:bCs/>
                <w:color w:val="FFFFFF"/>
                <w:sz w:val="18"/>
                <w:szCs w:val="18"/>
              </w:rPr>
              <w:t xml:space="preserve">Dimension</w:t>
            </w:r>
          </w:p>
        </w:tc>
        <w:tc>
          <w:tcPr>
            <w:tcW w:type="dxa" w:w="3660"/>
            <w:tcBorders>
              <w:top w:val="single" w:color="0B2447" w:sz="1"/>
              <w:left w:val="single" w:color="0B2447" w:sz="1"/>
              <w:bottom w:val="single" w:color="0B2447" w:sz="1"/>
              <w:right w:val="single" w:color="0B2447" w:sz="1"/>
            </w:tcBorders>
            <w:shd w:fill="0B2447" w:val="clear"/>
            <w:tcMar>
              <w:top w:type="dxa" w:w="80"/>
              <w:left w:type="dxa" w:w="120"/>
              <w:bottom w:type="dxa" w:w="80"/>
              <w:right w:type="dxa" w:w="120"/>
            </w:tcMar>
          </w:tcPr>
          <w:p>
            <w:r>
              <w:rPr>
                <w:rFonts w:ascii="Arial" w:cs="Arial" w:eastAsia="Arial" w:hAnsi="Arial"/>
                <w:b/>
                <w:bCs/>
                <w:color w:val="FFFFFF"/>
                <w:sz w:val="18"/>
                <w:szCs w:val="18"/>
              </w:rPr>
              <w:t xml:space="preserve">SWIFT (Traditional)</w:t>
            </w:r>
          </w:p>
        </w:tc>
        <w:tc>
          <w:tcPr>
            <w:tcW w:type="dxa" w:w="3660"/>
            <w:tcBorders>
              <w:top w:val="single" w:color="0B2447" w:sz="1"/>
              <w:left w:val="single" w:color="0B2447" w:sz="1"/>
              <w:bottom w:val="single" w:color="0B2447" w:sz="1"/>
              <w:right w:val="single" w:color="0B2447" w:sz="1"/>
            </w:tcBorders>
            <w:shd w:fill="0B2447" w:val="clear"/>
            <w:tcMar>
              <w:top w:type="dxa" w:w="80"/>
              <w:left w:type="dxa" w:w="120"/>
              <w:bottom w:type="dxa" w:w="80"/>
              <w:right w:type="dxa" w:w="120"/>
            </w:tcMar>
          </w:tcPr>
          <w:p>
            <w:r>
              <w:rPr>
                <w:rFonts w:ascii="Arial" w:cs="Arial" w:eastAsia="Arial" w:hAnsi="Arial"/>
                <w:b/>
                <w:bCs/>
                <w:color w:val="FFFFFF"/>
                <w:sz w:val="18"/>
                <w:szCs w:val="18"/>
              </w:rPr>
              <w:t xml:space="preserve">Blockchain / DLT</w:t>
            </w:r>
          </w:p>
        </w:tc>
      </w:tr>
      <w:tr>
        <w:tc>
          <w:tcPr>
            <w:tcW w:type="dxa" w:w="2400"/>
            <w:tcBorders>
              <w:top w:val="single" w:color="B8D8C4" w:sz="1"/>
              <w:left w:val="single" w:color="B8D8C4" w:sz="1"/>
              <w:bottom w:val="single" w:color="B8D8C4" w:sz="1"/>
              <w:right w:val="single" w:color="B8D8C4" w:sz="1"/>
            </w:tcBorders>
            <w:shd w:fill="FFFFFF" w:val="clear"/>
            <w:tcMar>
              <w:top w:type="dxa" w:w="70"/>
              <w:left w:type="dxa" w:w="120"/>
              <w:bottom w:type="dxa" w:w="70"/>
              <w:right w:type="dxa" w:w="80"/>
            </w:tcMar>
          </w:tcPr>
          <w:p>
            <w:r>
              <w:rPr>
                <w:rFonts w:ascii="Arial" w:cs="Arial" w:eastAsia="Arial" w:hAnsi="Arial"/>
                <w:color w:val="1A1A2E"/>
                <w:sz w:val="18"/>
                <w:szCs w:val="18"/>
              </w:rPr>
              <w:t xml:space="preserve">Settlement Speed</w:t>
            </w:r>
          </w:p>
        </w:tc>
        <w:tc>
          <w:tcPr>
            <w:tcW w:type="dxa" w:w="3660"/>
            <w:tcBorders>
              <w:top w:val="single" w:color="B8D8C4" w:sz="1"/>
              <w:left w:val="single" w:color="B8D8C4" w:sz="1"/>
              <w:bottom w:val="single" w:color="B8D8C4" w:sz="1"/>
              <w:right w:val="single" w:color="B8D8C4" w:sz="1"/>
            </w:tcBorders>
            <w:shd w:fill="FFFFFF" w:val="clear"/>
            <w:tcMar>
              <w:top w:type="dxa" w:w="70"/>
              <w:left w:type="dxa" w:w="120"/>
              <w:bottom w:type="dxa" w:w="70"/>
              <w:right w:type="dxa" w:w="80"/>
            </w:tcMar>
          </w:tcPr>
          <w:p>
            <w:r>
              <w:rPr>
                <w:rFonts w:ascii="Arial" w:cs="Arial" w:eastAsia="Arial" w:hAnsi="Arial"/>
                <w:color w:val="1A1A2E"/>
                <w:sz w:val="18"/>
                <w:szCs w:val="18"/>
              </w:rPr>
              <w:t xml:space="preserve">2–5 business days; cut-off times apply</w:t>
            </w:r>
          </w:p>
        </w:tc>
        <w:tc>
          <w:tcPr>
            <w:tcW w:type="dxa" w:w="3660"/>
            <w:tcBorders>
              <w:top w:val="single" w:color="B8D8C4" w:sz="1"/>
              <w:left w:val="single" w:color="B8D8C4" w:sz="1"/>
              <w:bottom w:val="single" w:color="B8D8C4" w:sz="1"/>
              <w:right w:val="single" w:color="B8D8C4" w:sz="1"/>
            </w:tcBorders>
            <w:shd w:fill="FFFFFF" w:val="clear"/>
            <w:tcMar>
              <w:top w:type="dxa" w:w="70"/>
              <w:left w:type="dxa" w:w="120"/>
              <w:bottom w:type="dxa" w:w="70"/>
              <w:right w:type="dxa" w:w="80"/>
            </w:tcMar>
          </w:tcPr>
          <w:p>
            <w:r>
              <w:rPr>
                <w:rFonts w:ascii="Arial" w:cs="Arial" w:eastAsia="Arial" w:hAnsi="Arial"/>
                <w:color w:val="1A1A2E"/>
                <w:sz w:val="18"/>
                <w:szCs w:val="18"/>
              </w:rPr>
              <w:t xml:space="preserve">Seconds to minutes; near real-time finality</w:t>
            </w:r>
          </w:p>
        </w:tc>
      </w:tr>
      <w:tr>
        <w:tc>
          <w:tcPr>
            <w:tcW w:type="dxa" w:w="2400"/>
            <w:tcBorders>
              <w:top w:val="single" w:color="B8D8C4" w:sz="1"/>
              <w:left w:val="single" w:color="B8D8C4" w:sz="1"/>
              <w:bottom w:val="single" w:color="B8D8C4" w:sz="1"/>
              <w:right w:val="single" w:color="B8D8C4" w:sz="1"/>
            </w:tcBorders>
            <w:shd w:fill="EDF7F1" w:val="clear"/>
            <w:tcMar>
              <w:top w:type="dxa" w:w="70"/>
              <w:left w:type="dxa" w:w="120"/>
              <w:bottom w:type="dxa" w:w="70"/>
              <w:right w:type="dxa" w:w="80"/>
            </w:tcMar>
          </w:tcPr>
          <w:p>
            <w:r>
              <w:rPr>
                <w:rFonts w:ascii="Arial" w:cs="Arial" w:eastAsia="Arial" w:hAnsi="Arial"/>
                <w:color w:val="1A1A2E"/>
                <w:sz w:val="18"/>
                <w:szCs w:val="18"/>
              </w:rPr>
              <w:t xml:space="preserve">Operating Hours</w:t>
            </w:r>
          </w:p>
        </w:tc>
        <w:tc>
          <w:tcPr>
            <w:tcW w:type="dxa" w:w="3660"/>
            <w:tcBorders>
              <w:top w:val="single" w:color="B8D8C4" w:sz="1"/>
              <w:left w:val="single" w:color="B8D8C4" w:sz="1"/>
              <w:bottom w:val="single" w:color="B8D8C4" w:sz="1"/>
              <w:right w:val="single" w:color="B8D8C4" w:sz="1"/>
            </w:tcBorders>
            <w:shd w:fill="EDF7F1" w:val="clear"/>
            <w:tcMar>
              <w:top w:type="dxa" w:w="70"/>
              <w:left w:type="dxa" w:w="120"/>
              <w:bottom w:type="dxa" w:w="70"/>
              <w:right w:type="dxa" w:w="80"/>
            </w:tcMar>
          </w:tcPr>
          <w:p>
            <w:r>
              <w:rPr>
                <w:rFonts w:ascii="Arial" w:cs="Arial" w:eastAsia="Arial" w:hAnsi="Arial"/>
                <w:color w:val="1A1A2E"/>
                <w:sz w:val="18"/>
                <w:szCs w:val="18"/>
              </w:rPr>
              <w:t xml:space="preserve">Business hours; weekends/holidays cause delays</w:t>
            </w:r>
          </w:p>
        </w:tc>
        <w:tc>
          <w:tcPr>
            <w:tcW w:type="dxa" w:w="3660"/>
            <w:tcBorders>
              <w:top w:val="single" w:color="B8D8C4" w:sz="1"/>
              <w:left w:val="single" w:color="B8D8C4" w:sz="1"/>
              <w:bottom w:val="single" w:color="B8D8C4" w:sz="1"/>
              <w:right w:val="single" w:color="B8D8C4" w:sz="1"/>
            </w:tcBorders>
            <w:shd w:fill="EDF7F1" w:val="clear"/>
            <w:tcMar>
              <w:top w:type="dxa" w:w="70"/>
              <w:left w:type="dxa" w:w="120"/>
              <w:bottom w:type="dxa" w:w="70"/>
              <w:right w:type="dxa" w:w="80"/>
            </w:tcMar>
          </w:tcPr>
          <w:p>
            <w:r>
              <w:rPr>
                <w:rFonts w:ascii="Arial" w:cs="Arial" w:eastAsia="Arial" w:hAnsi="Arial"/>
                <w:color w:val="1A1A2E"/>
                <w:sz w:val="18"/>
                <w:szCs w:val="18"/>
              </w:rPr>
              <w:t xml:space="preserve">24/7/365 — no downtime, no banking holidays</w:t>
            </w:r>
          </w:p>
        </w:tc>
      </w:tr>
      <w:tr>
        <w:tc>
          <w:tcPr>
            <w:tcW w:type="dxa" w:w="2400"/>
            <w:tcBorders>
              <w:top w:val="single" w:color="B8D8C4" w:sz="1"/>
              <w:left w:val="single" w:color="B8D8C4" w:sz="1"/>
              <w:bottom w:val="single" w:color="B8D8C4" w:sz="1"/>
              <w:right w:val="single" w:color="B8D8C4" w:sz="1"/>
            </w:tcBorders>
            <w:shd w:fill="FFFFFF" w:val="clear"/>
            <w:tcMar>
              <w:top w:type="dxa" w:w="70"/>
              <w:left w:type="dxa" w:w="120"/>
              <w:bottom w:type="dxa" w:w="70"/>
              <w:right w:type="dxa" w:w="80"/>
            </w:tcMar>
          </w:tcPr>
          <w:p>
            <w:r>
              <w:rPr>
                <w:rFonts w:ascii="Arial" w:cs="Arial" w:eastAsia="Arial" w:hAnsi="Arial"/>
                <w:color w:val="1A1A2E"/>
                <w:sz w:val="18"/>
                <w:szCs w:val="18"/>
              </w:rPr>
              <w:t xml:space="preserve">Cost Structure</w:t>
            </w:r>
          </w:p>
        </w:tc>
        <w:tc>
          <w:tcPr>
            <w:tcW w:type="dxa" w:w="3660"/>
            <w:tcBorders>
              <w:top w:val="single" w:color="B8D8C4" w:sz="1"/>
              <w:left w:val="single" w:color="B8D8C4" w:sz="1"/>
              <w:bottom w:val="single" w:color="B8D8C4" w:sz="1"/>
              <w:right w:val="single" w:color="B8D8C4" w:sz="1"/>
            </w:tcBorders>
            <w:shd w:fill="FFFFFF" w:val="clear"/>
            <w:tcMar>
              <w:top w:type="dxa" w:w="70"/>
              <w:left w:type="dxa" w:w="120"/>
              <w:bottom w:type="dxa" w:w="70"/>
              <w:right w:type="dxa" w:w="80"/>
            </w:tcMar>
          </w:tcPr>
          <w:p>
            <w:r>
              <w:rPr>
                <w:rFonts w:ascii="Arial" w:cs="Arial" w:eastAsia="Arial" w:hAnsi="Arial"/>
                <w:color w:val="1A1A2E"/>
                <w:sz w:val="18"/>
                <w:szCs w:val="18"/>
              </w:rPr>
              <w:t xml:space="preserve">Multiple correspondent bank fees; FX spread; charges up to 6–7% for remittances</w:t>
            </w:r>
          </w:p>
        </w:tc>
        <w:tc>
          <w:tcPr>
            <w:tcW w:type="dxa" w:w="3660"/>
            <w:tcBorders>
              <w:top w:val="single" w:color="B8D8C4" w:sz="1"/>
              <w:left w:val="single" w:color="B8D8C4" w:sz="1"/>
              <w:bottom w:val="single" w:color="B8D8C4" w:sz="1"/>
              <w:right w:val="single" w:color="B8D8C4" w:sz="1"/>
            </w:tcBorders>
            <w:shd w:fill="FFFFFF" w:val="clear"/>
            <w:tcMar>
              <w:top w:type="dxa" w:w="70"/>
              <w:left w:type="dxa" w:w="120"/>
              <w:bottom w:type="dxa" w:w="70"/>
              <w:right w:type="dxa" w:w="80"/>
            </w:tcMar>
          </w:tcPr>
          <w:p>
            <w:r>
              <w:rPr>
                <w:rFonts w:ascii="Arial" w:cs="Arial" w:eastAsia="Arial" w:hAnsi="Arial"/>
                <w:color w:val="1A1A2E"/>
                <w:sz w:val="18"/>
                <w:szCs w:val="18"/>
              </w:rPr>
              <w:t xml:space="preserve">Peer-to-peer settlement; 40–80% cost reduction; reduced intermediary fees</w:t>
            </w:r>
          </w:p>
        </w:tc>
      </w:tr>
      <w:tr>
        <w:tc>
          <w:tcPr>
            <w:tcW w:type="dxa" w:w="2400"/>
            <w:tcBorders>
              <w:top w:val="single" w:color="B8D8C4" w:sz="1"/>
              <w:left w:val="single" w:color="B8D8C4" w:sz="1"/>
              <w:bottom w:val="single" w:color="B8D8C4" w:sz="1"/>
              <w:right w:val="single" w:color="B8D8C4" w:sz="1"/>
            </w:tcBorders>
            <w:shd w:fill="EDF7F1" w:val="clear"/>
            <w:tcMar>
              <w:top w:type="dxa" w:w="70"/>
              <w:left w:type="dxa" w:w="120"/>
              <w:bottom w:type="dxa" w:w="70"/>
              <w:right w:type="dxa" w:w="80"/>
            </w:tcMar>
          </w:tcPr>
          <w:p>
            <w:r>
              <w:rPr>
                <w:rFonts w:ascii="Arial" w:cs="Arial" w:eastAsia="Arial" w:hAnsi="Arial"/>
                <w:color w:val="1A1A2E"/>
                <w:sz w:val="18"/>
                <w:szCs w:val="18"/>
              </w:rPr>
              <w:t xml:space="preserve">Transparency</w:t>
            </w:r>
          </w:p>
        </w:tc>
        <w:tc>
          <w:tcPr>
            <w:tcW w:type="dxa" w:w="3660"/>
            <w:tcBorders>
              <w:top w:val="single" w:color="B8D8C4" w:sz="1"/>
              <w:left w:val="single" w:color="B8D8C4" w:sz="1"/>
              <w:bottom w:val="single" w:color="B8D8C4" w:sz="1"/>
              <w:right w:val="single" w:color="B8D8C4" w:sz="1"/>
            </w:tcBorders>
            <w:shd w:fill="EDF7F1" w:val="clear"/>
            <w:tcMar>
              <w:top w:type="dxa" w:w="70"/>
              <w:left w:type="dxa" w:w="120"/>
              <w:bottom w:type="dxa" w:w="70"/>
              <w:right w:type="dxa" w:w="80"/>
            </w:tcMar>
          </w:tcPr>
          <w:p>
            <w:r>
              <w:rPr>
                <w:rFonts w:ascii="Arial" w:cs="Arial" w:eastAsia="Arial" w:hAnsi="Arial"/>
                <w:color w:val="1A1A2E"/>
                <w:sz w:val="18"/>
                <w:szCs w:val="18"/>
              </w:rPr>
              <w:t xml:space="preserve">Limited real-time visibility; GPI improved but not universal</w:t>
            </w:r>
          </w:p>
        </w:tc>
        <w:tc>
          <w:tcPr>
            <w:tcW w:type="dxa" w:w="3660"/>
            <w:tcBorders>
              <w:top w:val="single" w:color="B8D8C4" w:sz="1"/>
              <w:left w:val="single" w:color="B8D8C4" w:sz="1"/>
              <w:bottom w:val="single" w:color="B8D8C4" w:sz="1"/>
              <w:right w:val="single" w:color="B8D8C4" w:sz="1"/>
            </w:tcBorders>
            <w:shd w:fill="EDF7F1" w:val="clear"/>
            <w:tcMar>
              <w:top w:type="dxa" w:w="70"/>
              <w:left w:type="dxa" w:w="120"/>
              <w:bottom w:type="dxa" w:w="70"/>
              <w:right w:type="dxa" w:w="80"/>
            </w:tcMar>
          </w:tcPr>
          <w:p>
            <w:r>
              <w:rPr>
                <w:rFonts w:ascii="Arial" w:cs="Arial" w:eastAsia="Arial" w:hAnsi="Arial"/>
                <w:color w:val="1A1A2E"/>
                <w:sz w:val="18"/>
                <w:szCs w:val="18"/>
              </w:rPr>
              <w:t xml:space="preserve">Full visibility on shared ledger; all participants see same data in real time</w:t>
            </w:r>
          </w:p>
        </w:tc>
      </w:tr>
      <w:tr>
        <w:tc>
          <w:tcPr>
            <w:tcW w:type="dxa" w:w="2400"/>
            <w:tcBorders>
              <w:top w:val="single" w:color="B8D8C4" w:sz="1"/>
              <w:left w:val="single" w:color="B8D8C4" w:sz="1"/>
              <w:bottom w:val="single" w:color="B8D8C4" w:sz="1"/>
              <w:right w:val="single" w:color="B8D8C4" w:sz="1"/>
            </w:tcBorders>
            <w:shd w:fill="FFFFFF" w:val="clear"/>
            <w:tcMar>
              <w:top w:type="dxa" w:w="70"/>
              <w:left w:type="dxa" w:w="120"/>
              <w:bottom w:type="dxa" w:w="70"/>
              <w:right w:type="dxa" w:w="80"/>
            </w:tcMar>
          </w:tcPr>
          <w:p>
            <w:r>
              <w:rPr>
                <w:rFonts w:ascii="Arial" w:cs="Arial" w:eastAsia="Arial" w:hAnsi="Arial"/>
                <w:color w:val="1A1A2E"/>
                <w:sz w:val="18"/>
                <w:szCs w:val="18"/>
              </w:rPr>
              <w:t xml:space="preserve">Intermediaries</w:t>
            </w:r>
          </w:p>
        </w:tc>
        <w:tc>
          <w:tcPr>
            <w:tcW w:type="dxa" w:w="3660"/>
            <w:tcBorders>
              <w:top w:val="single" w:color="B8D8C4" w:sz="1"/>
              <w:left w:val="single" w:color="B8D8C4" w:sz="1"/>
              <w:bottom w:val="single" w:color="B8D8C4" w:sz="1"/>
              <w:right w:val="single" w:color="B8D8C4" w:sz="1"/>
            </w:tcBorders>
            <w:shd w:fill="FFFFFF" w:val="clear"/>
            <w:tcMar>
              <w:top w:type="dxa" w:w="70"/>
              <w:left w:type="dxa" w:w="120"/>
              <w:bottom w:type="dxa" w:w="70"/>
              <w:right w:type="dxa" w:w="80"/>
            </w:tcMar>
          </w:tcPr>
          <w:p>
            <w:r>
              <w:rPr>
                <w:rFonts w:ascii="Arial" w:cs="Arial" w:eastAsia="Arial" w:hAnsi="Arial"/>
                <w:color w:val="1A1A2E"/>
                <w:sz w:val="18"/>
                <w:szCs w:val="18"/>
              </w:rPr>
              <w:t xml:space="preserve">Multiple correspondent banks; nostro/vostro accounts; trapped liquidity</w:t>
            </w:r>
          </w:p>
        </w:tc>
        <w:tc>
          <w:tcPr>
            <w:tcW w:type="dxa" w:w="3660"/>
            <w:tcBorders>
              <w:top w:val="single" w:color="B8D8C4" w:sz="1"/>
              <w:left w:val="single" w:color="B8D8C4" w:sz="1"/>
              <w:bottom w:val="single" w:color="B8D8C4" w:sz="1"/>
              <w:right w:val="single" w:color="B8D8C4" w:sz="1"/>
            </w:tcBorders>
            <w:shd w:fill="FFFFFF" w:val="clear"/>
            <w:tcMar>
              <w:top w:type="dxa" w:w="70"/>
              <w:left w:type="dxa" w:w="120"/>
              <w:bottom w:type="dxa" w:w="70"/>
              <w:right w:type="dxa" w:w="80"/>
            </w:tcMar>
          </w:tcPr>
          <w:p>
            <w:r>
              <w:rPr>
                <w:rFonts w:ascii="Arial" w:cs="Arial" w:eastAsia="Arial" w:hAnsi="Arial"/>
                <w:color w:val="1A1A2E"/>
                <w:sz w:val="18"/>
                <w:szCs w:val="18"/>
              </w:rPr>
              <w:t xml:space="preserve">Direct settlement; disintermediation; frees trapped nostro/vostro liquidity</w:t>
            </w:r>
          </w:p>
        </w:tc>
      </w:tr>
      <w:tr>
        <w:tc>
          <w:tcPr>
            <w:tcW w:type="dxa" w:w="2400"/>
            <w:tcBorders>
              <w:top w:val="single" w:color="B8D8C4" w:sz="1"/>
              <w:left w:val="single" w:color="B8D8C4" w:sz="1"/>
              <w:bottom w:val="single" w:color="B8D8C4" w:sz="1"/>
              <w:right w:val="single" w:color="B8D8C4" w:sz="1"/>
            </w:tcBorders>
            <w:shd w:fill="EDF7F1" w:val="clear"/>
            <w:tcMar>
              <w:top w:type="dxa" w:w="70"/>
              <w:left w:type="dxa" w:w="120"/>
              <w:bottom w:type="dxa" w:w="70"/>
              <w:right w:type="dxa" w:w="80"/>
            </w:tcMar>
          </w:tcPr>
          <w:p>
            <w:r>
              <w:rPr>
                <w:rFonts w:ascii="Arial" w:cs="Arial" w:eastAsia="Arial" w:hAnsi="Arial"/>
                <w:color w:val="1A1A2E"/>
                <w:sz w:val="18"/>
                <w:szCs w:val="18"/>
              </w:rPr>
              <w:t xml:space="preserve">Reconciliation</w:t>
            </w:r>
          </w:p>
        </w:tc>
        <w:tc>
          <w:tcPr>
            <w:tcW w:type="dxa" w:w="3660"/>
            <w:tcBorders>
              <w:top w:val="single" w:color="B8D8C4" w:sz="1"/>
              <w:left w:val="single" w:color="B8D8C4" w:sz="1"/>
              <w:bottom w:val="single" w:color="B8D8C4" w:sz="1"/>
              <w:right w:val="single" w:color="B8D8C4" w:sz="1"/>
            </w:tcBorders>
            <w:shd w:fill="EDF7F1" w:val="clear"/>
            <w:tcMar>
              <w:top w:type="dxa" w:w="70"/>
              <w:left w:type="dxa" w:w="120"/>
              <w:bottom w:type="dxa" w:w="70"/>
              <w:right w:type="dxa" w:w="80"/>
            </w:tcMar>
          </w:tcPr>
          <w:p>
            <w:r>
              <w:rPr>
                <w:rFonts w:ascii="Arial" w:cs="Arial" w:eastAsia="Arial" w:hAnsi="Arial"/>
                <w:color w:val="1A1A2E"/>
                <w:sz w:val="18"/>
                <w:szCs w:val="18"/>
              </w:rPr>
              <w:t xml:space="preserve">Manual reconciliation across institutions; error-prone; high back-office cost</w:t>
            </w:r>
          </w:p>
        </w:tc>
        <w:tc>
          <w:tcPr>
            <w:tcW w:type="dxa" w:w="3660"/>
            <w:tcBorders>
              <w:top w:val="single" w:color="B8D8C4" w:sz="1"/>
              <w:left w:val="single" w:color="B8D8C4" w:sz="1"/>
              <w:bottom w:val="single" w:color="B8D8C4" w:sz="1"/>
              <w:right w:val="single" w:color="B8D8C4" w:sz="1"/>
            </w:tcBorders>
            <w:shd w:fill="EDF7F1" w:val="clear"/>
            <w:tcMar>
              <w:top w:type="dxa" w:w="70"/>
              <w:left w:type="dxa" w:w="120"/>
              <w:bottom w:type="dxa" w:w="70"/>
              <w:right w:type="dxa" w:w="80"/>
            </w:tcMar>
          </w:tcPr>
          <w:p>
            <w:r>
              <w:rPr>
                <w:rFonts w:ascii="Arial" w:cs="Arial" w:eastAsia="Arial" w:hAnsi="Arial"/>
                <w:color w:val="1A1A2E"/>
                <w:sz w:val="18"/>
                <w:szCs w:val="18"/>
              </w:rPr>
              <w:t xml:space="preserve">Automated, single shared ledger; eliminates reconciliation disputes</w:t>
            </w:r>
          </w:p>
        </w:tc>
      </w:tr>
      <w:tr>
        <w:tc>
          <w:tcPr>
            <w:tcW w:type="dxa" w:w="2400"/>
            <w:tcBorders>
              <w:top w:val="single" w:color="B8D8C4" w:sz="1"/>
              <w:left w:val="single" w:color="B8D8C4" w:sz="1"/>
              <w:bottom w:val="single" w:color="B8D8C4" w:sz="1"/>
              <w:right w:val="single" w:color="B8D8C4" w:sz="1"/>
            </w:tcBorders>
            <w:shd w:fill="FFFFFF" w:val="clear"/>
            <w:tcMar>
              <w:top w:type="dxa" w:w="70"/>
              <w:left w:type="dxa" w:w="120"/>
              <w:bottom w:type="dxa" w:w="70"/>
              <w:right w:type="dxa" w:w="80"/>
            </w:tcMar>
          </w:tcPr>
          <w:p>
            <w:r>
              <w:rPr>
                <w:rFonts w:ascii="Arial" w:cs="Arial" w:eastAsia="Arial" w:hAnsi="Arial"/>
                <w:color w:val="1A1A2E"/>
                <w:sz w:val="18"/>
                <w:szCs w:val="18"/>
              </w:rPr>
              <w:t xml:space="preserve">FX Conversion</w:t>
            </w:r>
          </w:p>
        </w:tc>
        <w:tc>
          <w:tcPr>
            <w:tcW w:type="dxa" w:w="3660"/>
            <w:tcBorders>
              <w:top w:val="single" w:color="B8D8C4" w:sz="1"/>
              <w:left w:val="single" w:color="B8D8C4" w:sz="1"/>
              <w:bottom w:val="single" w:color="B8D8C4" w:sz="1"/>
              <w:right w:val="single" w:color="B8D8C4" w:sz="1"/>
            </w:tcBorders>
            <w:shd w:fill="FFFFFF" w:val="clear"/>
            <w:tcMar>
              <w:top w:type="dxa" w:w="70"/>
              <w:left w:type="dxa" w:w="120"/>
              <w:bottom w:type="dxa" w:w="70"/>
              <w:right w:type="dxa" w:w="80"/>
            </w:tcMar>
          </w:tcPr>
          <w:p>
            <w:r>
              <w:rPr>
                <w:rFonts w:ascii="Arial" w:cs="Arial" w:eastAsia="Arial" w:hAnsi="Arial"/>
                <w:color w:val="1A1A2E"/>
                <w:sz w:val="18"/>
                <w:szCs w:val="18"/>
              </w:rPr>
              <w:t xml:space="preserve">Sequential conversion through correspondent chain; spread at each step</w:t>
            </w:r>
          </w:p>
        </w:tc>
        <w:tc>
          <w:tcPr>
            <w:tcW w:type="dxa" w:w="3660"/>
            <w:tcBorders>
              <w:top w:val="single" w:color="B8D8C4" w:sz="1"/>
              <w:left w:val="single" w:color="B8D8C4" w:sz="1"/>
              <w:bottom w:val="single" w:color="B8D8C4" w:sz="1"/>
              <w:right w:val="single" w:color="B8D8C4" w:sz="1"/>
            </w:tcBorders>
            <w:shd w:fill="FFFFFF" w:val="clear"/>
            <w:tcMar>
              <w:top w:type="dxa" w:w="70"/>
              <w:left w:type="dxa" w:w="120"/>
              <w:bottom w:type="dxa" w:w="70"/>
              <w:right w:type="dxa" w:w="80"/>
            </w:tcMar>
          </w:tcPr>
          <w:p>
            <w:r>
              <w:rPr>
                <w:rFonts w:ascii="Arial" w:cs="Arial" w:eastAsia="Arial" w:hAnsi="Arial"/>
                <w:color w:val="1A1A2E"/>
                <w:sz w:val="18"/>
                <w:szCs w:val="18"/>
              </w:rPr>
              <w:t xml:space="preserve">Atomic cross-currency swap possible; stablecoins/CBDCs enable direct conversion</w:t>
            </w:r>
          </w:p>
        </w:tc>
      </w:tr>
      <w:tr>
        <w:tc>
          <w:tcPr>
            <w:tcW w:type="dxa" w:w="2400"/>
            <w:tcBorders>
              <w:top w:val="single" w:color="B8D8C4" w:sz="1"/>
              <w:left w:val="single" w:color="B8D8C4" w:sz="1"/>
              <w:bottom w:val="single" w:color="B8D8C4" w:sz="1"/>
              <w:right w:val="single" w:color="B8D8C4" w:sz="1"/>
            </w:tcBorders>
            <w:shd w:fill="EDF7F1" w:val="clear"/>
            <w:tcMar>
              <w:top w:type="dxa" w:w="70"/>
              <w:left w:type="dxa" w:w="120"/>
              <w:bottom w:type="dxa" w:w="70"/>
              <w:right w:type="dxa" w:w="80"/>
            </w:tcMar>
          </w:tcPr>
          <w:p>
            <w:r>
              <w:rPr>
                <w:rFonts w:ascii="Arial" w:cs="Arial" w:eastAsia="Arial" w:hAnsi="Arial"/>
                <w:color w:val="1A1A2E"/>
                <w:sz w:val="18"/>
                <w:szCs w:val="18"/>
              </w:rPr>
              <w:t xml:space="preserve">AML/CFT</w:t>
            </w:r>
          </w:p>
        </w:tc>
        <w:tc>
          <w:tcPr>
            <w:tcW w:type="dxa" w:w="3660"/>
            <w:tcBorders>
              <w:top w:val="single" w:color="B8D8C4" w:sz="1"/>
              <w:left w:val="single" w:color="B8D8C4" w:sz="1"/>
              <w:bottom w:val="single" w:color="B8D8C4" w:sz="1"/>
              <w:right w:val="single" w:color="B8D8C4" w:sz="1"/>
            </w:tcBorders>
            <w:shd w:fill="EDF7F1" w:val="clear"/>
            <w:tcMar>
              <w:top w:type="dxa" w:w="70"/>
              <w:left w:type="dxa" w:w="120"/>
              <w:bottom w:type="dxa" w:w="70"/>
              <w:right w:type="dxa" w:w="80"/>
            </w:tcMar>
          </w:tcPr>
          <w:p>
            <w:r>
              <w:rPr>
                <w:rFonts w:ascii="Arial" w:cs="Arial" w:eastAsia="Arial" w:hAnsi="Arial"/>
                <w:color w:val="1A1A2E"/>
                <w:sz w:val="18"/>
                <w:szCs w:val="18"/>
              </w:rPr>
              <w:t xml:space="preserve">Established compliance infrastructure; well-understood obligations</w:t>
            </w:r>
          </w:p>
        </w:tc>
        <w:tc>
          <w:tcPr>
            <w:tcW w:type="dxa" w:w="3660"/>
            <w:tcBorders>
              <w:top w:val="single" w:color="B8D8C4" w:sz="1"/>
              <w:left w:val="single" w:color="B8D8C4" w:sz="1"/>
              <w:bottom w:val="single" w:color="B8D8C4" w:sz="1"/>
              <w:right w:val="single" w:color="B8D8C4" w:sz="1"/>
            </w:tcBorders>
            <w:shd w:fill="EDF7F1" w:val="clear"/>
            <w:tcMar>
              <w:top w:type="dxa" w:w="70"/>
              <w:left w:type="dxa" w:w="120"/>
              <w:bottom w:type="dxa" w:w="70"/>
              <w:right w:type="dxa" w:w="80"/>
            </w:tcMar>
          </w:tcPr>
          <w:p>
            <w:r>
              <w:rPr>
                <w:rFonts w:ascii="Arial" w:cs="Arial" w:eastAsia="Arial" w:hAnsi="Arial"/>
                <w:color w:val="1A1A2E"/>
                <w:sz w:val="18"/>
                <w:szCs w:val="18"/>
              </w:rPr>
              <w:t xml:space="preserve">Travel Rule required; on-chain analytics available; tooling maturing</w:t>
            </w:r>
          </w:p>
        </w:tc>
      </w:tr>
      <w:tr>
        <w:tc>
          <w:tcPr>
            <w:tcW w:type="dxa" w:w="2400"/>
            <w:tcBorders>
              <w:top w:val="single" w:color="B8D8C4" w:sz="1"/>
              <w:left w:val="single" w:color="B8D8C4" w:sz="1"/>
              <w:bottom w:val="single" w:color="B8D8C4" w:sz="1"/>
              <w:right w:val="single" w:color="B8D8C4" w:sz="1"/>
            </w:tcBorders>
            <w:shd w:fill="FFFFFF" w:val="clear"/>
            <w:tcMar>
              <w:top w:type="dxa" w:w="70"/>
              <w:left w:type="dxa" w:w="120"/>
              <w:bottom w:type="dxa" w:w="70"/>
              <w:right w:type="dxa" w:w="80"/>
            </w:tcMar>
          </w:tcPr>
          <w:p>
            <w:r>
              <w:rPr>
                <w:rFonts w:ascii="Arial" w:cs="Arial" w:eastAsia="Arial" w:hAnsi="Arial"/>
                <w:color w:val="1A1A2E"/>
                <w:sz w:val="18"/>
                <w:szCs w:val="18"/>
              </w:rPr>
              <w:t xml:space="preserve">Interoperability</w:t>
            </w:r>
          </w:p>
        </w:tc>
        <w:tc>
          <w:tcPr>
            <w:tcW w:type="dxa" w:w="3660"/>
            <w:tcBorders>
              <w:top w:val="single" w:color="B8D8C4" w:sz="1"/>
              <w:left w:val="single" w:color="B8D8C4" w:sz="1"/>
              <w:bottom w:val="single" w:color="B8D8C4" w:sz="1"/>
              <w:right w:val="single" w:color="B8D8C4" w:sz="1"/>
            </w:tcBorders>
            <w:shd w:fill="FFFFFF" w:val="clear"/>
            <w:tcMar>
              <w:top w:type="dxa" w:w="70"/>
              <w:left w:type="dxa" w:w="120"/>
              <w:bottom w:type="dxa" w:w="70"/>
              <w:right w:type="dxa" w:w="80"/>
            </w:tcMar>
          </w:tcPr>
          <w:p>
            <w:r>
              <w:rPr>
                <w:rFonts w:ascii="Arial" w:cs="Arial" w:eastAsia="Arial" w:hAnsi="Arial"/>
                <w:color w:val="1A1A2E"/>
                <w:sz w:val="18"/>
                <w:szCs w:val="18"/>
              </w:rPr>
              <w:t xml:space="preserve">Universal — 11,000+ institutions globally</w:t>
            </w:r>
          </w:p>
        </w:tc>
        <w:tc>
          <w:tcPr>
            <w:tcW w:type="dxa" w:w="3660"/>
            <w:tcBorders>
              <w:top w:val="single" w:color="B8D8C4" w:sz="1"/>
              <w:left w:val="single" w:color="B8D8C4" w:sz="1"/>
              <w:bottom w:val="single" w:color="B8D8C4" w:sz="1"/>
              <w:right w:val="single" w:color="B8D8C4" w:sz="1"/>
            </w:tcBorders>
            <w:shd w:fill="FFFFFF" w:val="clear"/>
            <w:tcMar>
              <w:top w:type="dxa" w:w="70"/>
              <w:left w:type="dxa" w:w="120"/>
              <w:bottom w:type="dxa" w:w="70"/>
              <w:right w:type="dxa" w:w="80"/>
            </w:tcMar>
          </w:tcPr>
          <w:p>
            <w:r>
              <w:rPr>
                <w:rFonts w:ascii="Arial" w:cs="Arial" w:eastAsia="Arial" w:hAnsi="Arial"/>
                <w:color w:val="1A1A2E"/>
                <w:sz w:val="18"/>
                <w:szCs w:val="18"/>
              </w:rPr>
              <w:t xml:space="preserve">Fragmented; ILP and ISO 20022 emerging as standards</w:t>
            </w:r>
          </w:p>
        </w:tc>
      </w:tr>
    </w:tbl>
    <w:p>
      <w:pPr>
        <w:spacing w:after="160"/>
      </w:pPr>
    </w:p>
    <w:p>
      <w:pPr>
        <w:pStyle w:val="Heading2"/>
        <w:pBdr>
          <w:bottom w:val="single" w:color="1A6B3C" w:sz="4" w:space="1"/>
        </w:pBdr>
        <w:spacing w:after="100" w:before="240"/>
      </w:pPr>
      <w:r>
        <w:rPr>
          <w:rFonts w:ascii="Arial" w:cs="Arial" w:eastAsia="Arial" w:hAnsi="Arial"/>
          <w:b/>
          <w:bCs/>
          <w:color w:val="0B2447"/>
          <w:sz w:val="26"/>
          <w:szCs w:val="26"/>
        </w:rPr>
        <w:t xml:space="preserve">Key Advantages for CFG</w:t>
      </w:r>
    </w:p>
    <w:p>
      <w:pPr>
        <w:spacing w:after="6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
        <w:gridCol w:w="9520"/>
      </w:tblGrid>
      <w:tr>
        <w:tc>
          <w:tcPr>
            <w:tcW w:type="dxa" w:w="200"/>
            <w:tcBorders>
              <w:top w:val="none" w:color="FFFFFF" w:sz="0"/>
              <w:left w:val="none" w:color="FFFFFF" w:sz="0"/>
              <w:bottom w:val="none" w:color="FFFFFF" w:sz="0"/>
              <w:right w:val="none" w:color="FFFFFF" w:sz="0"/>
            </w:tcBorders>
            <w:shd w:fill="1A6B3C" w:val="clear"/>
            <w:tcMar>
              <w:top w:type="dxa" w:w="100"/>
              <w:left w:type="dxa" w:w="0"/>
              <w:bottom w:type="dxa" w:w="100"/>
              <w:right w:type="dxa" w:w="0"/>
            </w:tcMar>
          </w:tcPr>
          <w:p>
            <w:pPr>
              <w:spacing w:after="100"/>
            </w:pPr>
          </w:p>
        </w:tc>
        <w:tc>
          <w:tcPr>
            <w:tcW w:type="dxa" w:w="9520"/>
            <w:tcBorders>
              <w:top w:val="single" w:color="B8D8C4" w:sz="1"/>
              <w:left w:val="single" w:color="B8D8C4" w:sz="1"/>
              <w:bottom w:val="single" w:color="B8D8C4" w:sz="1"/>
              <w:right w:val="single" w:color="B8D8C4" w:sz="1"/>
            </w:tcBorders>
            <w:shd w:fill="EDF7F1" w:val="clear"/>
            <w:tcMar>
              <w:top w:type="dxa" w:w="100"/>
              <w:left w:type="dxa" w:w="160"/>
              <w:bottom w:type="dxa" w:w="100"/>
              <w:right w:type="dxa" w:w="120"/>
            </w:tcMar>
          </w:tcPr>
          <w:p>
            <w:pPr>
              <w:spacing w:after="40"/>
            </w:pPr>
            <w:r>
              <w:rPr>
                <w:rFonts w:ascii="Arial" w:cs="Arial" w:eastAsia="Arial" w:hAnsi="Arial"/>
                <w:b/>
                <w:bCs/>
                <w:color w:val="0B2447"/>
                <w:sz w:val="20"/>
                <w:szCs w:val="20"/>
              </w:rPr>
              <w:t xml:space="preserve">Speed &amp; Competitiveness</w:t>
            </w:r>
          </w:p>
          <w:p>
            <w:r>
              <w:rPr>
                <w:rFonts w:ascii="Arial" w:cs="Arial" w:eastAsia="Arial" w:hAnsi="Arial"/>
                <w:color w:val="1A1A2E"/>
                <w:sz w:val="19"/>
                <w:szCs w:val="19"/>
              </w:rPr>
              <w:t xml:space="preserve">RippleNet and Wise already offer near-instant remittances. Blockchain adoption enables sub-minute cross-border settlement — directly responding to the CEO's mandate to leapfrog fintech competitors.</w:t>
            </w:r>
          </w:p>
        </w:tc>
      </w:tr>
    </w:tbl>
    <w:p>
      <w:pPr>
        <w:spacing w:after="8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
        <w:gridCol w:w="9520"/>
      </w:tblGrid>
      <w:tr>
        <w:tc>
          <w:tcPr>
            <w:tcW w:type="dxa" w:w="200"/>
            <w:tcBorders>
              <w:top w:val="none" w:color="FFFFFF" w:sz="0"/>
              <w:left w:val="none" w:color="FFFFFF" w:sz="0"/>
              <w:bottom w:val="none" w:color="FFFFFF" w:sz="0"/>
              <w:right w:val="none" w:color="FFFFFF" w:sz="0"/>
            </w:tcBorders>
            <w:shd w:fill="1A6B3C" w:val="clear"/>
            <w:tcMar>
              <w:top w:type="dxa" w:w="100"/>
              <w:left w:type="dxa" w:w="0"/>
              <w:bottom w:type="dxa" w:w="100"/>
              <w:right w:type="dxa" w:w="0"/>
            </w:tcMar>
          </w:tcPr>
          <w:p>
            <w:pPr>
              <w:spacing w:after="100"/>
            </w:pPr>
          </w:p>
        </w:tc>
        <w:tc>
          <w:tcPr>
            <w:tcW w:type="dxa" w:w="9520"/>
            <w:tcBorders>
              <w:top w:val="single" w:color="B8D8C4" w:sz="1"/>
              <w:left w:val="single" w:color="B8D8C4" w:sz="1"/>
              <w:bottom w:val="single" w:color="B8D8C4" w:sz="1"/>
              <w:right w:val="single" w:color="B8D8C4" w:sz="1"/>
            </w:tcBorders>
            <w:shd w:fill="EDF7F1" w:val="clear"/>
            <w:tcMar>
              <w:top w:type="dxa" w:w="100"/>
              <w:left w:type="dxa" w:w="160"/>
              <w:bottom w:type="dxa" w:w="100"/>
              <w:right w:type="dxa" w:w="120"/>
            </w:tcMar>
          </w:tcPr>
          <w:p>
            <w:pPr>
              <w:spacing w:after="40"/>
            </w:pPr>
            <w:r>
              <w:rPr>
                <w:rFonts w:ascii="Arial" w:cs="Arial" w:eastAsia="Arial" w:hAnsi="Arial"/>
                <w:b/>
                <w:bCs/>
                <w:color w:val="0B2447"/>
                <w:sz w:val="20"/>
                <w:szCs w:val="20"/>
              </w:rPr>
              <w:t xml:space="preserve">Cost Reduction</w:t>
            </w:r>
          </w:p>
          <w:p>
            <w:r>
              <w:rPr>
                <w:rFonts w:ascii="Arial" w:cs="Arial" w:eastAsia="Arial" w:hAnsi="Arial"/>
                <w:color w:val="1A1A2E"/>
                <w:sz w:val="19"/>
                <w:szCs w:val="19"/>
              </w:rPr>
              <w:t xml:space="preserve">Eliminating correspondent banking chains can reduce CFG's remittance costs by 40–80%, improving margins and enabling competitive retail pricing.</w:t>
            </w:r>
          </w:p>
        </w:tc>
      </w:tr>
    </w:tbl>
    <w:p>
      <w:pPr>
        <w:spacing w:after="8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
        <w:gridCol w:w="9520"/>
      </w:tblGrid>
      <w:tr>
        <w:tc>
          <w:tcPr>
            <w:tcW w:type="dxa" w:w="200"/>
            <w:tcBorders>
              <w:top w:val="none" w:color="FFFFFF" w:sz="0"/>
              <w:left w:val="none" w:color="FFFFFF" w:sz="0"/>
              <w:bottom w:val="none" w:color="FFFFFF" w:sz="0"/>
              <w:right w:val="none" w:color="FFFFFF" w:sz="0"/>
            </w:tcBorders>
            <w:shd w:fill="1A6B3C" w:val="clear"/>
            <w:tcMar>
              <w:top w:type="dxa" w:w="100"/>
              <w:left w:type="dxa" w:w="0"/>
              <w:bottom w:type="dxa" w:w="100"/>
              <w:right w:type="dxa" w:w="0"/>
            </w:tcMar>
          </w:tcPr>
          <w:p>
            <w:pPr>
              <w:spacing w:after="100"/>
            </w:pPr>
          </w:p>
        </w:tc>
        <w:tc>
          <w:tcPr>
            <w:tcW w:type="dxa" w:w="9520"/>
            <w:tcBorders>
              <w:top w:val="single" w:color="B8D8C4" w:sz="1"/>
              <w:left w:val="single" w:color="B8D8C4" w:sz="1"/>
              <w:bottom w:val="single" w:color="B8D8C4" w:sz="1"/>
              <w:right w:val="single" w:color="B8D8C4" w:sz="1"/>
            </w:tcBorders>
            <w:shd w:fill="EDF7F1" w:val="clear"/>
            <w:tcMar>
              <w:top w:type="dxa" w:w="100"/>
              <w:left w:type="dxa" w:w="160"/>
              <w:bottom w:type="dxa" w:w="100"/>
              <w:right w:type="dxa" w:w="120"/>
            </w:tcMar>
          </w:tcPr>
          <w:p>
            <w:pPr>
              <w:spacing w:after="40"/>
            </w:pPr>
            <w:r>
              <w:rPr>
                <w:rFonts w:ascii="Arial" w:cs="Arial" w:eastAsia="Arial" w:hAnsi="Arial"/>
                <w:b/>
                <w:bCs/>
                <w:color w:val="0B2447"/>
                <w:sz w:val="20"/>
                <w:szCs w:val="20"/>
              </w:rPr>
              <w:t xml:space="preserve">Liquidity Optimisation</w:t>
            </w:r>
          </w:p>
          <w:p>
            <w:r>
              <w:rPr>
                <w:rFonts w:ascii="Arial" w:cs="Arial" w:eastAsia="Arial" w:hAnsi="Arial"/>
                <w:color w:val="1A1A2E"/>
                <w:sz w:val="19"/>
                <w:szCs w:val="19"/>
              </w:rPr>
              <w:t xml:space="preserve">DLT eliminates pre-funded nostro/vostro accounts in each corridor, freeing trapped capital for redeployment.</w:t>
            </w:r>
          </w:p>
        </w:tc>
      </w:tr>
    </w:tbl>
    <w:p>
      <w:pPr>
        <w:spacing w:after="8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
        <w:gridCol w:w="9520"/>
      </w:tblGrid>
      <w:tr>
        <w:tc>
          <w:tcPr>
            <w:tcW w:type="dxa" w:w="200"/>
            <w:tcBorders>
              <w:top w:val="none" w:color="FFFFFF" w:sz="0"/>
              <w:left w:val="none" w:color="FFFFFF" w:sz="0"/>
              <w:bottom w:val="none" w:color="FFFFFF" w:sz="0"/>
              <w:right w:val="none" w:color="FFFFFF" w:sz="0"/>
            </w:tcBorders>
            <w:shd w:fill="1A6B3C" w:val="clear"/>
            <w:tcMar>
              <w:top w:type="dxa" w:w="100"/>
              <w:left w:type="dxa" w:w="0"/>
              <w:bottom w:type="dxa" w:w="100"/>
              <w:right w:type="dxa" w:w="0"/>
            </w:tcMar>
          </w:tcPr>
          <w:p>
            <w:pPr>
              <w:spacing w:after="100"/>
            </w:pPr>
          </w:p>
        </w:tc>
        <w:tc>
          <w:tcPr>
            <w:tcW w:type="dxa" w:w="9520"/>
            <w:tcBorders>
              <w:top w:val="single" w:color="B8D8C4" w:sz="1"/>
              <w:left w:val="single" w:color="B8D8C4" w:sz="1"/>
              <w:bottom w:val="single" w:color="B8D8C4" w:sz="1"/>
              <w:right w:val="single" w:color="B8D8C4" w:sz="1"/>
            </w:tcBorders>
            <w:shd w:fill="EDF7F1" w:val="clear"/>
            <w:tcMar>
              <w:top w:type="dxa" w:w="100"/>
              <w:left w:type="dxa" w:w="160"/>
              <w:bottom w:type="dxa" w:w="100"/>
              <w:right w:type="dxa" w:w="120"/>
            </w:tcMar>
          </w:tcPr>
          <w:p>
            <w:pPr>
              <w:spacing w:after="40"/>
            </w:pPr>
            <w:r>
              <w:rPr>
                <w:rFonts w:ascii="Arial" w:cs="Arial" w:eastAsia="Arial" w:hAnsi="Arial"/>
                <w:b/>
                <w:bCs/>
                <w:color w:val="0B2447"/>
                <w:sz w:val="20"/>
                <w:szCs w:val="20"/>
              </w:rPr>
              <w:t xml:space="preserve">Programmable Compliance</w:t>
            </w:r>
          </w:p>
          <w:p>
            <w:r>
              <w:rPr>
                <w:rFonts w:ascii="Arial" w:cs="Arial" w:eastAsia="Arial" w:hAnsi="Arial"/>
                <w:color w:val="1A1A2E"/>
                <w:sz w:val="19"/>
                <w:szCs w:val="19"/>
              </w:rPr>
              <w:t xml:space="preserve">Smart contracts embed AML/CFT checks, Travel Rule data, and sanctions screening directly into the payment rail — automating compliance at the protocol layer.</w:t>
            </w:r>
          </w:p>
        </w:tc>
      </w:tr>
    </w:tbl>
    <w:p>
      <w:pPr>
        <w:spacing w:after="8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
        <w:gridCol w:w="9520"/>
      </w:tblGrid>
      <w:tr>
        <w:tc>
          <w:tcPr>
            <w:tcW w:type="dxa" w:w="200"/>
            <w:tcBorders>
              <w:top w:val="none" w:color="FFFFFF" w:sz="0"/>
              <w:left w:val="none" w:color="FFFFFF" w:sz="0"/>
              <w:bottom w:val="none" w:color="FFFFFF" w:sz="0"/>
              <w:right w:val="none" w:color="FFFFFF" w:sz="0"/>
            </w:tcBorders>
            <w:shd w:fill="1A6B3C" w:val="clear"/>
            <w:tcMar>
              <w:top w:type="dxa" w:w="100"/>
              <w:left w:type="dxa" w:w="0"/>
              <w:bottom w:type="dxa" w:w="100"/>
              <w:right w:type="dxa" w:w="0"/>
            </w:tcMar>
          </w:tcPr>
          <w:p>
            <w:pPr>
              <w:spacing w:after="100"/>
            </w:pPr>
          </w:p>
        </w:tc>
        <w:tc>
          <w:tcPr>
            <w:tcW w:type="dxa" w:w="9520"/>
            <w:tcBorders>
              <w:top w:val="single" w:color="B8D8C4" w:sz="1"/>
              <w:left w:val="single" w:color="B8D8C4" w:sz="1"/>
              <w:bottom w:val="single" w:color="B8D8C4" w:sz="1"/>
              <w:right w:val="single" w:color="B8D8C4" w:sz="1"/>
            </w:tcBorders>
            <w:shd w:fill="EDF7F1" w:val="clear"/>
            <w:tcMar>
              <w:top w:type="dxa" w:w="100"/>
              <w:left w:type="dxa" w:w="160"/>
              <w:bottom w:type="dxa" w:w="100"/>
              <w:right w:type="dxa" w:w="120"/>
            </w:tcMar>
          </w:tcPr>
          <w:p>
            <w:pPr>
              <w:spacing w:after="40"/>
            </w:pPr>
            <w:r>
              <w:rPr>
                <w:rFonts w:ascii="Arial" w:cs="Arial" w:eastAsia="Arial" w:hAnsi="Arial"/>
                <w:b/>
                <w:bCs/>
                <w:color w:val="0B2447"/>
                <w:sz w:val="20"/>
                <w:szCs w:val="20"/>
              </w:rPr>
              <w:t xml:space="preserve">Audit Trail &amp; Transparency</w:t>
            </w:r>
          </w:p>
          <w:p>
            <w:r>
              <w:rPr>
                <w:rFonts w:ascii="Arial" w:cs="Arial" w:eastAsia="Arial" w:hAnsi="Arial"/>
                <w:color w:val="1A1A2E"/>
                <w:sz w:val="19"/>
                <w:szCs w:val="19"/>
              </w:rPr>
              <w:t xml:space="preserve">An immutable shared ledger gives CFG, counterparties, and MAS a real-time, tamper-proof record of every transaction — strengthening supervisory reporting.</w:t>
            </w:r>
          </w:p>
        </w:tc>
      </w:tr>
    </w:tbl>
    <w:p>
      <w:pPr>
        <w:spacing w:after="8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
        <w:gridCol w:w="9520"/>
      </w:tblGrid>
      <w:tr>
        <w:tc>
          <w:tcPr>
            <w:tcW w:type="dxa" w:w="200"/>
            <w:tcBorders>
              <w:top w:val="none" w:color="FFFFFF" w:sz="0"/>
              <w:left w:val="none" w:color="FFFFFF" w:sz="0"/>
              <w:bottom w:val="none" w:color="FFFFFF" w:sz="0"/>
              <w:right w:val="none" w:color="FFFFFF" w:sz="0"/>
            </w:tcBorders>
            <w:shd w:fill="1A6B3C" w:val="clear"/>
            <w:tcMar>
              <w:top w:type="dxa" w:w="100"/>
              <w:left w:type="dxa" w:w="0"/>
              <w:bottom w:type="dxa" w:w="100"/>
              <w:right w:type="dxa" w:w="0"/>
            </w:tcMar>
          </w:tcPr>
          <w:p>
            <w:pPr>
              <w:spacing w:after="100"/>
            </w:pPr>
          </w:p>
        </w:tc>
        <w:tc>
          <w:tcPr>
            <w:tcW w:type="dxa" w:w="9520"/>
            <w:tcBorders>
              <w:top w:val="single" w:color="B8D8C4" w:sz="1"/>
              <w:left w:val="single" w:color="B8D8C4" w:sz="1"/>
              <w:bottom w:val="single" w:color="B8D8C4" w:sz="1"/>
              <w:right w:val="single" w:color="B8D8C4" w:sz="1"/>
            </w:tcBorders>
            <w:shd w:fill="EDF7F1" w:val="clear"/>
            <w:tcMar>
              <w:top w:type="dxa" w:w="100"/>
              <w:left w:type="dxa" w:w="160"/>
              <w:bottom w:type="dxa" w:w="100"/>
              <w:right w:type="dxa" w:w="120"/>
            </w:tcMar>
          </w:tcPr>
          <w:p>
            <w:pPr>
              <w:spacing w:after="40"/>
            </w:pPr>
            <w:r>
              <w:rPr>
                <w:rFonts w:ascii="Arial" w:cs="Arial" w:eastAsia="Arial" w:hAnsi="Arial"/>
                <w:b/>
                <w:bCs/>
                <w:color w:val="0B2447"/>
                <w:sz w:val="20"/>
                <w:szCs w:val="20"/>
              </w:rPr>
              <w:t xml:space="preserve">MAS Strategic Alignment</w:t>
            </w:r>
          </w:p>
          <w:p>
            <w:r>
              <w:rPr>
                <w:rFonts w:ascii="Arial" w:cs="Arial" w:eastAsia="Arial" w:hAnsi="Arial"/>
                <w:color w:val="1A1A2E"/>
                <w:sz w:val="19"/>
                <w:szCs w:val="19"/>
              </w:rPr>
              <w:t xml:space="preserve">MAS Project Ubin and Project mBridge demonstrate Singapore's commitment to DLT-based cross-border payments. CFG's pilot aligns with this direction.</w:t>
            </w:r>
          </w:p>
        </w:tc>
      </w:tr>
    </w:tbl>
    <w:p>
      <w:pPr>
        <w:spacing w:after="80"/>
      </w:pPr>
    </w:p>
    <w:p>
      <w:pPr>
        <w:spacing w:after="160"/>
      </w:pPr>
    </w:p>
    <w:p>
      <w:r>
        <w:br w:type="pag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800"/>
        <w:gridCol w:w="8920"/>
      </w:tblGrid>
      <w:tr>
        <w:tc>
          <w:tcPr>
            <w:tcW w:type="dxa" w:w="800"/>
            <w:tcBorders>
              <w:top w:val="single" w:color="1A6B3C" w:sz="1"/>
              <w:left w:val="single" w:color="1A6B3C" w:sz="1"/>
              <w:bottom w:val="single" w:color="1A6B3C" w:sz="1"/>
              <w:right w:val="single" w:color="1A6B3C" w:sz="1"/>
            </w:tcBorders>
            <w:shd w:fill="1A6B3C" w:val="clear"/>
            <w:tcMar>
              <w:top w:type="dxa" w:w="120"/>
              <w:left w:type="dxa" w:w="100"/>
              <w:bottom w:type="dxa" w:w="120"/>
              <w:right w:type="dxa" w:w="100"/>
            </w:tcMar>
            <w:vAlign w:val="center"/>
          </w:tcPr>
          <w:p>
            <w:pPr>
              <w:jc w:val="center"/>
            </w:pPr>
            <w:r>
              <w:rPr>
                <w:rFonts w:ascii="Arial" w:cs="Arial" w:eastAsia="Arial" w:hAnsi="Arial"/>
                <w:b/>
                <w:bCs/>
                <w:color w:val="FFFFFF"/>
                <w:sz w:val="28"/>
                <w:szCs w:val="28"/>
              </w:rPr>
              <w:t xml:space="preserve">Q2</w:t>
            </w:r>
          </w:p>
        </w:tc>
        <w:tc>
          <w:tcPr>
            <w:tcW w:type="dxa" w:w="8920"/>
            <w:tcBorders>
              <w:top w:val="single" w:color="0B2447" w:sz="1"/>
              <w:left w:val="single" w:color="0B2447" w:sz="1"/>
              <w:bottom w:val="single" w:color="0B2447" w:sz="1"/>
              <w:right w:val="single" w:color="0B2447" w:sz="1"/>
            </w:tcBorders>
            <w:shd w:fill="0B2447" w:val="clear"/>
            <w:tcMar>
              <w:top w:type="dxa" w:w="120"/>
              <w:left w:type="dxa" w:w="180"/>
              <w:bottom w:type="dxa" w:w="120"/>
              <w:right w:type="dxa" w:w="120"/>
            </w:tcMar>
            <w:vAlign w:val="center"/>
          </w:tcPr>
          <w:p>
            <w:r>
              <w:rPr>
                <w:rFonts w:ascii="Arial" w:cs="Arial" w:eastAsia="Arial" w:hAnsi="Arial"/>
                <w:b/>
                <w:bCs/>
                <w:color w:val="FFFFFF"/>
                <w:sz w:val="22"/>
                <w:szCs w:val="22"/>
              </w:rPr>
              <w:t xml:space="preserve">What are the major risks of blockchain and cryptocurrency in CFG's operations?</w:t>
            </w:r>
          </w:p>
        </w:tc>
      </w:tr>
    </w:tbl>
    <w:p>
      <w:pPr>
        <w:spacing w:after="120"/>
      </w:pPr>
    </w:p>
    <w:p>
      <w:pPr>
        <w:pStyle w:val="Heading2"/>
        <w:pBdr>
          <w:bottom w:val="single" w:color="1A6B3C" w:sz="4" w:space="1"/>
        </w:pBdr>
        <w:spacing w:after="100" w:before="240"/>
      </w:pPr>
      <w:r>
        <w:rPr>
          <w:rFonts w:ascii="Arial" w:cs="Arial" w:eastAsia="Arial" w:hAnsi="Arial"/>
          <w:b/>
          <w:bCs/>
          <w:color w:val="0B2447"/>
          <w:sz w:val="26"/>
          <w:szCs w:val="26"/>
        </w:rPr>
        <w:t xml:space="preserve">Seven Major Risk Categories</w:t>
      </w:r>
    </w:p>
    <w:p>
      <w:pPr>
        <w:spacing w:after="8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B8D8C4" w:sz="1"/>
              <w:left w:val="single" w:color="B91C1C" w:sz="14"/>
              <w:bottom w:val="single" w:color="B8D8C4" w:sz="1"/>
              <w:right w:val="single" w:color="B8D8C4" w:sz="1"/>
            </w:tcBorders>
            <w:shd w:fill="FFF8F8" w:val="clear"/>
            <w:tcMar>
              <w:top w:type="dxa" w:w="100"/>
              <w:left w:type="dxa" w:w="200"/>
              <w:bottom w:type="dxa" w:w="100"/>
              <w:right w:type="dxa" w:w="160"/>
            </w:tcMar>
          </w:tcPr>
          <w:p>
            <w:pPr>
              <w:spacing w:after="50"/>
            </w:pPr>
            <w:r>
              <w:rPr>
                <w:rFonts w:ascii="Arial" w:cs="Arial" w:eastAsia="Arial" w:hAnsi="Arial"/>
                <w:b/>
                <w:bCs/>
                <w:color w:val="B91C1C"/>
                <w:sz w:val="20"/>
                <w:szCs w:val="20"/>
              </w:rPr>
              <w:t xml:space="preserve">1.  AML/CFT &amp; Regulatory Risk</w:t>
            </w:r>
          </w:p>
          <w:p>
            <w:r>
              <w:rPr>
                <w:rFonts w:ascii="Arial" w:cs="Arial" w:eastAsia="Arial" w:hAnsi="Arial"/>
                <w:color w:val="1A1A2E"/>
                <w:sz w:val="19"/>
                <w:szCs w:val="19"/>
              </w:rPr>
              <w:t xml:space="preserve">Blockchain's pseudonymous nature creates exposure to money laundering, terrorism financing, and sanctions evasion. MAS Notice PSN02 mandates robust AML/CFT controls for DPT service providers. Cross-border transactions span multiple jurisdictions — each with different regulatory regimes. The Travel Rule (MAS Notice PSN02A) requires CFG to transmit originator/beneficiary data for transfers above SGD 1,500.</w:t>
            </w:r>
          </w:p>
        </w:tc>
      </w:tr>
    </w:tbl>
    <w:p>
      <w:pPr>
        <w:spacing w:after="8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B8D8C4" w:sz="1"/>
              <w:left w:val="single" w:color="B91C1C" w:sz="14"/>
              <w:bottom w:val="single" w:color="B8D8C4" w:sz="1"/>
              <w:right w:val="single" w:color="B8D8C4" w:sz="1"/>
            </w:tcBorders>
            <w:shd w:fill="FFF8F8" w:val="clear"/>
            <w:tcMar>
              <w:top w:type="dxa" w:w="100"/>
              <w:left w:type="dxa" w:w="200"/>
              <w:bottom w:type="dxa" w:w="100"/>
              <w:right w:type="dxa" w:w="160"/>
            </w:tcMar>
          </w:tcPr>
          <w:p>
            <w:pPr>
              <w:spacing w:after="50"/>
            </w:pPr>
            <w:r>
              <w:rPr>
                <w:rFonts w:ascii="Arial" w:cs="Arial" w:eastAsia="Arial" w:hAnsi="Arial"/>
                <w:b/>
                <w:bCs/>
                <w:color w:val="B91C1C"/>
                <w:sz w:val="20"/>
                <w:szCs w:val="20"/>
              </w:rPr>
              <w:t xml:space="preserve">2.  Smart Contract Vulnerabilities (CISO Risk)</w:t>
            </w:r>
          </w:p>
          <w:p>
            <w:r>
              <w:rPr>
                <w:rFonts w:ascii="Arial" w:cs="Arial" w:eastAsia="Arial" w:hAnsi="Arial"/>
                <w:color w:val="1A1A2E"/>
                <w:sz w:val="19"/>
                <w:szCs w:val="19"/>
              </w:rPr>
              <w:t xml:space="preserve">Smart contracts are immutable once deployed — bugs cannot be easily patched. Exploits (reentrancy attacks, integer overflow, logic errors) have caused billions in losses industry-wide. Any smart contract underpinning CFG's payment rails must undergo rigorous third-party auditing before deployment.</w:t>
            </w:r>
          </w:p>
        </w:tc>
      </w:tr>
    </w:tbl>
    <w:p>
      <w:pPr>
        <w:spacing w:after="8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B8D8C4" w:sz="1"/>
              <w:left w:val="single" w:color="B91C1C" w:sz="14"/>
              <w:bottom w:val="single" w:color="B8D8C4" w:sz="1"/>
              <w:right w:val="single" w:color="B8D8C4" w:sz="1"/>
            </w:tcBorders>
            <w:shd w:fill="FFF8F8" w:val="clear"/>
            <w:tcMar>
              <w:top w:type="dxa" w:w="100"/>
              <w:left w:type="dxa" w:w="200"/>
              <w:bottom w:type="dxa" w:w="100"/>
              <w:right w:type="dxa" w:w="160"/>
            </w:tcMar>
          </w:tcPr>
          <w:p>
            <w:pPr>
              <w:spacing w:after="50"/>
            </w:pPr>
            <w:r>
              <w:rPr>
                <w:rFonts w:ascii="Arial" w:cs="Arial" w:eastAsia="Arial" w:hAnsi="Arial"/>
                <w:b/>
                <w:bCs/>
                <w:color w:val="B91C1C"/>
                <w:sz w:val="20"/>
                <w:szCs w:val="20"/>
              </w:rPr>
              <w:t xml:space="preserve">3.  Transaction Cost Volatility (CFO Risk)</w:t>
            </w:r>
          </w:p>
          <w:p>
            <w:r>
              <w:rPr>
                <w:rFonts w:ascii="Arial" w:cs="Arial" w:eastAsia="Arial" w:hAnsi="Arial"/>
                <w:color w:val="1A1A2E"/>
                <w:sz w:val="19"/>
                <w:szCs w:val="19"/>
              </w:rPr>
              <w:t xml:space="preserve">On public blockchain networks, gas fees fluctuate dramatically based on network congestion. For a permissioned blockchain (recommended for CFG), transaction costs are more predictable — but must be negotiated and documented in the network governance agreement.</w:t>
            </w:r>
          </w:p>
        </w:tc>
      </w:tr>
    </w:tbl>
    <w:p>
      <w:pPr>
        <w:spacing w:after="8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B8D8C4" w:sz="1"/>
              <w:left w:val="single" w:color="B91C1C" w:sz="14"/>
              <w:bottom w:val="single" w:color="B8D8C4" w:sz="1"/>
              <w:right w:val="single" w:color="B8D8C4" w:sz="1"/>
            </w:tcBorders>
            <w:shd w:fill="FFF8F8" w:val="clear"/>
            <w:tcMar>
              <w:top w:type="dxa" w:w="100"/>
              <w:left w:type="dxa" w:w="200"/>
              <w:bottom w:type="dxa" w:w="100"/>
              <w:right w:type="dxa" w:w="160"/>
            </w:tcMar>
          </w:tcPr>
          <w:p>
            <w:pPr>
              <w:spacing w:after="50"/>
            </w:pPr>
            <w:r>
              <w:rPr>
                <w:rFonts w:ascii="Arial" w:cs="Arial" w:eastAsia="Arial" w:hAnsi="Arial"/>
                <w:b/>
                <w:bCs/>
                <w:color w:val="B91C1C"/>
                <w:sz w:val="20"/>
                <w:szCs w:val="20"/>
              </w:rPr>
              <w:t xml:space="preserve">4.  Cybersecurity &amp; Key Management Risk</w:t>
            </w:r>
          </w:p>
          <w:p>
            <w:r>
              <w:rPr>
                <w:rFonts w:ascii="Arial" w:cs="Arial" w:eastAsia="Arial" w:hAnsi="Arial"/>
                <w:color w:val="1A1A2E"/>
                <w:sz w:val="19"/>
                <w:szCs w:val="19"/>
              </w:rPr>
              <w:t xml:space="preserve">Private key compromise is irreversible — unlike traditional banking, there is no central authority to reverse transactions or restore lost assets. CFG must implement multi-signature wallets, Hardware Security Modules (HSMs), and cold storage protocols.</w:t>
            </w:r>
          </w:p>
        </w:tc>
      </w:tr>
    </w:tbl>
    <w:p>
      <w:pPr>
        <w:spacing w:after="8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B8D8C4" w:sz="1"/>
              <w:left w:val="single" w:color="B91C1C" w:sz="14"/>
              <w:bottom w:val="single" w:color="B8D8C4" w:sz="1"/>
              <w:right w:val="single" w:color="B8D8C4" w:sz="1"/>
            </w:tcBorders>
            <w:shd w:fill="FFF8F8" w:val="clear"/>
            <w:tcMar>
              <w:top w:type="dxa" w:w="100"/>
              <w:left w:type="dxa" w:w="200"/>
              <w:bottom w:type="dxa" w:w="100"/>
              <w:right w:type="dxa" w:w="160"/>
            </w:tcMar>
          </w:tcPr>
          <w:p>
            <w:pPr>
              <w:spacing w:after="50"/>
            </w:pPr>
            <w:r>
              <w:rPr>
                <w:rFonts w:ascii="Arial" w:cs="Arial" w:eastAsia="Arial" w:hAnsi="Arial"/>
                <w:b/>
                <w:bCs/>
                <w:color w:val="B91C1C"/>
                <w:sz w:val="20"/>
                <w:szCs w:val="20"/>
              </w:rPr>
              <w:t xml:space="preserve">5.  Data Localisation &amp; Privacy Risk</w:t>
            </w:r>
          </w:p>
          <w:p>
            <w:r>
              <w:rPr>
                <w:rFonts w:ascii="Arial" w:cs="Arial" w:eastAsia="Arial" w:hAnsi="Arial"/>
                <w:color w:val="1A1A2E"/>
                <w:sz w:val="19"/>
                <w:szCs w:val="19"/>
              </w:rPr>
              <w:t xml:space="preserve">Singapore's PDPA and analogous laws impose data residency requirements. An immutable blockchain conflicts with the right to erasure — personal data written on-chain cannot be deleted. CFG must carefully architect what data is stored on-chain vs off-chain.</w:t>
            </w:r>
          </w:p>
        </w:tc>
      </w:tr>
    </w:tbl>
    <w:p>
      <w:pPr>
        <w:spacing w:after="8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B8D8C4" w:sz="1"/>
              <w:left w:val="single" w:color="B91C1C" w:sz="14"/>
              <w:bottom w:val="single" w:color="B8D8C4" w:sz="1"/>
              <w:right w:val="single" w:color="B8D8C4" w:sz="1"/>
            </w:tcBorders>
            <w:shd w:fill="FFF8F8" w:val="clear"/>
            <w:tcMar>
              <w:top w:type="dxa" w:w="100"/>
              <w:left w:type="dxa" w:w="200"/>
              <w:bottom w:type="dxa" w:w="100"/>
              <w:right w:type="dxa" w:w="160"/>
            </w:tcMar>
          </w:tcPr>
          <w:p>
            <w:pPr>
              <w:spacing w:after="50"/>
            </w:pPr>
            <w:r>
              <w:rPr>
                <w:rFonts w:ascii="Arial" w:cs="Arial" w:eastAsia="Arial" w:hAnsi="Arial"/>
                <w:b/>
                <w:bCs/>
                <w:color w:val="B91C1C"/>
                <w:sz w:val="20"/>
                <w:szCs w:val="20"/>
              </w:rPr>
              <w:t xml:space="preserve">6.  Settlement Finality &amp; Governance Risk</w:t>
            </w:r>
          </w:p>
          <w:p>
            <w:r>
              <w:rPr>
                <w:rFonts w:ascii="Arial" w:cs="Arial" w:eastAsia="Arial" w:hAnsi="Arial"/>
                <w:color w:val="1A1A2E"/>
                <w:sz w:val="19"/>
                <w:szCs w:val="19"/>
              </w:rPr>
              <w:t xml:space="preserve">Public blockchain networks are subject to hard forks and chain reorganisations — creating settlement finality uncertainty. Permissioned networks reduce this risk but introduce governance complexity: who controls the network and adjudicates disputes?</w:t>
            </w:r>
          </w:p>
        </w:tc>
      </w:tr>
    </w:tbl>
    <w:p>
      <w:pPr>
        <w:spacing w:after="8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B8D8C4" w:sz="1"/>
              <w:left w:val="single" w:color="B91C1C" w:sz="14"/>
              <w:bottom w:val="single" w:color="B8D8C4" w:sz="1"/>
              <w:right w:val="single" w:color="B8D8C4" w:sz="1"/>
            </w:tcBorders>
            <w:shd w:fill="FFF8F8" w:val="clear"/>
            <w:tcMar>
              <w:top w:type="dxa" w:w="100"/>
              <w:left w:type="dxa" w:w="200"/>
              <w:bottom w:type="dxa" w:w="100"/>
              <w:right w:type="dxa" w:w="160"/>
            </w:tcMar>
          </w:tcPr>
          <w:p>
            <w:pPr>
              <w:spacing w:after="50"/>
            </w:pPr>
            <w:r>
              <w:rPr>
                <w:rFonts w:ascii="Arial" w:cs="Arial" w:eastAsia="Arial" w:hAnsi="Arial"/>
                <w:b/>
                <w:bCs/>
                <w:color w:val="B91C1C"/>
                <w:sz w:val="20"/>
                <w:szCs w:val="20"/>
              </w:rPr>
              <w:t xml:space="preserve">7.  Interoperability &amp; Vendor Lock-In Risk</w:t>
            </w:r>
          </w:p>
          <w:p>
            <w:r>
              <w:rPr>
                <w:rFonts w:ascii="Arial" w:cs="Arial" w:eastAsia="Arial" w:hAnsi="Arial"/>
                <w:color w:val="1A1A2E"/>
                <w:sz w:val="19"/>
                <w:szCs w:val="19"/>
              </w:rPr>
              <w:t xml:space="preserve">Multiple competing blockchain platforms have limited interoperability. Committing to one platform creates vendor dependency. CFG should monitor ISO 20022 and Interledger Protocol (ILP) developments and align its architecture accordingly.</w:t>
            </w:r>
          </w:p>
        </w:tc>
      </w:tr>
    </w:tbl>
    <w:p>
      <w:pPr>
        <w:spacing w:after="200"/>
      </w:pPr>
    </w:p>
    <w:p>
      <w:r>
        <w:br w:type="pag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800"/>
        <w:gridCol w:w="8920"/>
      </w:tblGrid>
      <w:tr>
        <w:tc>
          <w:tcPr>
            <w:tcW w:type="dxa" w:w="800"/>
            <w:tcBorders>
              <w:top w:val="single" w:color="1A6B3C" w:sz="1"/>
              <w:left w:val="single" w:color="1A6B3C" w:sz="1"/>
              <w:bottom w:val="single" w:color="1A6B3C" w:sz="1"/>
              <w:right w:val="single" w:color="1A6B3C" w:sz="1"/>
            </w:tcBorders>
            <w:shd w:fill="1A6B3C" w:val="clear"/>
            <w:tcMar>
              <w:top w:type="dxa" w:w="120"/>
              <w:left w:type="dxa" w:w="100"/>
              <w:bottom w:type="dxa" w:w="120"/>
              <w:right w:type="dxa" w:w="100"/>
            </w:tcMar>
            <w:vAlign w:val="center"/>
          </w:tcPr>
          <w:p>
            <w:pPr>
              <w:jc w:val="center"/>
            </w:pPr>
            <w:r>
              <w:rPr>
                <w:rFonts w:ascii="Arial" w:cs="Arial" w:eastAsia="Arial" w:hAnsi="Arial"/>
                <w:b/>
                <w:bCs/>
                <w:color w:val="FFFFFF"/>
                <w:sz w:val="28"/>
                <w:szCs w:val="28"/>
              </w:rPr>
              <w:t xml:space="preserve">Q3</w:t>
            </w:r>
          </w:p>
        </w:tc>
        <w:tc>
          <w:tcPr>
            <w:tcW w:type="dxa" w:w="8920"/>
            <w:tcBorders>
              <w:top w:val="single" w:color="0B2447" w:sz="1"/>
              <w:left w:val="single" w:color="0B2447" w:sz="1"/>
              <w:bottom w:val="single" w:color="0B2447" w:sz="1"/>
              <w:right w:val="single" w:color="0B2447" w:sz="1"/>
            </w:tcBorders>
            <w:shd w:fill="0B2447" w:val="clear"/>
            <w:tcMar>
              <w:top w:type="dxa" w:w="120"/>
              <w:left w:type="dxa" w:w="180"/>
              <w:bottom w:type="dxa" w:w="120"/>
              <w:right w:type="dxa" w:w="120"/>
            </w:tcMar>
            <w:vAlign w:val="center"/>
          </w:tcPr>
          <w:p>
            <w:r>
              <w:rPr>
                <w:rFonts w:ascii="Arial" w:cs="Arial" w:eastAsia="Arial" w:hAnsi="Arial"/>
                <w:b/>
                <w:bCs/>
                <w:color w:val="FFFFFF"/>
                <w:sz w:val="22"/>
                <w:szCs w:val="22"/>
              </w:rPr>
              <w:t xml:space="preserve">How does immutability provide trust — and what are its limitations?</w:t>
            </w:r>
          </w:p>
        </w:tc>
      </w:tr>
    </w:tbl>
    <w:p>
      <w:pPr>
        <w:spacing w:after="120"/>
      </w:pPr>
    </w:p>
    <w:p>
      <w:pPr>
        <w:pStyle w:val="Heading2"/>
        <w:pBdr>
          <w:bottom w:val="single" w:color="1A6B3C" w:sz="4" w:space="1"/>
        </w:pBdr>
        <w:spacing w:after="100" w:before="240"/>
      </w:pPr>
      <w:r>
        <w:rPr>
          <w:rFonts w:ascii="Arial" w:cs="Arial" w:eastAsia="Arial" w:hAnsi="Arial"/>
          <w:b/>
          <w:bCs/>
          <w:color w:val="0B2447"/>
          <w:sz w:val="26"/>
          <w:szCs w:val="26"/>
        </w:rPr>
        <w:t xml:space="preserve">How Immutability Creates Trust</w:t>
      </w:r>
    </w:p>
    <w:p>
      <w:pPr>
        <w:spacing w:after="100"/>
      </w:pPr>
      <w:r>
        <w:rPr>
          <w:rFonts w:ascii="Arial" w:cs="Arial" w:eastAsia="Arial" w:hAnsi="Arial"/>
          <w:color w:val="1A1A2E"/>
          <w:sz w:val="20"/>
          <w:szCs w:val="20"/>
        </w:rPr>
        <w:t xml:space="preserve">Once validated and added to a blockchain block, a transaction becomes cryptographically linked to all subsequent blocks via a hash chain. Altering any historical record requires recomputing every subsequent block — and convincing the majority of network nodes to accept the altered chain. This makes retrospective fraud computationally infeasible.</w:t>
      </w:r>
    </w:p>
    <w:p>
      <w:pPr>
        <w:spacing w:after="8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
        <w:gridCol w:w="9520"/>
      </w:tblGrid>
      <w:tr>
        <w:tc>
          <w:tcPr>
            <w:tcW w:type="dxa" w:w="200"/>
            <w:tcBorders>
              <w:top w:val="none" w:color="FFFFFF" w:sz="0"/>
              <w:left w:val="none" w:color="FFFFFF" w:sz="0"/>
              <w:bottom w:val="none" w:color="FFFFFF" w:sz="0"/>
              <w:right w:val="none" w:color="FFFFFF" w:sz="0"/>
            </w:tcBorders>
            <w:shd w:fill="1A6B3C" w:val="clear"/>
            <w:tcMar>
              <w:top w:type="dxa" w:w="100"/>
              <w:left w:type="dxa" w:w="0"/>
              <w:bottom w:type="dxa" w:w="100"/>
              <w:right w:type="dxa" w:w="0"/>
            </w:tcMar>
          </w:tcPr>
          <w:p>
            <w:pPr>
              <w:spacing w:after="100"/>
            </w:pPr>
          </w:p>
        </w:tc>
        <w:tc>
          <w:tcPr>
            <w:tcW w:type="dxa" w:w="9520"/>
            <w:tcBorders>
              <w:top w:val="single" w:color="B8D8C4" w:sz="1"/>
              <w:left w:val="single" w:color="B8D8C4" w:sz="1"/>
              <w:bottom w:val="single" w:color="B8D8C4" w:sz="1"/>
              <w:right w:val="single" w:color="B8D8C4" w:sz="1"/>
            </w:tcBorders>
            <w:shd w:fill="EDF7F1" w:val="clear"/>
            <w:tcMar>
              <w:top w:type="dxa" w:w="100"/>
              <w:left w:type="dxa" w:w="160"/>
              <w:bottom w:type="dxa" w:w="100"/>
              <w:right w:type="dxa" w:w="120"/>
            </w:tcMar>
          </w:tcPr>
          <w:p>
            <w:pPr>
              <w:spacing w:after="40"/>
            </w:pPr>
            <w:r>
              <w:rPr>
                <w:rFonts w:ascii="Arial" w:cs="Arial" w:eastAsia="Arial" w:hAnsi="Arial"/>
                <w:b/>
                <w:bCs/>
                <w:color w:val="0B2447"/>
                <w:sz w:val="20"/>
                <w:szCs w:val="20"/>
              </w:rPr>
              <w:t xml:space="preserve">Tamper-Evident Audit Trail</w:t>
            </w:r>
          </w:p>
          <w:p>
            <w:r>
              <w:rPr>
                <w:rFonts w:ascii="Arial" w:cs="Arial" w:eastAsia="Arial" w:hAnsi="Arial"/>
                <w:color w:val="1A1A2E"/>
                <w:sz w:val="19"/>
                <w:szCs w:val="19"/>
              </w:rPr>
              <w:t xml:space="preserve">Every transaction is permanently recorded and cryptographically verifiable by any network participant — providing CFG, counterparties, and MAS with an incontrovertible audit trail for supervisory and forensic purposes.</w:t>
            </w:r>
          </w:p>
        </w:tc>
      </w:tr>
    </w:tbl>
    <w:p>
      <w:pPr>
        <w:spacing w:after="8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
        <w:gridCol w:w="9520"/>
      </w:tblGrid>
      <w:tr>
        <w:tc>
          <w:tcPr>
            <w:tcW w:type="dxa" w:w="200"/>
            <w:tcBorders>
              <w:top w:val="none" w:color="FFFFFF" w:sz="0"/>
              <w:left w:val="none" w:color="FFFFFF" w:sz="0"/>
              <w:bottom w:val="none" w:color="FFFFFF" w:sz="0"/>
              <w:right w:val="none" w:color="FFFFFF" w:sz="0"/>
            </w:tcBorders>
            <w:shd w:fill="1A6B3C" w:val="clear"/>
            <w:tcMar>
              <w:top w:type="dxa" w:w="100"/>
              <w:left w:type="dxa" w:w="0"/>
              <w:bottom w:type="dxa" w:w="100"/>
              <w:right w:type="dxa" w:w="0"/>
            </w:tcMar>
          </w:tcPr>
          <w:p>
            <w:pPr>
              <w:spacing w:after="100"/>
            </w:pPr>
          </w:p>
        </w:tc>
        <w:tc>
          <w:tcPr>
            <w:tcW w:type="dxa" w:w="9520"/>
            <w:tcBorders>
              <w:top w:val="single" w:color="B8D8C4" w:sz="1"/>
              <w:left w:val="single" w:color="B8D8C4" w:sz="1"/>
              <w:bottom w:val="single" w:color="B8D8C4" w:sz="1"/>
              <w:right w:val="single" w:color="B8D8C4" w:sz="1"/>
            </w:tcBorders>
            <w:shd w:fill="EDF7F1" w:val="clear"/>
            <w:tcMar>
              <w:top w:type="dxa" w:w="100"/>
              <w:left w:type="dxa" w:w="160"/>
              <w:bottom w:type="dxa" w:w="100"/>
              <w:right w:type="dxa" w:w="120"/>
            </w:tcMar>
          </w:tcPr>
          <w:p>
            <w:pPr>
              <w:spacing w:after="40"/>
            </w:pPr>
            <w:r>
              <w:rPr>
                <w:rFonts w:ascii="Arial" w:cs="Arial" w:eastAsia="Arial" w:hAnsi="Arial"/>
                <w:b/>
                <w:bCs/>
                <w:color w:val="0B2447"/>
                <w:sz w:val="20"/>
                <w:szCs w:val="20"/>
              </w:rPr>
              <w:t xml:space="preserve">Eliminates Double-Spending</w:t>
            </w:r>
          </w:p>
          <w:p>
            <w:r>
              <w:rPr>
                <w:rFonts w:ascii="Arial" w:cs="Arial" w:eastAsia="Arial" w:hAnsi="Arial"/>
                <w:color w:val="1A1A2E"/>
                <w:sz w:val="19"/>
                <w:szCs w:val="19"/>
              </w:rPr>
              <w:t xml:space="preserve">Immutability combined with consensus mechanisms prevents the same asset from being spent twice — a fundamental trust guarantee for cross-border payment systems replacing correspondent banking.</w:t>
            </w:r>
          </w:p>
        </w:tc>
      </w:tr>
    </w:tbl>
    <w:p>
      <w:pPr>
        <w:spacing w:after="8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
        <w:gridCol w:w="9520"/>
      </w:tblGrid>
      <w:tr>
        <w:tc>
          <w:tcPr>
            <w:tcW w:type="dxa" w:w="200"/>
            <w:tcBorders>
              <w:top w:val="none" w:color="FFFFFF" w:sz="0"/>
              <w:left w:val="none" w:color="FFFFFF" w:sz="0"/>
              <w:bottom w:val="none" w:color="FFFFFF" w:sz="0"/>
              <w:right w:val="none" w:color="FFFFFF" w:sz="0"/>
            </w:tcBorders>
            <w:shd w:fill="1A6B3C" w:val="clear"/>
            <w:tcMar>
              <w:top w:type="dxa" w:w="100"/>
              <w:left w:type="dxa" w:w="0"/>
              <w:bottom w:type="dxa" w:w="100"/>
              <w:right w:type="dxa" w:w="0"/>
            </w:tcMar>
          </w:tcPr>
          <w:p>
            <w:pPr>
              <w:spacing w:after="100"/>
            </w:pPr>
          </w:p>
        </w:tc>
        <w:tc>
          <w:tcPr>
            <w:tcW w:type="dxa" w:w="9520"/>
            <w:tcBorders>
              <w:top w:val="single" w:color="B8D8C4" w:sz="1"/>
              <w:left w:val="single" w:color="B8D8C4" w:sz="1"/>
              <w:bottom w:val="single" w:color="B8D8C4" w:sz="1"/>
              <w:right w:val="single" w:color="B8D8C4" w:sz="1"/>
            </w:tcBorders>
            <w:shd w:fill="EDF7F1" w:val="clear"/>
            <w:tcMar>
              <w:top w:type="dxa" w:w="100"/>
              <w:left w:type="dxa" w:w="160"/>
              <w:bottom w:type="dxa" w:w="100"/>
              <w:right w:type="dxa" w:w="120"/>
            </w:tcMar>
          </w:tcPr>
          <w:p>
            <w:pPr>
              <w:spacing w:after="40"/>
            </w:pPr>
            <w:r>
              <w:rPr>
                <w:rFonts w:ascii="Arial" w:cs="Arial" w:eastAsia="Arial" w:hAnsi="Arial"/>
                <w:b/>
                <w:bCs/>
                <w:color w:val="0B2447"/>
                <w:sz w:val="20"/>
                <w:szCs w:val="20"/>
              </w:rPr>
              <w:t xml:space="preserve">Dispute Resolution</w:t>
            </w:r>
          </w:p>
          <w:p>
            <w:r>
              <w:rPr>
                <w:rFonts w:ascii="Arial" w:cs="Arial" w:eastAsia="Arial" w:hAnsi="Arial"/>
                <w:color w:val="1A1A2E"/>
                <w:sz w:val="19"/>
                <w:szCs w:val="19"/>
              </w:rPr>
              <w:t xml:space="preserve">An immutable shared ledger provides a single source of truth that all parties agreed to in advance — dramatically reducing cross-border payment dispute resolution time and cost.</w:t>
            </w:r>
          </w:p>
        </w:tc>
      </w:tr>
    </w:tbl>
    <w:p>
      <w:pPr>
        <w:spacing w:after="8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
        <w:gridCol w:w="9520"/>
      </w:tblGrid>
      <w:tr>
        <w:tc>
          <w:tcPr>
            <w:tcW w:type="dxa" w:w="200"/>
            <w:tcBorders>
              <w:top w:val="none" w:color="FFFFFF" w:sz="0"/>
              <w:left w:val="none" w:color="FFFFFF" w:sz="0"/>
              <w:bottom w:val="none" w:color="FFFFFF" w:sz="0"/>
              <w:right w:val="none" w:color="FFFFFF" w:sz="0"/>
            </w:tcBorders>
            <w:shd w:fill="1A6B3C" w:val="clear"/>
            <w:tcMar>
              <w:top w:type="dxa" w:w="100"/>
              <w:left w:type="dxa" w:w="0"/>
              <w:bottom w:type="dxa" w:w="100"/>
              <w:right w:type="dxa" w:w="0"/>
            </w:tcMar>
          </w:tcPr>
          <w:p>
            <w:pPr>
              <w:spacing w:after="100"/>
            </w:pPr>
          </w:p>
        </w:tc>
        <w:tc>
          <w:tcPr>
            <w:tcW w:type="dxa" w:w="9520"/>
            <w:tcBorders>
              <w:top w:val="single" w:color="B8D8C4" w:sz="1"/>
              <w:left w:val="single" w:color="B8D8C4" w:sz="1"/>
              <w:bottom w:val="single" w:color="B8D8C4" w:sz="1"/>
              <w:right w:val="single" w:color="B8D8C4" w:sz="1"/>
            </w:tcBorders>
            <w:shd w:fill="EDF7F1" w:val="clear"/>
            <w:tcMar>
              <w:top w:type="dxa" w:w="100"/>
              <w:left w:type="dxa" w:w="160"/>
              <w:bottom w:type="dxa" w:w="100"/>
              <w:right w:type="dxa" w:w="120"/>
            </w:tcMar>
          </w:tcPr>
          <w:p>
            <w:pPr>
              <w:spacing w:after="40"/>
            </w:pPr>
            <w:r>
              <w:rPr>
                <w:rFonts w:ascii="Arial" w:cs="Arial" w:eastAsia="Arial" w:hAnsi="Arial"/>
                <w:b/>
                <w:bCs/>
                <w:color w:val="0B2447"/>
                <w:sz w:val="20"/>
                <w:szCs w:val="20"/>
              </w:rPr>
              <w:t xml:space="preserve">Regulatory Confidence</w:t>
            </w:r>
          </w:p>
          <w:p>
            <w:r>
              <w:rPr>
                <w:rFonts w:ascii="Arial" w:cs="Arial" w:eastAsia="Arial" w:hAnsi="Arial"/>
                <w:color w:val="1A1A2E"/>
                <w:sz w:val="19"/>
                <w:szCs w:val="19"/>
              </w:rPr>
              <w:t xml:space="preserve">MAS and other regulators can conduct real-time or on-demand supervisory review of CFG's transaction ledger — increasing transparency and reducing the periodic manual reporting burden.</w:t>
            </w:r>
          </w:p>
        </w:tc>
      </w:tr>
    </w:tbl>
    <w:p>
      <w:pPr>
        <w:spacing w:after="80"/>
      </w:pPr>
    </w:p>
    <w:p>
      <w:pPr>
        <w:spacing w:after="120"/>
      </w:pPr>
    </w:p>
    <w:p>
      <w:pPr>
        <w:pStyle w:val="Heading2"/>
        <w:pBdr>
          <w:bottom w:val="single" w:color="1A6B3C" w:sz="4" w:space="1"/>
        </w:pBdr>
        <w:spacing w:after="100" w:before="240"/>
      </w:pPr>
      <w:r>
        <w:rPr>
          <w:rFonts w:ascii="Arial" w:cs="Arial" w:eastAsia="Arial" w:hAnsi="Arial"/>
          <w:b/>
          <w:bCs/>
          <w:color w:val="0B2447"/>
          <w:sz w:val="26"/>
          <w:szCs w:val="26"/>
        </w:rPr>
        <w:t xml:space="preserve">Limitations of Immutability — Critical Considerations for CFG</w:t>
      </w:r>
    </w:p>
    <w:p>
      <w:pPr>
        <w:spacing w:after="6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B8D8C4" w:sz="1"/>
              <w:left w:val="single" w:color="D97706" w:sz="18"/>
              <w:bottom w:val="single" w:color="B8D8C4" w:sz="1"/>
              <w:right w:val="single" w:color="B8D8C4" w:sz="1"/>
            </w:tcBorders>
            <w:shd w:fill="FFFBEB" w:val="clear"/>
            <w:tcMar>
              <w:top w:type="dxa" w:w="120"/>
              <w:left w:type="dxa" w:w="200"/>
              <w:bottom w:type="dxa" w:w="120"/>
              <w:right w:type="dxa" w:w="200"/>
            </w:tcMar>
          </w:tcPr>
          <w:p>
            <w:pPr>
              <w:spacing w:after="60"/>
            </w:pPr>
            <w:r>
              <w:rPr>
                <w:rFonts w:ascii="Arial" w:cs="Arial" w:eastAsia="Arial" w:hAnsi="Arial"/>
                <w:b/>
                <w:bCs/>
                <w:color w:val="92400E"/>
                <w:sz w:val="19"/>
                <w:szCs w:val="19"/>
              </w:rPr>
              <w:t xml:space="preserve">⚠  Cannot Correct Errors</w:t>
            </w:r>
          </w:p>
          <w:p>
            <w:r>
              <w:rPr>
                <w:rFonts w:ascii="Arial" w:cs="Arial" w:eastAsia="Arial" w:hAnsi="Arial"/>
                <w:color w:val="78350F"/>
                <w:sz w:val="19"/>
                <w:szCs w:val="19"/>
              </w:rPr>
              <w:t xml:space="preserve">If a transaction is processed incorrectly — wrong amount or wrong beneficiary — it cannot be reversed or deleted. CFG would need to issue a correcting counter-transaction. Robust pre-transaction validation controls are essential.</w:t>
            </w:r>
          </w:p>
        </w:tc>
      </w:tr>
    </w:tbl>
    <w:p>
      <w:pPr>
        <w:spacing w:after="8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B8D8C4" w:sz="1"/>
              <w:left w:val="single" w:color="D97706" w:sz="18"/>
              <w:bottom w:val="single" w:color="B8D8C4" w:sz="1"/>
              <w:right w:val="single" w:color="B8D8C4" w:sz="1"/>
            </w:tcBorders>
            <w:shd w:fill="FFFBEB" w:val="clear"/>
            <w:tcMar>
              <w:top w:type="dxa" w:w="120"/>
              <w:left w:type="dxa" w:w="200"/>
              <w:bottom w:type="dxa" w:w="120"/>
              <w:right w:type="dxa" w:w="200"/>
            </w:tcMar>
          </w:tcPr>
          <w:p>
            <w:pPr>
              <w:spacing w:after="60"/>
            </w:pPr>
            <w:r>
              <w:rPr>
                <w:rFonts w:ascii="Arial" w:cs="Arial" w:eastAsia="Arial" w:hAnsi="Arial"/>
                <w:b/>
                <w:bCs/>
                <w:color w:val="92400E"/>
                <w:sz w:val="19"/>
                <w:szCs w:val="19"/>
              </w:rPr>
              <w:t xml:space="preserve">⚠  Privacy Law Conflict — PDPA &amp; GDPR Right to Erasure</w:t>
            </w:r>
          </w:p>
          <w:p>
            <w:r>
              <w:rPr>
                <w:rFonts w:ascii="Arial" w:cs="Arial" w:eastAsia="Arial" w:hAnsi="Arial"/>
                <w:color w:val="78350F"/>
                <w:sz w:val="19"/>
                <w:szCs w:val="19"/>
              </w:rPr>
              <w:t xml:space="preserve">Singapore's PDPA and the EU's GDPR grant individuals the right to have personal data deleted. Personal data written immutably on-chain cannot be erased. CFG must adopt a hybrid architecture: store only cryptographic hashes on-chain, with personal data in a deletable off-chain database.</w:t>
            </w:r>
          </w:p>
        </w:tc>
      </w:tr>
    </w:tbl>
    <w:p>
      <w:pPr>
        <w:spacing w:after="8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B8D8C4" w:sz="1"/>
              <w:left w:val="single" w:color="D97706" w:sz="18"/>
              <w:bottom w:val="single" w:color="B8D8C4" w:sz="1"/>
              <w:right w:val="single" w:color="B8D8C4" w:sz="1"/>
            </w:tcBorders>
            <w:shd w:fill="FFFBEB" w:val="clear"/>
            <w:tcMar>
              <w:top w:type="dxa" w:w="120"/>
              <w:left w:type="dxa" w:w="200"/>
              <w:bottom w:type="dxa" w:w="120"/>
              <w:right w:type="dxa" w:w="200"/>
            </w:tcMar>
          </w:tcPr>
          <w:p>
            <w:pPr>
              <w:spacing w:after="60"/>
            </w:pPr>
            <w:r>
              <w:rPr>
                <w:rFonts w:ascii="Arial" w:cs="Arial" w:eastAsia="Arial" w:hAnsi="Arial"/>
                <w:b/>
                <w:bCs/>
                <w:color w:val="92400E"/>
                <w:sz w:val="19"/>
                <w:szCs w:val="19"/>
              </w:rPr>
              <w:t xml:space="preserve">⚠  "Garbage In, Garbage Out"</w:t>
            </w:r>
          </w:p>
          <w:p>
            <w:r>
              <w:rPr>
                <w:rFonts w:ascii="Arial" w:cs="Arial" w:eastAsia="Arial" w:hAnsi="Arial"/>
                <w:color w:val="78350F"/>
                <w:sz w:val="19"/>
                <w:szCs w:val="19"/>
              </w:rPr>
              <w:t xml:space="preserve">Immutability guarantees that data cannot be altered after recording — it does not guarantee accuracy of the original data. If transaction data is incorrectly input at the source, the error is permanently and immutably recorded. Oracle design and input validation controls are critical.</w:t>
            </w:r>
          </w:p>
        </w:tc>
      </w:tr>
    </w:tbl>
    <w:p>
      <w:pPr>
        <w:spacing w:after="8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B8D8C4" w:sz="1"/>
              <w:left w:val="single" w:color="D97706" w:sz="18"/>
              <w:bottom w:val="single" w:color="B8D8C4" w:sz="1"/>
              <w:right w:val="single" w:color="B8D8C4" w:sz="1"/>
            </w:tcBorders>
            <w:shd w:fill="FFFBEB" w:val="clear"/>
            <w:tcMar>
              <w:top w:type="dxa" w:w="120"/>
              <w:left w:type="dxa" w:w="200"/>
              <w:bottom w:type="dxa" w:w="120"/>
              <w:right w:type="dxa" w:w="200"/>
            </w:tcMar>
          </w:tcPr>
          <w:p>
            <w:pPr>
              <w:spacing w:after="60"/>
            </w:pPr>
            <w:r>
              <w:rPr>
                <w:rFonts w:ascii="Arial" w:cs="Arial" w:eastAsia="Arial" w:hAnsi="Arial"/>
                <w:b/>
                <w:bCs/>
                <w:color w:val="92400E"/>
                <w:sz w:val="19"/>
                <w:szCs w:val="19"/>
              </w:rPr>
              <w:t xml:space="preserve">⚠  Hard Forks as a Workaround — with Governance Risk</w:t>
            </w:r>
          </w:p>
          <w:p>
            <w:r>
              <w:rPr>
                <w:rFonts w:ascii="Arial" w:cs="Arial" w:eastAsia="Arial" w:hAnsi="Arial"/>
                <w:color w:val="78350F"/>
                <w:sz w:val="19"/>
                <w:szCs w:val="19"/>
              </w:rPr>
              <w:t xml:space="preserve">Extreme errors can be corrected via a hard fork but this requires network-wide consensus and creates governance controversy (cf. Ethereum/Ethereum Classic split, 2016). For a permissioned enterprise blockchain, hard forks require agreement from all participants.</w:t>
            </w:r>
          </w:p>
        </w:tc>
      </w:tr>
    </w:tbl>
    <w:p>
      <w:pPr>
        <w:spacing w:after="200"/>
      </w:pPr>
    </w:p>
    <w:p>
      <w:r>
        <w:br w:type="pag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800"/>
        <w:gridCol w:w="8920"/>
      </w:tblGrid>
      <w:tr>
        <w:tc>
          <w:tcPr>
            <w:tcW w:type="dxa" w:w="800"/>
            <w:tcBorders>
              <w:top w:val="single" w:color="1A6B3C" w:sz="1"/>
              <w:left w:val="single" w:color="1A6B3C" w:sz="1"/>
              <w:bottom w:val="single" w:color="1A6B3C" w:sz="1"/>
              <w:right w:val="single" w:color="1A6B3C" w:sz="1"/>
            </w:tcBorders>
            <w:shd w:fill="1A6B3C" w:val="clear"/>
            <w:tcMar>
              <w:top w:type="dxa" w:w="120"/>
              <w:left w:type="dxa" w:w="100"/>
              <w:bottom w:type="dxa" w:w="120"/>
              <w:right w:type="dxa" w:w="100"/>
            </w:tcMar>
            <w:vAlign w:val="center"/>
          </w:tcPr>
          <w:p>
            <w:pPr>
              <w:jc w:val="center"/>
            </w:pPr>
            <w:r>
              <w:rPr>
                <w:rFonts w:ascii="Arial" w:cs="Arial" w:eastAsia="Arial" w:hAnsi="Arial"/>
                <w:b/>
                <w:bCs/>
                <w:color w:val="FFFFFF"/>
                <w:sz w:val="28"/>
                <w:szCs w:val="28"/>
              </w:rPr>
              <w:t xml:space="preserve">Q4</w:t>
            </w:r>
          </w:p>
        </w:tc>
        <w:tc>
          <w:tcPr>
            <w:tcW w:type="dxa" w:w="8920"/>
            <w:tcBorders>
              <w:top w:val="single" w:color="0B2447" w:sz="1"/>
              <w:left w:val="single" w:color="0B2447" w:sz="1"/>
              <w:bottom w:val="single" w:color="0B2447" w:sz="1"/>
              <w:right w:val="single" w:color="0B2447" w:sz="1"/>
            </w:tcBorders>
            <w:shd w:fill="0B2447" w:val="clear"/>
            <w:tcMar>
              <w:top w:type="dxa" w:w="120"/>
              <w:left w:type="dxa" w:w="180"/>
              <w:bottom w:type="dxa" w:w="120"/>
              <w:right w:type="dxa" w:w="120"/>
            </w:tcMar>
            <w:vAlign w:val="center"/>
          </w:tcPr>
          <w:p>
            <w:r>
              <w:rPr>
                <w:rFonts w:ascii="Arial" w:cs="Arial" w:eastAsia="Arial" w:hAnsi="Arial"/>
                <w:b/>
                <w:bCs/>
                <w:color w:val="FFFFFF"/>
                <w:sz w:val="22"/>
                <w:szCs w:val="22"/>
              </w:rPr>
              <w:t xml:space="preserve">What role does decentralisation play in security and reliability?</w:t>
            </w:r>
          </w:p>
        </w:tc>
      </w:tr>
    </w:tbl>
    <w:p>
      <w:pPr>
        <w:spacing w:after="120"/>
      </w:pPr>
    </w:p>
    <w:p>
      <w:pPr>
        <w:pStyle w:val="Heading2"/>
        <w:pBdr>
          <w:bottom w:val="single" w:color="1A6B3C" w:sz="4" w:space="1"/>
        </w:pBdr>
        <w:spacing w:after="100" w:before="240"/>
      </w:pPr>
      <w:r>
        <w:rPr>
          <w:rFonts w:ascii="Arial" w:cs="Arial" w:eastAsia="Arial" w:hAnsi="Arial"/>
          <w:b/>
          <w:bCs/>
          <w:color w:val="0B2447"/>
          <w:sz w:val="26"/>
          <w:szCs w:val="26"/>
        </w:rPr>
        <w:t xml:space="preserve">How Decentralisation Enhances Security &amp; Reliability</w:t>
      </w:r>
    </w:p>
    <w:p>
      <w:pPr>
        <w:spacing w:after="6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
        <w:gridCol w:w="9520"/>
      </w:tblGrid>
      <w:tr>
        <w:tc>
          <w:tcPr>
            <w:tcW w:type="dxa" w:w="200"/>
            <w:tcBorders>
              <w:top w:val="none" w:color="FFFFFF" w:sz="0"/>
              <w:left w:val="none" w:color="FFFFFF" w:sz="0"/>
              <w:bottom w:val="none" w:color="FFFFFF" w:sz="0"/>
              <w:right w:val="none" w:color="FFFFFF" w:sz="0"/>
            </w:tcBorders>
            <w:shd w:fill="1A6B3C" w:val="clear"/>
            <w:tcMar>
              <w:top w:type="dxa" w:w="100"/>
              <w:left w:type="dxa" w:w="0"/>
              <w:bottom w:type="dxa" w:w="100"/>
              <w:right w:type="dxa" w:w="0"/>
            </w:tcMar>
          </w:tcPr>
          <w:p>
            <w:pPr>
              <w:spacing w:after="100"/>
            </w:pPr>
          </w:p>
        </w:tc>
        <w:tc>
          <w:tcPr>
            <w:tcW w:type="dxa" w:w="9520"/>
            <w:tcBorders>
              <w:top w:val="single" w:color="B8D8C4" w:sz="1"/>
              <w:left w:val="single" w:color="B8D8C4" w:sz="1"/>
              <w:bottom w:val="single" w:color="B8D8C4" w:sz="1"/>
              <w:right w:val="single" w:color="B8D8C4" w:sz="1"/>
            </w:tcBorders>
            <w:shd w:fill="EDF7F1" w:val="clear"/>
            <w:tcMar>
              <w:top w:type="dxa" w:w="100"/>
              <w:left w:type="dxa" w:w="160"/>
              <w:bottom w:type="dxa" w:w="100"/>
              <w:right w:type="dxa" w:w="120"/>
            </w:tcMar>
          </w:tcPr>
          <w:p>
            <w:pPr>
              <w:spacing w:after="40"/>
            </w:pPr>
            <w:r>
              <w:rPr>
                <w:rFonts w:ascii="Arial" w:cs="Arial" w:eastAsia="Arial" w:hAnsi="Arial"/>
                <w:b/>
                <w:bCs/>
                <w:color w:val="0B2447"/>
                <w:sz w:val="20"/>
                <w:szCs w:val="20"/>
              </w:rPr>
              <w:t xml:space="preserve">No Single Point of Failure</w:t>
            </w:r>
          </w:p>
          <w:p>
            <w:r>
              <w:rPr>
                <w:rFonts w:ascii="Arial" w:cs="Arial" w:eastAsia="Arial" w:hAnsi="Arial"/>
                <w:color w:val="1A1A2E"/>
                <w:sz w:val="19"/>
                <w:szCs w:val="19"/>
              </w:rPr>
              <w:t xml:space="preserve">In a centralised system, a single server outage or cyberattack can bring down the entire system. A distributed blockchain network continues operating even if multiple nodes fail — providing inherent resilience.</w:t>
            </w:r>
          </w:p>
        </w:tc>
      </w:tr>
    </w:tbl>
    <w:p>
      <w:pPr>
        <w:spacing w:after="8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
        <w:gridCol w:w="9520"/>
      </w:tblGrid>
      <w:tr>
        <w:tc>
          <w:tcPr>
            <w:tcW w:type="dxa" w:w="200"/>
            <w:tcBorders>
              <w:top w:val="none" w:color="FFFFFF" w:sz="0"/>
              <w:left w:val="none" w:color="FFFFFF" w:sz="0"/>
              <w:bottom w:val="none" w:color="FFFFFF" w:sz="0"/>
              <w:right w:val="none" w:color="FFFFFF" w:sz="0"/>
            </w:tcBorders>
            <w:shd w:fill="1A6B3C" w:val="clear"/>
            <w:tcMar>
              <w:top w:type="dxa" w:w="100"/>
              <w:left w:type="dxa" w:w="0"/>
              <w:bottom w:type="dxa" w:w="100"/>
              <w:right w:type="dxa" w:w="0"/>
            </w:tcMar>
          </w:tcPr>
          <w:p>
            <w:pPr>
              <w:spacing w:after="100"/>
            </w:pPr>
          </w:p>
        </w:tc>
        <w:tc>
          <w:tcPr>
            <w:tcW w:type="dxa" w:w="9520"/>
            <w:tcBorders>
              <w:top w:val="single" w:color="B8D8C4" w:sz="1"/>
              <w:left w:val="single" w:color="B8D8C4" w:sz="1"/>
              <w:bottom w:val="single" w:color="B8D8C4" w:sz="1"/>
              <w:right w:val="single" w:color="B8D8C4" w:sz="1"/>
            </w:tcBorders>
            <w:shd w:fill="EDF7F1" w:val="clear"/>
            <w:tcMar>
              <w:top w:type="dxa" w:w="100"/>
              <w:left w:type="dxa" w:w="160"/>
              <w:bottom w:type="dxa" w:w="100"/>
              <w:right w:type="dxa" w:w="120"/>
            </w:tcMar>
          </w:tcPr>
          <w:p>
            <w:pPr>
              <w:spacing w:after="40"/>
            </w:pPr>
            <w:r>
              <w:rPr>
                <w:rFonts w:ascii="Arial" w:cs="Arial" w:eastAsia="Arial" w:hAnsi="Arial"/>
                <w:b/>
                <w:bCs/>
                <w:color w:val="0B2447"/>
                <w:sz w:val="20"/>
                <w:szCs w:val="20"/>
              </w:rPr>
              <w:t xml:space="preserve">Byzantine Fault Tolerance</w:t>
            </w:r>
          </w:p>
          <w:p>
            <w:r>
              <w:rPr>
                <w:rFonts w:ascii="Arial" w:cs="Arial" w:eastAsia="Arial" w:hAnsi="Arial"/>
                <w:color w:val="1A1A2E"/>
                <w:sz w:val="19"/>
                <w:szCs w:val="19"/>
              </w:rPr>
              <w:t xml:space="preserve">Distributed consensus mechanisms (PBFT, Raft, PoW, PoS) reach agreement even when some nodes behave maliciously or fail. An attacker needs to control &gt;50% of nodes (51% attack) or &gt;33% (in BFT systems) to compromise consensus.</w:t>
            </w:r>
          </w:p>
        </w:tc>
      </w:tr>
    </w:tbl>
    <w:p>
      <w:pPr>
        <w:spacing w:after="8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
        <w:gridCol w:w="9520"/>
      </w:tblGrid>
      <w:tr>
        <w:tc>
          <w:tcPr>
            <w:tcW w:type="dxa" w:w="200"/>
            <w:tcBorders>
              <w:top w:val="none" w:color="FFFFFF" w:sz="0"/>
              <w:left w:val="none" w:color="FFFFFF" w:sz="0"/>
              <w:bottom w:val="none" w:color="FFFFFF" w:sz="0"/>
              <w:right w:val="none" w:color="FFFFFF" w:sz="0"/>
            </w:tcBorders>
            <w:shd w:fill="1A6B3C" w:val="clear"/>
            <w:tcMar>
              <w:top w:type="dxa" w:w="100"/>
              <w:left w:type="dxa" w:w="0"/>
              <w:bottom w:type="dxa" w:w="100"/>
              <w:right w:type="dxa" w:w="0"/>
            </w:tcMar>
          </w:tcPr>
          <w:p>
            <w:pPr>
              <w:spacing w:after="100"/>
            </w:pPr>
          </w:p>
        </w:tc>
        <w:tc>
          <w:tcPr>
            <w:tcW w:type="dxa" w:w="9520"/>
            <w:tcBorders>
              <w:top w:val="single" w:color="B8D8C4" w:sz="1"/>
              <w:left w:val="single" w:color="B8D8C4" w:sz="1"/>
              <w:bottom w:val="single" w:color="B8D8C4" w:sz="1"/>
              <w:right w:val="single" w:color="B8D8C4" w:sz="1"/>
            </w:tcBorders>
            <w:shd w:fill="EDF7F1" w:val="clear"/>
            <w:tcMar>
              <w:top w:type="dxa" w:w="100"/>
              <w:left w:type="dxa" w:w="160"/>
              <w:bottom w:type="dxa" w:w="100"/>
              <w:right w:type="dxa" w:w="120"/>
            </w:tcMar>
          </w:tcPr>
          <w:p>
            <w:pPr>
              <w:spacing w:after="40"/>
            </w:pPr>
            <w:r>
              <w:rPr>
                <w:rFonts w:ascii="Arial" w:cs="Arial" w:eastAsia="Arial" w:hAnsi="Arial"/>
                <w:b/>
                <w:bCs/>
                <w:color w:val="0B2447"/>
                <w:sz w:val="20"/>
                <w:szCs w:val="20"/>
              </w:rPr>
              <w:t xml:space="preserve">Censorship Resistance</w:t>
            </w:r>
          </w:p>
          <w:p>
            <w:r>
              <w:rPr>
                <w:rFonts w:ascii="Arial" w:cs="Arial" w:eastAsia="Arial" w:hAnsi="Arial"/>
                <w:color w:val="1A1A2E"/>
                <w:sz w:val="19"/>
                <w:szCs w:val="19"/>
              </w:rPr>
              <w:t xml:space="preserve">No single entity can unilaterally block or reverse transactions — protecting against both external interference and insider manipulation in cross-border payment corridors.</w:t>
            </w:r>
          </w:p>
        </w:tc>
      </w:tr>
    </w:tbl>
    <w:p>
      <w:pPr>
        <w:spacing w:after="8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
        <w:gridCol w:w="9520"/>
      </w:tblGrid>
      <w:tr>
        <w:tc>
          <w:tcPr>
            <w:tcW w:type="dxa" w:w="200"/>
            <w:tcBorders>
              <w:top w:val="none" w:color="FFFFFF" w:sz="0"/>
              <w:left w:val="none" w:color="FFFFFF" w:sz="0"/>
              <w:bottom w:val="none" w:color="FFFFFF" w:sz="0"/>
              <w:right w:val="none" w:color="FFFFFF" w:sz="0"/>
            </w:tcBorders>
            <w:shd w:fill="1A6B3C" w:val="clear"/>
            <w:tcMar>
              <w:top w:type="dxa" w:w="100"/>
              <w:left w:type="dxa" w:w="0"/>
              <w:bottom w:type="dxa" w:w="100"/>
              <w:right w:type="dxa" w:w="0"/>
            </w:tcMar>
          </w:tcPr>
          <w:p>
            <w:pPr>
              <w:spacing w:after="100"/>
            </w:pPr>
          </w:p>
        </w:tc>
        <w:tc>
          <w:tcPr>
            <w:tcW w:type="dxa" w:w="9520"/>
            <w:tcBorders>
              <w:top w:val="single" w:color="B8D8C4" w:sz="1"/>
              <w:left w:val="single" w:color="B8D8C4" w:sz="1"/>
              <w:bottom w:val="single" w:color="B8D8C4" w:sz="1"/>
              <w:right w:val="single" w:color="B8D8C4" w:sz="1"/>
            </w:tcBorders>
            <w:shd w:fill="EDF7F1" w:val="clear"/>
            <w:tcMar>
              <w:top w:type="dxa" w:w="100"/>
              <w:left w:type="dxa" w:w="160"/>
              <w:bottom w:type="dxa" w:w="100"/>
              <w:right w:type="dxa" w:w="120"/>
            </w:tcMar>
          </w:tcPr>
          <w:p>
            <w:pPr>
              <w:spacing w:after="40"/>
            </w:pPr>
            <w:r>
              <w:rPr>
                <w:rFonts w:ascii="Arial" w:cs="Arial" w:eastAsia="Arial" w:hAnsi="Arial"/>
                <w:b/>
                <w:bCs/>
                <w:color w:val="0B2447"/>
                <w:sz w:val="20"/>
                <w:szCs w:val="20"/>
              </w:rPr>
              <w:t xml:space="preserve">Distributed Data Integrity</w:t>
            </w:r>
          </w:p>
          <w:p>
            <w:r>
              <w:rPr>
                <w:rFonts w:ascii="Arial" w:cs="Arial" w:eastAsia="Arial" w:hAnsi="Arial"/>
                <w:color w:val="1A1A2E"/>
                <w:sz w:val="19"/>
                <w:szCs w:val="19"/>
              </w:rPr>
              <w:t xml:space="preserve">Every node maintains a full copy of the ledger. If an attacker compromises one node, unaltered copies held by other nodes preserve data integrity and make the attack detectable.</w:t>
            </w:r>
          </w:p>
        </w:tc>
      </w:tr>
    </w:tbl>
    <w:p>
      <w:pPr>
        <w:spacing w:after="80"/>
      </w:pPr>
    </w:p>
    <w:p>
      <w:pPr>
        <w:spacing w:after="120"/>
      </w:pPr>
    </w:p>
    <w:p>
      <w:pPr>
        <w:pStyle w:val="Heading2"/>
        <w:pBdr>
          <w:bottom w:val="single" w:color="1A6B3C" w:sz="4" w:space="1"/>
        </w:pBdr>
        <w:spacing w:after="100" w:before="240"/>
      </w:pPr>
      <w:r>
        <w:rPr>
          <w:rFonts w:ascii="Arial" w:cs="Arial" w:eastAsia="Arial" w:hAnsi="Arial"/>
          <w:b/>
          <w:bCs/>
          <w:color w:val="0B2447"/>
          <w:sz w:val="26"/>
          <w:szCs w:val="26"/>
        </w:rPr>
        <w:t xml:space="preserve">Permissioned vs Public Blockchain — Critical Choice for CFG</w:t>
      </w:r>
    </w:p>
    <w:p>
      <w:pPr>
        <w:spacing w:after="100"/>
      </w:pPr>
      <w:r>
        <w:rPr>
          <w:rFonts w:ascii="Arial" w:cs="Arial" w:eastAsia="Arial" w:hAnsi="Arial"/>
          <w:color w:val="1A1A2E"/>
          <w:sz w:val="20"/>
          <w:szCs w:val="20"/>
        </w:rPr>
        <w:t xml:space="preserve">Full decentralisation is generally incompatible with financial institution compliance, privacy, and performance requirements. CFG should adopt a permissioned consortium blockchain.</w:t>
      </w:r>
    </w:p>
    <w:p>
      <w:pPr>
        <w:spacing w:after="6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520"/>
        <w:gridCol w:w="2400"/>
      </w:tblGrid>
      <w:tr>
        <w:tc>
          <w:tcPr>
            <w:tcW w:type="dxa" w:w="2400"/>
            <w:tcBorders>
              <w:top w:val="single" w:color="0B2447" w:sz="1"/>
              <w:left w:val="single" w:color="0B2447" w:sz="1"/>
              <w:bottom w:val="single" w:color="0B2447" w:sz="1"/>
              <w:right w:val="single" w:color="0B2447" w:sz="1"/>
            </w:tcBorders>
            <w:shd w:fill="0B2447" w:val="clear"/>
            <w:tcMar>
              <w:top w:type="dxa" w:w="80"/>
              <w:left w:type="dxa" w:w="120"/>
              <w:bottom w:type="dxa" w:w="80"/>
              <w:right w:type="dxa" w:w="120"/>
            </w:tcMar>
          </w:tcPr>
          <w:p>
            <w:r>
              <w:rPr>
                <w:rFonts w:ascii="Arial" w:cs="Arial" w:eastAsia="Arial" w:hAnsi="Arial"/>
                <w:b/>
                <w:bCs/>
                <w:color w:val="FFFFFF"/>
                <w:sz w:val="18"/>
                <w:szCs w:val="18"/>
              </w:rPr>
              <w:t xml:space="preserve">Dimension</w:t>
            </w:r>
          </w:p>
        </w:tc>
        <w:tc>
          <w:tcPr>
            <w:tcW w:type="dxa" w:w="2400"/>
            <w:tcBorders>
              <w:top w:val="single" w:color="0B2447" w:sz="1"/>
              <w:left w:val="single" w:color="0B2447" w:sz="1"/>
              <w:bottom w:val="single" w:color="0B2447" w:sz="1"/>
              <w:right w:val="single" w:color="0B2447" w:sz="1"/>
            </w:tcBorders>
            <w:shd w:fill="0B2447" w:val="clear"/>
            <w:tcMar>
              <w:top w:type="dxa" w:w="80"/>
              <w:left w:type="dxa" w:w="120"/>
              <w:bottom w:type="dxa" w:w="80"/>
              <w:right w:type="dxa" w:w="120"/>
            </w:tcMar>
          </w:tcPr>
          <w:p>
            <w:r>
              <w:rPr>
                <w:rFonts w:ascii="Arial" w:cs="Arial" w:eastAsia="Arial" w:hAnsi="Arial"/>
                <w:b/>
                <w:bCs/>
                <w:color w:val="FFFFFF"/>
                <w:sz w:val="18"/>
                <w:szCs w:val="18"/>
              </w:rPr>
              <w:t xml:space="preserve">Public Blockchain</w:t>
            </w:r>
          </w:p>
        </w:tc>
        <w:tc>
          <w:tcPr>
            <w:tcW w:type="dxa" w:w="2520"/>
            <w:tcBorders>
              <w:top w:val="single" w:color="0B2447" w:sz="1"/>
              <w:left w:val="single" w:color="0B2447" w:sz="1"/>
              <w:bottom w:val="single" w:color="0B2447" w:sz="1"/>
              <w:right w:val="single" w:color="0B2447" w:sz="1"/>
            </w:tcBorders>
            <w:shd w:fill="0B2447" w:val="clear"/>
            <w:tcMar>
              <w:top w:type="dxa" w:w="80"/>
              <w:left w:type="dxa" w:w="120"/>
              <w:bottom w:type="dxa" w:w="80"/>
              <w:right w:type="dxa" w:w="120"/>
            </w:tcMar>
          </w:tcPr>
          <w:p>
            <w:r>
              <w:rPr>
                <w:rFonts w:ascii="Arial" w:cs="Arial" w:eastAsia="Arial" w:hAnsi="Arial"/>
                <w:b/>
                <w:bCs/>
                <w:color w:val="FFFFFF"/>
                <w:sz w:val="18"/>
                <w:szCs w:val="18"/>
              </w:rPr>
              <w:t xml:space="preserve">Permissioned / Consortium</w:t>
            </w:r>
          </w:p>
        </w:tc>
        <w:tc>
          <w:tcPr>
            <w:tcW w:type="dxa" w:w="2400"/>
            <w:tcBorders>
              <w:top w:val="single" w:color="0B2447" w:sz="1"/>
              <w:left w:val="single" w:color="0B2447" w:sz="1"/>
              <w:bottom w:val="single" w:color="0B2447" w:sz="1"/>
              <w:right w:val="single" w:color="0B2447" w:sz="1"/>
            </w:tcBorders>
            <w:shd w:fill="0B2447" w:val="clear"/>
            <w:tcMar>
              <w:top w:type="dxa" w:w="80"/>
              <w:left w:type="dxa" w:w="120"/>
              <w:bottom w:type="dxa" w:w="80"/>
              <w:right w:type="dxa" w:w="120"/>
            </w:tcMar>
          </w:tcPr>
          <w:p>
            <w:r>
              <w:rPr>
                <w:rFonts w:ascii="Arial" w:cs="Arial" w:eastAsia="Arial" w:hAnsi="Arial"/>
                <w:b/>
                <w:bCs/>
                <w:color w:val="FFFFFF"/>
                <w:sz w:val="18"/>
                <w:szCs w:val="18"/>
              </w:rPr>
              <w:t xml:space="preserve">CFG Recommendation</w:t>
            </w:r>
          </w:p>
        </w:tc>
      </w:tr>
      <w:tr>
        <w:tc>
          <w:tcPr>
            <w:tcW w:type="dxa" w:w="2400"/>
            <w:tcBorders>
              <w:top w:val="single" w:color="B8D8C4" w:sz="1"/>
              <w:left w:val="single" w:color="B8D8C4" w:sz="1"/>
              <w:bottom w:val="single" w:color="B8D8C4" w:sz="1"/>
              <w:right w:val="single" w:color="B8D8C4" w:sz="1"/>
            </w:tcBorders>
            <w:shd w:fill="FFFFFF" w:val="clear"/>
            <w:tcMar>
              <w:top w:type="dxa" w:w="70"/>
              <w:left w:type="dxa" w:w="120"/>
              <w:bottom w:type="dxa" w:w="70"/>
              <w:right w:type="dxa" w:w="80"/>
            </w:tcMar>
          </w:tcPr>
          <w:p>
            <w:r>
              <w:rPr>
                <w:rFonts w:ascii="Arial" w:cs="Arial" w:eastAsia="Arial" w:hAnsi="Arial"/>
                <w:color w:val="1A1A2E"/>
                <w:sz w:val="18"/>
                <w:szCs w:val="18"/>
              </w:rPr>
              <w:t xml:space="preserve">Access Control</w:t>
            </w:r>
          </w:p>
        </w:tc>
        <w:tc>
          <w:tcPr>
            <w:tcW w:type="dxa" w:w="2400"/>
            <w:tcBorders>
              <w:top w:val="single" w:color="B8D8C4" w:sz="1"/>
              <w:left w:val="single" w:color="B8D8C4" w:sz="1"/>
              <w:bottom w:val="single" w:color="B8D8C4" w:sz="1"/>
              <w:right w:val="single" w:color="B8D8C4" w:sz="1"/>
            </w:tcBorders>
            <w:shd w:fill="FFFFFF" w:val="clear"/>
            <w:tcMar>
              <w:top w:type="dxa" w:w="70"/>
              <w:left w:type="dxa" w:w="120"/>
              <w:bottom w:type="dxa" w:w="70"/>
              <w:right w:type="dxa" w:w="80"/>
            </w:tcMar>
          </w:tcPr>
          <w:p>
            <w:r>
              <w:rPr>
                <w:rFonts w:ascii="Arial" w:cs="Arial" w:eastAsia="Arial" w:hAnsi="Arial"/>
                <w:color w:val="1A1A2E"/>
                <w:sz w:val="18"/>
                <w:szCs w:val="18"/>
              </w:rPr>
              <w:t xml:space="preserve">Anyone can join</w:t>
            </w:r>
          </w:p>
        </w:tc>
        <w:tc>
          <w:tcPr>
            <w:tcW w:type="dxa" w:w="2520"/>
            <w:tcBorders>
              <w:top w:val="single" w:color="B8D8C4" w:sz="1"/>
              <w:left w:val="single" w:color="B8D8C4" w:sz="1"/>
              <w:bottom w:val="single" w:color="B8D8C4" w:sz="1"/>
              <w:right w:val="single" w:color="B8D8C4" w:sz="1"/>
            </w:tcBorders>
            <w:shd w:fill="FFFFFF" w:val="clear"/>
            <w:tcMar>
              <w:top w:type="dxa" w:w="70"/>
              <w:left w:type="dxa" w:w="120"/>
              <w:bottom w:type="dxa" w:w="70"/>
              <w:right w:type="dxa" w:w="80"/>
            </w:tcMar>
          </w:tcPr>
          <w:p>
            <w:r>
              <w:rPr>
                <w:rFonts w:ascii="Arial" w:cs="Arial" w:eastAsia="Arial" w:hAnsi="Arial"/>
                <w:color w:val="1A1A2E"/>
                <w:sz w:val="18"/>
                <w:szCs w:val="18"/>
              </w:rPr>
              <w:t xml:space="preserve">Vetted participants only</w:t>
            </w:r>
          </w:p>
        </w:tc>
        <w:tc>
          <w:tcPr>
            <w:tcW w:type="dxa" w:w="2400"/>
            <w:tcBorders>
              <w:top w:val="single" w:color="B8D8C4" w:sz="1"/>
              <w:left w:val="single" w:color="B8D8C4" w:sz="1"/>
              <w:bottom w:val="single" w:color="B8D8C4" w:sz="1"/>
              <w:right w:val="single" w:color="B8D8C4" w:sz="1"/>
            </w:tcBorders>
            <w:shd w:fill="FFFFFF" w:val="clear"/>
            <w:tcMar>
              <w:top w:type="dxa" w:w="70"/>
              <w:left w:type="dxa" w:w="120"/>
              <w:bottom w:type="dxa" w:w="70"/>
              <w:right w:type="dxa" w:w="80"/>
            </w:tcMar>
          </w:tcPr>
          <w:p>
            <w:r>
              <w:rPr>
                <w:rFonts w:ascii="Arial" w:cs="Arial" w:eastAsia="Arial" w:hAnsi="Arial"/>
                <w:color w:val="1A1A2E"/>
                <w:sz w:val="18"/>
                <w:szCs w:val="18"/>
              </w:rPr>
              <w:t xml:space="preserve">Permissioned — regulatory compliance</w:t>
            </w:r>
          </w:p>
        </w:tc>
      </w:tr>
      <w:tr>
        <w:tc>
          <w:tcPr>
            <w:tcW w:type="dxa" w:w="2400"/>
            <w:tcBorders>
              <w:top w:val="single" w:color="B8D8C4" w:sz="1"/>
              <w:left w:val="single" w:color="B8D8C4" w:sz="1"/>
              <w:bottom w:val="single" w:color="B8D8C4" w:sz="1"/>
              <w:right w:val="single" w:color="B8D8C4" w:sz="1"/>
            </w:tcBorders>
            <w:shd w:fill="EDF7F1" w:val="clear"/>
            <w:tcMar>
              <w:top w:type="dxa" w:w="70"/>
              <w:left w:type="dxa" w:w="120"/>
              <w:bottom w:type="dxa" w:w="70"/>
              <w:right w:type="dxa" w:w="80"/>
            </w:tcMar>
          </w:tcPr>
          <w:p>
            <w:r>
              <w:rPr>
                <w:rFonts w:ascii="Arial" w:cs="Arial" w:eastAsia="Arial" w:hAnsi="Arial"/>
                <w:color w:val="1A1A2E"/>
                <w:sz w:val="18"/>
                <w:szCs w:val="18"/>
              </w:rPr>
              <w:t xml:space="preserve">Transaction Privacy</w:t>
            </w:r>
          </w:p>
        </w:tc>
        <w:tc>
          <w:tcPr>
            <w:tcW w:type="dxa" w:w="2400"/>
            <w:tcBorders>
              <w:top w:val="single" w:color="B8D8C4" w:sz="1"/>
              <w:left w:val="single" w:color="B8D8C4" w:sz="1"/>
              <w:bottom w:val="single" w:color="B8D8C4" w:sz="1"/>
              <w:right w:val="single" w:color="B8D8C4" w:sz="1"/>
            </w:tcBorders>
            <w:shd w:fill="EDF7F1" w:val="clear"/>
            <w:tcMar>
              <w:top w:type="dxa" w:w="70"/>
              <w:left w:type="dxa" w:w="120"/>
              <w:bottom w:type="dxa" w:w="70"/>
              <w:right w:type="dxa" w:w="80"/>
            </w:tcMar>
          </w:tcPr>
          <w:p>
            <w:r>
              <w:rPr>
                <w:rFonts w:ascii="Arial" w:cs="Arial" w:eastAsia="Arial" w:hAnsi="Arial"/>
                <w:color w:val="1A1A2E"/>
                <w:sz w:val="18"/>
                <w:szCs w:val="18"/>
              </w:rPr>
              <w:t xml:space="preserve">Fully transparent</w:t>
            </w:r>
          </w:p>
        </w:tc>
        <w:tc>
          <w:tcPr>
            <w:tcW w:type="dxa" w:w="2520"/>
            <w:tcBorders>
              <w:top w:val="single" w:color="B8D8C4" w:sz="1"/>
              <w:left w:val="single" w:color="B8D8C4" w:sz="1"/>
              <w:bottom w:val="single" w:color="B8D8C4" w:sz="1"/>
              <w:right w:val="single" w:color="B8D8C4" w:sz="1"/>
            </w:tcBorders>
            <w:shd w:fill="EDF7F1" w:val="clear"/>
            <w:tcMar>
              <w:top w:type="dxa" w:w="70"/>
              <w:left w:type="dxa" w:w="120"/>
              <w:bottom w:type="dxa" w:w="70"/>
              <w:right w:type="dxa" w:w="80"/>
            </w:tcMar>
          </w:tcPr>
          <w:p>
            <w:r>
              <w:rPr>
                <w:rFonts w:ascii="Arial" w:cs="Arial" w:eastAsia="Arial" w:hAnsi="Arial"/>
                <w:color w:val="1A1A2E"/>
                <w:sz w:val="18"/>
                <w:szCs w:val="18"/>
              </w:rPr>
              <w:t xml:space="preserve">Configurable — need-to-know</w:t>
            </w:r>
          </w:p>
        </w:tc>
        <w:tc>
          <w:tcPr>
            <w:tcW w:type="dxa" w:w="2400"/>
            <w:tcBorders>
              <w:top w:val="single" w:color="B8D8C4" w:sz="1"/>
              <w:left w:val="single" w:color="B8D8C4" w:sz="1"/>
              <w:bottom w:val="single" w:color="B8D8C4" w:sz="1"/>
              <w:right w:val="single" w:color="B8D8C4" w:sz="1"/>
            </w:tcBorders>
            <w:shd w:fill="EDF7F1" w:val="clear"/>
            <w:tcMar>
              <w:top w:type="dxa" w:w="70"/>
              <w:left w:type="dxa" w:w="120"/>
              <w:bottom w:type="dxa" w:w="70"/>
              <w:right w:type="dxa" w:w="80"/>
            </w:tcMar>
          </w:tcPr>
          <w:p>
            <w:r>
              <w:rPr>
                <w:rFonts w:ascii="Arial" w:cs="Arial" w:eastAsia="Arial" w:hAnsi="Arial"/>
                <w:color w:val="1A1A2E"/>
                <w:sz w:val="18"/>
                <w:szCs w:val="18"/>
              </w:rPr>
              <w:t xml:space="preserve">Essential for customer data</w:t>
            </w:r>
          </w:p>
        </w:tc>
      </w:tr>
      <w:tr>
        <w:tc>
          <w:tcPr>
            <w:tcW w:type="dxa" w:w="2400"/>
            <w:tcBorders>
              <w:top w:val="single" w:color="B8D8C4" w:sz="1"/>
              <w:left w:val="single" w:color="B8D8C4" w:sz="1"/>
              <w:bottom w:val="single" w:color="B8D8C4" w:sz="1"/>
              <w:right w:val="single" w:color="B8D8C4" w:sz="1"/>
            </w:tcBorders>
            <w:shd w:fill="FFFFFF" w:val="clear"/>
            <w:tcMar>
              <w:top w:type="dxa" w:w="70"/>
              <w:left w:type="dxa" w:w="120"/>
              <w:bottom w:type="dxa" w:w="70"/>
              <w:right w:type="dxa" w:w="80"/>
            </w:tcMar>
          </w:tcPr>
          <w:p>
            <w:r>
              <w:rPr>
                <w:rFonts w:ascii="Arial" w:cs="Arial" w:eastAsia="Arial" w:hAnsi="Arial"/>
                <w:color w:val="1A1A2E"/>
                <w:sz w:val="18"/>
                <w:szCs w:val="18"/>
              </w:rPr>
              <w:t xml:space="preserve">Speed / TPS</w:t>
            </w:r>
          </w:p>
        </w:tc>
        <w:tc>
          <w:tcPr>
            <w:tcW w:type="dxa" w:w="2400"/>
            <w:tcBorders>
              <w:top w:val="single" w:color="B8D8C4" w:sz="1"/>
              <w:left w:val="single" w:color="B8D8C4" w:sz="1"/>
              <w:bottom w:val="single" w:color="B8D8C4" w:sz="1"/>
              <w:right w:val="single" w:color="B8D8C4" w:sz="1"/>
            </w:tcBorders>
            <w:shd w:fill="FFFFFF" w:val="clear"/>
            <w:tcMar>
              <w:top w:type="dxa" w:w="70"/>
              <w:left w:type="dxa" w:w="120"/>
              <w:bottom w:type="dxa" w:w="70"/>
              <w:right w:type="dxa" w:w="80"/>
            </w:tcMar>
          </w:tcPr>
          <w:p>
            <w:r>
              <w:rPr>
                <w:rFonts w:ascii="Arial" w:cs="Arial" w:eastAsia="Arial" w:hAnsi="Arial"/>
                <w:color w:val="1A1A2E"/>
                <w:sz w:val="18"/>
                <w:szCs w:val="18"/>
              </w:rPr>
              <w:t xml:space="preserve">Low (Bitcoin: 7 TPS)</w:t>
            </w:r>
          </w:p>
        </w:tc>
        <w:tc>
          <w:tcPr>
            <w:tcW w:type="dxa" w:w="2520"/>
            <w:tcBorders>
              <w:top w:val="single" w:color="B8D8C4" w:sz="1"/>
              <w:left w:val="single" w:color="B8D8C4" w:sz="1"/>
              <w:bottom w:val="single" w:color="B8D8C4" w:sz="1"/>
              <w:right w:val="single" w:color="B8D8C4" w:sz="1"/>
            </w:tcBorders>
            <w:shd w:fill="FFFFFF" w:val="clear"/>
            <w:tcMar>
              <w:top w:type="dxa" w:w="70"/>
              <w:left w:type="dxa" w:w="120"/>
              <w:bottom w:type="dxa" w:w="70"/>
              <w:right w:type="dxa" w:w="80"/>
            </w:tcMar>
          </w:tcPr>
          <w:p>
            <w:r>
              <w:rPr>
                <w:rFonts w:ascii="Arial" w:cs="Arial" w:eastAsia="Arial" w:hAnsi="Arial"/>
                <w:color w:val="1A1A2E"/>
                <w:sz w:val="18"/>
                <w:szCs w:val="18"/>
              </w:rPr>
              <w:t xml:space="preserve">High (Hyperledger: 1,000+ TPS)</w:t>
            </w:r>
          </w:p>
        </w:tc>
        <w:tc>
          <w:tcPr>
            <w:tcW w:type="dxa" w:w="2400"/>
            <w:tcBorders>
              <w:top w:val="single" w:color="B8D8C4" w:sz="1"/>
              <w:left w:val="single" w:color="B8D8C4" w:sz="1"/>
              <w:bottom w:val="single" w:color="B8D8C4" w:sz="1"/>
              <w:right w:val="single" w:color="B8D8C4" w:sz="1"/>
            </w:tcBorders>
            <w:shd w:fill="FFFFFF" w:val="clear"/>
            <w:tcMar>
              <w:top w:type="dxa" w:w="70"/>
              <w:left w:type="dxa" w:w="120"/>
              <w:bottom w:type="dxa" w:w="70"/>
              <w:right w:type="dxa" w:w="80"/>
            </w:tcMar>
          </w:tcPr>
          <w:p>
            <w:r>
              <w:rPr>
                <w:rFonts w:ascii="Arial" w:cs="Arial" w:eastAsia="Arial" w:hAnsi="Arial"/>
                <w:color w:val="1A1A2E"/>
                <w:sz w:val="18"/>
                <w:szCs w:val="18"/>
              </w:rPr>
              <w:t xml:space="preserve">Required for payment volumes</w:t>
            </w:r>
          </w:p>
        </w:tc>
      </w:tr>
      <w:tr>
        <w:tc>
          <w:tcPr>
            <w:tcW w:type="dxa" w:w="2400"/>
            <w:tcBorders>
              <w:top w:val="single" w:color="B8D8C4" w:sz="1"/>
              <w:left w:val="single" w:color="B8D8C4" w:sz="1"/>
              <w:bottom w:val="single" w:color="B8D8C4" w:sz="1"/>
              <w:right w:val="single" w:color="B8D8C4" w:sz="1"/>
            </w:tcBorders>
            <w:shd w:fill="EDF7F1" w:val="clear"/>
            <w:tcMar>
              <w:top w:type="dxa" w:w="70"/>
              <w:left w:type="dxa" w:w="120"/>
              <w:bottom w:type="dxa" w:w="70"/>
              <w:right w:type="dxa" w:w="80"/>
            </w:tcMar>
          </w:tcPr>
          <w:p>
            <w:r>
              <w:rPr>
                <w:rFonts w:ascii="Arial" w:cs="Arial" w:eastAsia="Arial" w:hAnsi="Arial"/>
                <w:color w:val="1A1A2E"/>
                <w:sz w:val="18"/>
                <w:szCs w:val="18"/>
              </w:rPr>
              <w:t xml:space="preserve">Transaction Cost</w:t>
            </w:r>
          </w:p>
        </w:tc>
        <w:tc>
          <w:tcPr>
            <w:tcW w:type="dxa" w:w="2400"/>
            <w:tcBorders>
              <w:top w:val="single" w:color="B8D8C4" w:sz="1"/>
              <w:left w:val="single" w:color="B8D8C4" w:sz="1"/>
              <w:bottom w:val="single" w:color="B8D8C4" w:sz="1"/>
              <w:right w:val="single" w:color="B8D8C4" w:sz="1"/>
            </w:tcBorders>
            <w:shd w:fill="EDF7F1" w:val="clear"/>
            <w:tcMar>
              <w:top w:type="dxa" w:w="70"/>
              <w:left w:type="dxa" w:w="120"/>
              <w:bottom w:type="dxa" w:w="70"/>
              <w:right w:type="dxa" w:w="80"/>
            </w:tcMar>
          </w:tcPr>
          <w:p>
            <w:r>
              <w:rPr>
                <w:rFonts w:ascii="Arial" w:cs="Arial" w:eastAsia="Arial" w:hAnsi="Arial"/>
                <w:color w:val="1A1A2E"/>
                <w:sz w:val="18"/>
                <w:szCs w:val="18"/>
              </w:rPr>
              <w:t xml:space="preserve">Volatile gas fees</w:t>
            </w:r>
          </w:p>
        </w:tc>
        <w:tc>
          <w:tcPr>
            <w:tcW w:type="dxa" w:w="2520"/>
            <w:tcBorders>
              <w:top w:val="single" w:color="B8D8C4" w:sz="1"/>
              <w:left w:val="single" w:color="B8D8C4" w:sz="1"/>
              <w:bottom w:val="single" w:color="B8D8C4" w:sz="1"/>
              <w:right w:val="single" w:color="B8D8C4" w:sz="1"/>
            </w:tcBorders>
            <w:shd w:fill="EDF7F1" w:val="clear"/>
            <w:tcMar>
              <w:top w:type="dxa" w:w="70"/>
              <w:left w:type="dxa" w:w="120"/>
              <w:bottom w:type="dxa" w:w="70"/>
              <w:right w:type="dxa" w:w="80"/>
            </w:tcMar>
          </w:tcPr>
          <w:p>
            <w:r>
              <w:rPr>
                <w:rFonts w:ascii="Arial" w:cs="Arial" w:eastAsia="Arial" w:hAnsi="Arial"/>
                <w:color w:val="1A1A2E"/>
                <w:sz w:val="18"/>
                <w:szCs w:val="18"/>
              </w:rPr>
              <w:t xml:space="preserve">Fixed / governance-agreed</w:t>
            </w:r>
          </w:p>
        </w:tc>
        <w:tc>
          <w:tcPr>
            <w:tcW w:type="dxa" w:w="2400"/>
            <w:tcBorders>
              <w:top w:val="single" w:color="B8D8C4" w:sz="1"/>
              <w:left w:val="single" w:color="B8D8C4" w:sz="1"/>
              <w:bottom w:val="single" w:color="B8D8C4" w:sz="1"/>
              <w:right w:val="single" w:color="B8D8C4" w:sz="1"/>
            </w:tcBorders>
            <w:shd w:fill="EDF7F1" w:val="clear"/>
            <w:tcMar>
              <w:top w:type="dxa" w:w="70"/>
              <w:left w:type="dxa" w:w="120"/>
              <w:bottom w:type="dxa" w:w="70"/>
              <w:right w:type="dxa" w:w="80"/>
            </w:tcMar>
          </w:tcPr>
          <w:p>
            <w:r>
              <w:rPr>
                <w:rFonts w:ascii="Arial" w:cs="Arial" w:eastAsia="Arial" w:hAnsi="Arial"/>
                <w:color w:val="1A1A2E"/>
                <w:sz w:val="18"/>
                <w:szCs w:val="18"/>
              </w:rPr>
              <w:t xml:space="preserve">Addresses CFO's concerns</w:t>
            </w:r>
          </w:p>
        </w:tc>
      </w:tr>
      <w:tr>
        <w:tc>
          <w:tcPr>
            <w:tcW w:type="dxa" w:w="2400"/>
            <w:tcBorders>
              <w:top w:val="single" w:color="B8D8C4" w:sz="1"/>
              <w:left w:val="single" w:color="B8D8C4" w:sz="1"/>
              <w:bottom w:val="single" w:color="B8D8C4" w:sz="1"/>
              <w:right w:val="single" w:color="B8D8C4" w:sz="1"/>
            </w:tcBorders>
            <w:shd w:fill="FFFFFF" w:val="clear"/>
            <w:tcMar>
              <w:top w:type="dxa" w:w="70"/>
              <w:left w:type="dxa" w:w="120"/>
              <w:bottom w:type="dxa" w:w="70"/>
              <w:right w:type="dxa" w:w="80"/>
            </w:tcMar>
          </w:tcPr>
          <w:p>
            <w:r>
              <w:rPr>
                <w:rFonts w:ascii="Arial" w:cs="Arial" w:eastAsia="Arial" w:hAnsi="Arial"/>
                <w:color w:val="1A1A2E"/>
                <w:sz w:val="18"/>
                <w:szCs w:val="18"/>
              </w:rPr>
              <w:t xml:space="preserve">Regulatory Compliance</w:t>
            </w:r>
          </w:p>
        </w:tc>
        <w:tc>
          <w:tcPr>
            <w:tcW w:type="dxa" w:w="2400"/>
            <w:tcBorders>
              <w:top w:val="single" w:color="B8D8C4" w:sz="1"/>
              <w:left w:val="single" w:color="B8D8C4" w:sz="1"/>
              <w:bottom w:val="single" w:color="B8D8C4" w:sz="1"/>
              <w:right w:val="single" w:color="B8D8C4" w:sz="1"/>
            </w:tcBorders>
            <w:shd w:fill="FFFFFF" w:val="clear"/>
            <w:tcMar>
              <w:top w:type="dxa" w:w="70"/>
              <w:left w:type="dxa" w:w="120"/>
              <w:bottom w:type="dxa" w:w="70"/>
              <w:right w:type="dxa" w:w="80"/>
            </w:tcMar>
          </w:tcPr>
          <w:p>
            <w:r>
              <w:rPr>
                <w:rFonts w:ascii="Arial" w:cs="Arial" w:eastAsia="Arial" w:hAnsi="Arial"/>
                <w:color w:val="1A1A2E"/>
                <w:sz w:val="18"/>
                <w:szCs w:val="18"/>
              </w:rPr>
              <w:t xml:space="preserve">Difficult — pseudonymous</w:t>
            </w:r>
          </w:p>
        </w:tc>
        <w:tc>
          <w:tcPr>
            <w:tcW w:type="dxa" w:w="2520"/>
            <w:tcBorders>
              <w:top w:val="single" w:color="B8D8C4" w:sz="1"/>
              <w:left w:val="single" w:color="B8D8C4" w:sz="1"/>
              <w:bottom w:val="single" w:color="B8D8C4" w:sz="1"/>
              <w:right w:val="single" w:color="B8D8C4" w:sz="1"/>
            </w:tcBorders>
            <w:shd w:fill="FFFFFF" w:val="clear"/>
            <w:tcMar>
              <w:top w:type="dxa" w:w="70"/>
              <w:left w:type="dxa" w:w="120"/>
              <w:bottom w:type="dxa" w:w="70"/>
              <w:right w:type="dxa" w:w="80"/>
            </w:tcMar>
          </w:tcPr>
          <w:p>
            <w:r>
              <w:rPr>
                <w:rFonts w:ascii="Arial" w:cs="Arial" w:eastAsia="Arial" w:hAnsi="Arial"/>
                <w:color w:val="1A1A2E"/>
                <w:sz w:val="18"/>
                <w:szCs w:val="18"/>
              </w:rPr>
              <w:t xml:space="preserve">KYC/AML built into onboarding</w:t>
            </w:r>
          </w:p>
        </w:tc>
        <w:tc>
          <w:tcPr>
            <w:tcW w:type="dxa" w:w="2400"/>
            <w:tcBorders>
              <w:top w:val="single" w:color="B8D8C4" w:sz="1"/>
              <w:left w:val="single" w:color="B8D8C4" w:sz="1"/>
              <w:bottom w:val="single" w:color="B8D8C4" w:sz="1"/>
              <w:right w:val="single" w:color="B8D8C4" w:sz="1"/>
            </w:tcBorders>
            <w:shd w:fill="FFFFFF" w:val="clear"/>
            <w:tcMar>
              <w:top w:type="dxa" w:w="70"/>
              <w:left w:type="dxa" w:w="120"/>
              <w:bottom w:type="dxa" w:w="70"/>
              <w:right w:type="dxa" w:w="80"/>
            </w:tcMar>
          </w:tcPr>
          <w:p>
            <w:r>
              <w:rPr>
                <w:rFonts w:ascii="Arial" w:cs="Arial" w:eastAsia="Arial" w:hAnsi="Arial"/>
                <w:color w:val="1A1A2E"/>
                <w:sz w:val="18"/>
                <w:szCs w:val="18"/>
              </w:rPr>
              <w:t xml:space="preserve">MAS-compatible</w:t>
            </w:r>
          </w:p>
        </w:tc>
      </w:tr>
      <w:tr>
        <w:tc>
          <w:tcPr>
            <w:tcW w:type="dxa" w:w="2400"/>
            <w:tcBorders>
              <w:top w:val="single" w:color="B8D8C4" w:sz="1"/>
              <w:left w:val="single" w:color="B8D8C4" w:sz="1"/>
              <w:bottom w:val="single" w:color="B8D8C4" w:sz="1"/>
              <w:right w:val="single" w:color="B8D8C4" w:sz="1"/>
            </w:tcBorders>
            <w:shd w:fill="EDF7F1" w:val="clear"/>
            <w:tcMar>
              <w:top w:type="dxa" w:w="70"/>
              <w:left w:type="dxa" w:w="120"/>
              <w:bottom w:type="dxa" w:w="70"/>
              <w:right w:type="dxa" w:w="80"/>
            </w:tcMar>
          </w:tcPr>
          <w:p>
            <w:r>
              <w:rPr>
                <w:rFonts w:ascii="Arial" w:cs="Arial" w:eastAsia="Arial" w:hAnsi="Arial"/>
                <w:color w:val="1A1A2E"/>
                <w:sz w:val="18"/>
                <w:szCs w:val="18"/>
              </w:rPr>
              <w:t xml:space="preserve">Examples</w:t>
            </w:r>
          </w:p>
        </w:tc>
        <w:tc>
          <w:tcPr>
            <w:tcW w:type="dxa" w:w="2400"/>
            <w:tcBorders>
              <w:top w:val="single" w:color="B8D8C4" w:sz="1"/>
              <w:left w:val="single" w:color="B8D8C4" w:sz="1"/>
              <w:bottom w:val="single" w:color="B8D8C4" w:sz="1"/>
              <w:right w:val="single" w:color="B8D8C4" w:sz="1"/>
            </w:tcBorders>
            <w:shd w:fill="EDF7F1" w:val="clear"/>
            <w:tcMar>
              <w:top w:type="dxa" w:w="70"/>
              <w:left w:type="dxa" w:w="120"/>
              <w:bottom w:type="dxa" w:w="70"/>
              <w:right w:type="dxa" w:w="80"/>
            </w:tcMar>
          </w:tcPr>
          <w:p>
            <w:r>
              <w:rPr>
                <w:rFonts w:ascii="Arial" w:cs="Arial" w:eastAsia="Arial" w:hAnsi="Arial"/>
                <w:color w:val="1A1A2E"/>
                <w:sz w:val="18"/>
                <w:szCs w:val="18"/>
              </w:rPr>
              <w:t xml:space="preserve">Bitcoin, Ethereum</w:t>
            </w:r>
          </w:p>
        </w:tc>
        <w:tc>
          <w:tcPr>
            <w:tcW w:type="dxa" w:w="2520"/>
            <w:tcBorders>
              <w:top w:val="single" w:color="B8D8C4" w:sz="1"/>
              <w:left w:val="single" w:color="B8D8C4" w:sz="1"/>
              <w:bottom w:val="single" w:color="B8D8C4" w:sz="1"/>
              <w:right w:val="single" w:color="B8D8C4" w:sz="1"/>
            </w:tcBorders>
            <w:shd w:fill="EDF7F1" w:val="clear"/>
            <w:tcMar>
              <w:top w:type="dxa" w:w="70"/>
              <w:left w:type="dxa" w:w="120"/>
              <w:bottom w:type="dxa" w:w="70"/>
              <w:right w:type="dxa" w:w="80"/>
            </w:tcMar>
          </w:tcPr>
          <w:p>
            <w:r>
              <w:rPr>
                <w:rFonts w:ascii="Arial" w:cs="Arial" w:eastAsia="Arial" w:hAnsi="Arial"/>
                <w:color w:val="1A1A2E"/>
                <w:sz w:val="18"/>
                <w:szCs w:val="18"/>
              </w:rPr>
              <w:t xml:space="preserve">R3 Corda, Hyperledger Fabric</w:t>
            </w:r>
          </w:p>
        </w:tc>
        <w:tc>
          <w:tcPr>
            <w:tcW w:type="dxa" w:w="2400"/>
            <w:tcBorders>
              <w:top w:val="single" w:color="B8D8C4" w:sz="1"/>
              <w:left w:val="single" w:color="B8D8C4" w:sz="1"/>
              <w:bottom w:val="single" w:color="B8D8C4" w:sz="1"/>
              <w:right w:val="single" w:color="B8D8C4" w:sz="1"/>
            </w:tcBorders>
            <w:shd w:fill="EDF7F1" w:val="clear"/>
            <w:tcMar>
              <w:top w:type="dxa" w:w="70"/>
              <w:left w:type="dxa" w:w="120"/>
              <w:bottom w:type="dxa" w:w="70"/>
              <w:right w:type="dxa" w:w="80"/>
            </w:tcMar>
          </w:tcPr>
          <w:p>
            <w:r>
              <w:rPr>
                <w:rFonts w:ascii="Arial" w:cs="Arial" w:eastAsia="Arial" w:hAnsi="Arial"/>
                <w:color w:val="1A1A2E"/>
                <w:sz w:val="18"/>
                <w:szCs w:val="18"/>
              </w:rPr>
              <w:t xml:space="preserve">R3 Corda or Hyperledger recommended</w:t>
            </w:r>
          </w:p>
        </w:tc>
      </w:tr>
    </w:tbl>
    <w:p>
      <w:pPr>
        <w:spacing w:after="12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B8D8C4" w:sz="1"/>
              <w:left w:val="single" w:color="1A6B3C" w:sz="18"/>
              <w:bottom w:val="single" w:color="B8D8C4" w:sz="1"/>
              <w:right w:val="single" w:color="B8D8C4" w:sz="1"/>
            </w:tcBorders>
            <w:shd w:fill="EDF7F1" w:val="clear"/>
            <w:tcMar>
              <w:top w:type="dxa" w:w="120"/>
              <w:left w:type="dxa" w:w="200"/>
              <w:bottom w:type="dxa" w:w="120"/>
              <w:right w:type="dxa" w:w="200"/>
            </w:tcMar>
          </w:tcPr>
          <w:p>
            <w:pPr>
              <w:spacing w:after="60"/>
            </w:pPr>
            <w:r>
              <w:rPr>
                <w:rFonts w:ascii="Arial" w:cs="Arial" w:eastAsia="Arial" w:hAnsi="Arial"/>
                <w:b/>
                <w:bCs/>
                <w:color w:val="0B2447"/>
                <w:sz w:val="19"/>
                <w:szCs w:val="19"/>
              </w:rPr>
              <w:t xml:space="preserve">CFG Recommendation:</w:t>
            </w:r>
          </w:p>
          <w:p>
            <w:pPr>
              <w:spacing w:after="40"/>
            </w:pPr>
            <w:r>
              <w:rPr>
                <w:rFonts w:ascii="Arial" w:cs="Arial" w:eastAsia="Arial" w:hAnsi="Arial"/>
                <w:color w:val="1A1A2E"/>
                <w:sz w:val="19"/>
                <w:szCs w:val="19"/>
              </w:rPr>
              <w:t xml:space="preserve">Adopt a permissioned consortium blockchain (R3 Corda or Hyperledger Fabric) for the DLT pilot. This achieves decentralisation's reliability and security benefits — no single point of failure, Byzantine fault tolerance, distributed data integrity — while maintaining the access control, privacy, and compliance capabilities required by MAS and CFG's institutional counterparties.</w:t>
            </w:r>
          </w:p>
        </w:tc>
      </w:tr>
    </w:tbl>
    <w:p>
      <w:pPr>
        <w:spacing w:after="200"/>
      </w:pPr>
    </w:p>
    <w:p>
      <w:r>
        <w:br w:type="pag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800"/>
        <w:gridCol w:w="8920"/>
      </w:tblGrid>
      <w:tr>
        <w:tc>
          <w:tcPr>
            <w:tcW w:type="dxa" w:w="800"/>
            <w:tcBorders>
              <w:top w:val="single" w:color="1A6B3C" w:sz="1"/>
              <w:left w:val="single" w:color="1A6B3C" w:sz="1"/>
              <w:bottom w:val="single" w:color="1A6B3C" w:sz="1"/>
              <w:right w:val="single" w:color="1A6B3C" w:sz="1"/>
            </w:tcBorders>
            <w:shd w:fill="1A6B3C" w:val="clear"/>
            <w:tcMar>
              <w:top w:type="dxa" w:w="120"/>
              <w:left w:type="dxa" w:w="100"/>
              <w:bottom w:type="dxa" w:w="120"/>
              <w:right w:type="dxa" w:w="100"/>
            </w:tcMar>
            <w:vAlign w:val="center"/>
          </w:tcPr>
          <w:p>
            <w:pPr>
              <w:jc w:val="center"/>
            </w:pPr>
            <w:r>
              <w:rPr>
                <w:rFonts w:ascii="Arial" w:cs="Arial" w:eastAsia="Arial" w:hAnsi="Arial"/>
                <w:b/>
                <w:bCs/>
                <w:color w:val="FFFFFF"/>
                <w:sz w:val="28"/>
                <w:szCs w:val="28"/>
              </w:rPr>
              <w:t xml:space="preserve">Q5</w:t>
            </w:r>
          </w:p>
        </w:tc>
        <w:tc>
          <w:tcPr>
            <w:tcW w:type="dxa" w:w="8920"/>
            <w:tcBorders>
              <w:top w:val="single" w:color="0B2447" w:sz="1"/>
              <w:left w:val="single" w:color="0B2447" w:sz="1"/>
              <w:bottom w:val="single" w:color="0B2447" w:sz="1"/>
              <w:right w:val="single" w:color="0B2447" w:sz="1"/>
            </w:tcBorders>
            <w:shd w:fill="0B2447" w:val="clear"/>
            <w:tcMar>
              <w:top w:type="dxa" w:w="120"/>
              <w:left w:type="dxa" w:w="180"/>
              <w:bottom w:type="dxa" w:w="120"/>
              <w:right w:type="dxa" w:w="120"/>
            </w:tcMar>
            <w:vAlign w:val="center"/>
          </w:tcPr>
          <w:p>
            <w:r>
              <w:rPr>
                <w:rFonts w:ascii="Arial" w:cs="Arial" w:eastAsia="Arial" w:hAnsi="Arial"/>
                <w:b/>
                <w:bCs/>
                <w:color w:val="FFFFFF"/>
                <w:sz w:val="22"/>
                <w:szCs w:val="22"/>
              </w:rPr>
              <w:t xml:space="preserve">How does blockchain technology help reduce fraud in financial transactions?</w:t>
            </w:r>
          </w:p>
        </w:tc>
      </w:tr>
    </w:tbl>
    <w:p>
      <w:pPr>
        <w:spacing w:after="120"/>
      </w:pPr>
    </w:p>
    <w:p>
      <w:pPr>
        <w:pStyle w:val="Heading2"/>
        <w:pBdr>
          <w:bottom w:val="single" w:color="1A6B3C" w:sz="4" w:space="1"/>
        </w:pBdr>
        <w:spacing w:after="100" w:before="240"/>
      </w:pPr>
      <w:r>
        <w:rPr>
          <w:rFonts w:ascii="Arial" w:cs="Arial" w:eastAsia="Arial" w:hAnsi="Arial"/>
          <w:b/>
          <w:bCs/>
          <w:color w:val="0B2447"/>
          <w:sz w:val="26"/>
          <w:szCs w:val="26"/>
        </w:rPr>
        <w:t xml:space="preserve">Five Fraud-Reduction Mechanisms</w:t>
      </w:r>
    </w:p>
    <w:p>
      <w:pPr>
        <w:spacing w:after="80"/>
      </w:pPr>
    </w:p>
    <w:p>
      <w:pPr>
        <w:spacing w:after="60" w:before="120"/>
      </w:pPr>
      <w:r>
        <w:rPr>
          <w:rFonts w:ascii="Arial" w:cs="Arial" w:eastAsia="Arial" w:hAnsi="Arial"/>
          <w:b/>
          <w:bCs/>
          <w:color w:val="2E8B57"/>
          <w:sz w:val="20"/>
          <w:szCs w:val="20"/>
        </w:rPr>
        <w:t xml:space="preserve">1. Cryptographic Transaction Authentication</w:t>
      </w:r>
    </w:p>
    <w:p>
      <w:pPr>
        <w:spacing w:after="100"/>
      </w:pPr>
      <w:r>
        <w:rPr>
          <w:rFonts w:ascii="Arial" w:cs="Arial" w:eastAsia="Arial" w:hAnsi="Arial"/>
          <w:color w:val="1A1A2E"/>
          <w:sz w:val="20"/>
          <w:szCs w:val="20"/>
        </w:rPr>
        <w:t xml:space="preserve">Every transaction is digitally signed using the sender's private key. No transaction can be submitted without proof of private key ownership — eliminating identity spoofing and unauthorised transaction initiation that plague traditional banking systems.</w:t>
      </w:r>
    </w:p>
    <w:p>
      <w:pPr>
        <w:spacing w:after="60"/>
      </w:pPr>
    </w:p>
    <w:p>
      <w:pPr>
        <w:spacing w:after="60" w:before="120"/>
      </w:pPr>
      <w:r>
        <w:rPr>
          <w:rFonts w:ascii="Arial" w:cs="Arial" w:eastAsia="Arial" w:hAnsi="Arial"/>
          <w:b/>
          <w:bCs/>
          <w:color w:val="2E8B57"/>
          <w:sz w:val="20"/>
          <w:szCs w:val="20"/>
        </w:rPr>
        <w:t xml:space="preserve">2. Immutable Audit Trail — No Silent Alterations</w:t>
      </w:r>
    </w:p>
    <w:p>
      <w:pPr>
        <w:spacing w:after="100"/>
      </w:pPr>
      <w:r>
        <w:rPr>
          <w:rFonts w:ascii="Arial" w:cs="Arial" w:eastAsia="Arial" w:hAnsi="Arial"/>
          <w:color w:val="1A1A2E"/>
          <w:sz w:val="20"/>
          <w:szCs w:val="20"/>
        </w:rPr>
        <w:t xml:space="preserve">In traditional banking, fraudsters may manipulate internal records or collude with staff to conceal fraudulent activity. On a blockchain, every transaction is permanently recorded and cryptographically linked — any attempt to alter historical records is immediately detectable by all network participants.</w:t>
      </w:r>
    </w:p>
    <w:p>
      <w:pPr>
        <w:spacing w:after="60"/>
      </w:pPr>
    </w:p>
    <w:p>
      <w:pPr>
        <w:spacing w:after="60" w:before="120"/>
      </w:pPr>
      <w:r>
        <w:rPr>
          <w:rFonts w:ascii="Arial" w:cs="Arial" w:eastAsia="Arial" w:hAnsi="Arial"/>
          <w:b/>
          <w:bCs/>
          <w:color w:val="2E8B57"/>
          <w:sz w:val="20"/>
          <w:szCs w:val="20"/>
        </w:rPr>
        <w:t xml:space="preserve">3. Smart Contract Automation — Eliminating Human Manipulation</w:t>
      </w:r>
    </w:p>
    <w:p>
      <w:pPr>
        <w:spacing w:after="100"/>
      </w:pPr>
      <w:r>
        <w:rPr>
          <w:rFonts w:ascii="Arial" w:cs="Arial" w:eastAsia="Arial" w:hAnsi="Arial"/>
          <w:color w:val="1A1A2E"/>
          <w:sz w:val="20"/>
          <w:szCs w:val="20"/>
        </w:rPr>
        <w:t xml:space="preserve">Payment conditions encoded in smart contracts execute automatically when pre-defined criteria are met — without human intervention. This removes the opportunity for staff fraud, side agreements, or manual overrides that are common attack vectors in correspondent banking.</w:t>
      </w:r>
    </w:p>
    <w:p>
      <w:pPr>
        <w:spacing w:after="60"/>
      </w:pPr>
    </w:p>
    <w:p>
      <w:pPr>
        <w:spacing w:after="60" w:before="120"/>
      </w:pPr>
      <w:r>
        <w:rPr>
          <w:rFonts w:ascii="Arial" w:cs="Arial" w:eastAsia="Arial" w:hAnsi="Arial"/>
          <w:b/>
          <w:bCs/>
          <w:color w:val="2E8B57"/>
          <w:sz w:val="20"/>
          <w:szCs w:val="20"/>
        </w:rPr>
        <w:t xml:space="preserve">4. Reduced Intermediary Attack Surface</w:t>
      </w:r>
    </w:p>
    <w:p>
      <w:pPr>
        <w:spacing w:after="100"/>
      </w:pPr>
      <w:r>
        <w:rPr>
          <w:rFonts w:ascii="Arial" w:cs="Arial" w:eastAsia="Arial" w:hAnsi="Arial"/>
          <w:color w:val="1A1A2E"/>
          <w:sz w:val="20"/>
          <w:szCs w:val="20"/>
        </w:rPr>
        <w:t xml:space="preserve">Each correspondent bank in a SWIFT chain represents a potential compromise point. By enabling direct peer-to-peer settlement, DLT dramatically reduces the number of parties with access to transaction flows — shrinking the attack surface for both external hacking and insider fraud.</w:t>
      </w:r>
    </w:p>
    <w:p>
      <w:pPr>
        <w:spacing w:after="60"/>
      </w:pPr>
    </w:p>
    <w:p>
      <w:pPr>
        <w:spacing w:after="60" w:before="120"/>
      </w:pPr>
      <w:r>
        <w:rPr>
          <w:rFonts w:ascii="Arial" w:cs="Arial" w:eastAsia="Arial" w:hAnsi="Arial"/>
          <w:b/>
          <w:bCs/>
          <w:color w:val="2E8B57"/>
          <w:sz w:val="20"/>
          <w:szCs w:val="20"/>
        </w:rPr>
        <w:t xml:space="preserve">5. Real-Time Visibility &amp; Anomaly Detection</w:t>
      </w:r>
    </w:p>
    <w:p>
      <w:pPr>
        <w:spacing w:after="100"/>
      </w:pPr>
      <w:r>
        <w:rPr>
          <w:rFonts w:ascii="Arial" w:cs="Arial" w:eastAsia="Arial" w:hAnsi="Arial"/>
          <w:color w:val="1A1A2E"/>
          <w:sz w:val="20"/>
          <w:szCs w:val="20"/>
        </w:rPr>
        <w:t xml:space="preserve">The shared transparent ledger allows all permissioned participants — CFG's compliance team, counterparties, and MAS — to monitor transactions in real time. Blockchain analytics tools (Chainalysis, Elliptic) flag suspicious patterns immediately, rather than after the fact.</w:t>
      </w:r>
    </w:p>
    <w:p>
      <w:pPr>
        <w:spacing w:after="8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B8D8C4" w:sz="1"/>
              <w:left w:val="single" w:color="1A6B3C" w:sz="18"/>
              <w:bottom w:val="single" w:color="B8D8C4" w:sz="1"/>
              <w:right w:val="single" w:color="B8D8C4" w:sz="1"/>
            </w:tcBorders>
            <w:shd w:fill="EDF7F1" w:val="clear"/>
            <w:tcMar>
              <w:top w:type="dxa" w:w="120"/>
              <w:left w:type="dxa" w:w="200"/>
              <w:bottom w:type="dxa" w:w="120"/>
              <w:right w:type="dxa" w:w="200"/>
            </w:tcMar>
          </w:tcPr>
          <w:p>
            <w:pPr>
              <w:spacing w:after="60"/>
            </w:pPr>
            <w:r>
              <w:rPr>
                <w:rFonts w:ascii="Arial" w:cs="Arial" w:eastAsia="Arial" w:hAnsi="Arial"/>
                <w:b/>
                <w:bCs/>
                <w:color w:val="0B2447"/>
                <w:sz w:val="19"/>
                <w:szCs w:val="19"/>
              </w:rPr>
              <w:t xml:space="preserve">For CFG's Payments Division:</w:t>
            </w:r>
          </w:p>
          <w:p>
            <w:pPr>
              <w:spacing w:after="40"/>
            </w:pPr>
            <w:r>
              <w:rPr>
                <w:rFonts w:ascii="Arial" w:cs="Arial" w:eastAsia="Arial" w:hAnsi="Arial"/>
                <w:color w:val="1A1A2E"/>
                <w:sz w:val="19"/>
                <w:szCs w:val="19"/>
              </w:rPr>
              <w:t xml:space="preserve">Combining blockchain's inherent fraud controls with on-chain AML/CFT monitoring tools creates a significantly stronger fraud prevention posture than the manual, batch-based reconciliation currently used with SWIFT — while simultaneously reducing the operational cost of compliance.</w:t>
            </w:r>
          </w:p>
        </w:tc>
      </w:tr>
    </w:tbl>
    <w:p>
      <w:pPr>
        <w:spacing w:after="200"/>
      </w:pPr>
    </w:p>
    <w:p>
      <w:r>
        <w:br w:type="pag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800"/>
        <w:gridCol w:w="8920"/>
      </w:tblGrid>
      <w:tr>
        <w:tc>
          <w:tcPr>
            <w:tcW w:type="dxa" w:w="800"/>
            <w:tcBorders>
              <w:top w:val="single" w:color="1A6B3C" w:sz="1"/>
              <w:left w:val="single" w:color="1A6B3C" w:sz="1"/>
              <w:bottom w:val="single" w:color="1A6B3C" w:sz="1"/>
              <w:right w:val="single" w:color="1A6B3C" w:sz="1"/>
            </w:tcBorders>
            <w:shd w:fill="1A6B3C" w:val="clear"/>
            <w:tcMar>
              <w:top w:type="dxa" w:w="120"/>
              <w:left w:type="dxa" w:w="100"/>
              <w:bottom w:type="dxa" w:w="120"/>
              <w:right w:type="dxa" w:w="100"/>
            </w:tcMar>
            <w:vAlign w:val="center"/>
          </w:tcPr>
          <w:p>
            <w:pPr>
              <w:jc w:val="center"/>
            </w:pPr>
            <w:r>
              <w:rPr>
                <w:rFonts w:ascii="Arial" w:cs="Arial" w:eastAsia="Arial" w:hAnsi="Arial"/>
                <w:b/>
                <w:bCs/>
                <w:color w:val="FFFFFF"/>
                <w:sz w:val="28"/>
                <w:szCs w:val="28"/>
              </w:rPr>
              <w:t xml:space="preserve">Q6</w:t>
            </w:r>
          </w:p>
        </w:tc>
        <w:tc>
          <w:tcPr>
            <w:tcW w:type="dxa" w:w="8920"/>
            <w:tcBorders>
              <w:top w:val="single" w:color="0B2447" w:sz="1"/>
              <w:left w:val="single" w:color="0B2447" w:sz="1"/>
              <w:bottom w:val="single" w:color="0B2447" w:sz="1"/>
              <w:right w:val="single" w:color="0B2447" w:sz="1"/>
            </w:tcBorders>
            <w:shd w:fill="0B2447" w:val="clear"/>
            <w:tcMar>
              <w:top w:type="dxa" w:w="120"/>
              <w:left w:type="dxa" w:w="180"/>
              <w:bottom w:type="dxa" w:w="120"/>
              <w:right w:type="dxa" w:w="120"/>
            </w:tcMar>
            <w:vAlign w:val="center"/>
          </w:tcPr>
          <w:p>
            <w:r>
              <w:rPr>
                <w:rFonts w:ascii="Arial" w:cs="Arial" w:eastAsia="Arial" w:hAnsi="Arial"/>
                <w:b/>
                <w:bCs/>
                <w:color w:val="FFFFFF"/>
                <w:sz w:val="22"/>
                <w:szCs w:val="22"/>
              </w:rPr>
              <w:t xml:space="preserve">What challenges and risks does CFG face when adopting blockchain for enterprise use?</w:t>
            </w:r>
          </w:p>
        </w:tc>
      </w:tr>
    </w:tbl>
    <w:p>
      <w:pPr>
        <w:spacing w:after="120"/>
      </w:pPr>
    </w:p>
    <w:p>
      <w:pPr>
        <w:pStyle w:val="Heading2"/>
        <w:pBdr>
          <w:bottom w:val="single" w:color="1A6B3C" w:sz="4" w:space="1"/>
        </w:pBdr>
        <w:spacing w:after="100" w:before="240"/>
      </w:pPr>
      <w:r>
        <w:rPr>
          <w:rFonts w:ascii="Arial" w:cs="Arial" w:eastAsia="Arial" w:hAnsi="Arial"/>
          <w:b/>
          <w:bCs/>
          <w:color w:val="0B2447"/>
          <w:sz w:val="26"/>
          <w:szCs w:val="26"/>
        </w:rPr>
        <w:t xml:space="preserve">Enterprise Blockchain Adoption — Risk &amp; Challenge Matrix</w:t>
      </w:r>
    </w:p>
    <w:p>
      <w:pPr>
        <w:spacing w:after="6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3440"/>
        <w:gridCol w:w="2560"/>
        <w:gridCol w:w="1320"/>
      </w:tblGrid>
      <w:tr>
        <w:tc>
          <w:tcPr>
            <w:tcW w:type="dxa" w:w="2400"/>
            <w:tcBorders>
              <w:top w:val="single" w:color="0B2447" w:sz="1"/>
              <w:left w:val="single" w:color="0B2447" w:sz="1"/>
              <w:bottom w:val="single" w:color="0B2447" w:sz="1"/>
              <w:right w:val="single" w:color="0B2447" w:sz="1"/>
            </w:tcBorders>
            <w:shd w:fill="0B2447" w:val="clear"/>
            <w:tcMar>
              <w:top w:type="dxa" w:w="80"/>
              <w:left w:type="dxa" w:w="120"/>
              <w:bottom w:type="dxa" w:w="80"/>
              <w:right w:type="dxa" w:w="120"/>
            </w:tcMar>
          </w:tcPr>
          <w:p>
            <w:r>
              <w:rPr>
                <w:rFonts w:ascii="Arial" w:cs="Arial" w:eastAsia="Arial" w:hAnsi="Arial"/>
                <w:b/>
                <w:bCs/>
                <w:color w:val="FFFFFF"/>
                <w:sz w:val="18"/>
                <w:szCs w:val="18"/>
              </w:rPr>
              <w:t xml:space="preserve">Challenge</w:t>
            </w:r>
          </w:p>
        </w:tc>
        <w:tc>
          <w:tcPr>
            <w:tcW w:type="dxa" w:w="3440"/>
            <w:tcBorders>
              <w:top w:val="single" w:color="0B2447" w:sz="1"/>
              <w:left w:val="single" w:color="0B2447" w:sz="1"/>
              <w:bottom w:val="single" w:color="0B2447" w:sz="1"/>
              <w:right w:val="single" w:color="0B2447" w:sz="1"/>
            </w:tcBorders>
            <w:shd w:fill="0B2447"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2560"/>
            <w:tcBorders>
              <w:top w:val="single" w:color="0B2447" w:sz="1"/>
              <w:left w:val="single" w:color="0B2447" w:sz="1"/>
              <w:bottom w:val="single" w:color="0B2447" w:sz="1"/>
              <w:right w:val="single" w:color="0B2447" w:sz="1"/>
            </w:tcBorders>
            <w:shd w:fill="0B2447" w:val="clear"/>
            <w:tcMar>
              <w:top w:type="dxa" w:w="80"/>
              <w:left w:type="dxa" w:w="120"/>
              <w:bottom w:type="dxa" w:w="80"/>
              <w:right w:type="dxa" w:w="120"/>
            </w:tcMar>
          </w:tcPr>
          <w:p>
            <w:r>
              <w:rPr>
                <w:rFonts w:ascii="Arial" w:cs="Arial" w:eastAsia="Arial" w:hAnsi="Arial"/>
                <w:b/>
                <w:bCs/>
                <w:color w:val="FFFFFF"/>
                <w:sz w:val="18"/>
                <w:szCs w:val="18"/>
              </w:rPr>
              <w:t xml:space="preserve">CFG Impact</w:t>
            </w:r>
          </w:p>
        </w:tc>
        <w:tc>
          <w:tcPr>
            <w:tcW w:type="dxa" w:w="1320"/>
            <w:tcBorders>
              <w:top w:val="single" w:color="0B2447" w:sz="1"/>
              <w:left w:val="single" w:color="0B2447" w:sz="1"/>
              <w:bottom w:val="single" w:color="0B2447" w:sz="1"/>
              <w:right w:val="single" w:color="0B2447" w:sz="1"/>
            </w:tcBorders>
            <w:shd w:fill="0B2447" w:val="clear"/>
            <w:tcMar>
              <w:top w:type="dxa" w:w="80"/>
              <w:left w:type="dxa" w:w="120"/>
              <w:bottom w:type="dxa" w:w="80"/>
              <w:right w:type="dxa" w:w="120"/>
            </w:tcMar>
          </w:tcPr>
          <w:p>
            <w:r>
              <w:rPr>
                <w:rFonts w:ascii="Arial" w:cs="Arial" w:eastAsia="Arial" w:hAnsi="Arial"/>
                <w:b/>
                <w:bCs/>
                <w:color w:val="FFFFFF"/>
                <w:sz w:val="18"/>
                <w:szCs w:val="18"/>
              </w:rPr>
              <w:t xml:space="preserve">Severity</w:t>
            </w:r>
          </w:p>
        </w:tc>
      </w:tr>
      <w:tr>
        <w:tc>
          <w:tcPr>
            <w:tcW w:type="dxa" w:w="2400"/>
            <w:tcBorders>
              <w:top w:val="single" w:color="B8D8C4" w:sz="1"/>
              <w:left w:val="single" w:color="B8D8C4" w:sz="1"/>
              <w:bottom w:val="single" w:color="B8D8C4" w:sz="1"/>
              <w:right w:val="single" w:color="B8D8C4" w:sz="1"/>
            </w:tcBorders>
            <w:shd w:fill="FFFFFF" w:val="clear"/>
            <w:tcMar>
              <w:top w:type="dxa" w:w="70"/>
              <w:left w:type="dxa" w:w="120"/>
              <w:bottom w:type="dxa" w:w="70"/>
              <w:right w:type="dxa" w:w="80"/>
            </w:tcMar>
          </w:tcPr>
          <w:p>
            <w:r>
              <w:rPr>
                <w:rFonts w:ascii="Arial" w:cs="Arial" w:eastAsia="Arial" w:hAnsi="Arial"/>
                <w:color w:val="1A1A2E"/>
                <w:sz w:val="18"/>
                <w:szCs w:val="18"/>
              </w:rPr>
              <w:t xml:space="preserve">Legacy System Integration</w:t>
            </w:r>
          </w:p>
        </w:tc>
        <w:tc>
          <w:tcPr>
            <w:tcW w:type="dxa" w:w="3440"/>
            <w:tcBorders>
              <w:top w:val="single" w:color="B8D8C4" w:sz="1"/>
              <w:left w:val="single" w:color="B8D8C4" w:sz="1"/>
              <w:bottom w:val="single" w:color="B8D8C4" w:sz="1"/>
              <w:right w:val="single" w:color="B8D8C4" w:sz="1"/>
            </w:tcBorders>
            <w:shd w:fill="FFFFFF" w:val="clear"/>
            <w:tcMar>
              <w:top w:type="dxa" w:w="70"/>
              <w:left w:type="dxa" w:w="120"/>
              <w:bottom w:type="dxa" w:w="70"/>
              <w:right w:type="dxa" w:w="80"/>
            </w:tcMar>
          </w:tcPr>
          <w:p>
            <w:r>
              <w:rPr>
                <w:rFonts w:ascii="Arial" w:cs="Arial" w:eastAsia="Arial" w:hAnsi="Arial"/>
                <w:color w:val="1A1A2E"/>
                <w:sz w:val="18"/>
                <w:szCs w:val="18"/>
              </w:rPr>
              <w:t xml:space="preserve">CFG's core banking, SWIFT connectivity, and payment infrastructure must interface with new DLT rails — requiring significant integration work</w:t>
            </w:r>
          </w:p>
        </w:tc>
        <w:tc>
          <w:tcPr>
            <w:tcW w:type="dxa" w:w="2560"/>
            <w:tcBorders>
              <w:top w:val="single" w:color="B8D8C4" w:sz="1"/>
              <w:left w:val="single" w:color="B8D8C4" w:sz="1"/>
              <w:bottom w:val="single" w:color="B8D8C4" w:sz="1"/>
              <w:right w:val="single" w:color="B8D8C4" w:sz="1"/>
            </w:tcBorders>
            <w:shd w:fill="FFFFFF" w:val="clear"/>
            <w:tcMar>
              <w:top w:type="dxa" w:w="70"/>
              <w:left w:type="dxa" w:w="120"/>
              <w:bottom w:type="dxa" w:w="70"/>
              <w:right w:type="dxa" w:w="80"/>
            </w:tcMar>
          </w:tcPr>
          <w:p>
            <w:r>
              <w:rPr>
                <w:rFonts w:ascii="Arial" w:cs="Arial" w:eastAsia="Arial" w:hAnsi="Arial"/>
                <w:color w:val="1A1A2E"/>
                <w:sz w:val="18"/>
                <w:szCs w:val="18"/>
              </w:rPr>
              <w:t xml:space="preserve">High — significant IT investment and integration risk</w:t>
            </w:r>
          </w:p>
        </w:tc>
        <w:tc>
          <w:tcPr>
            <w:tcW w:type="dxa" w:w="1320"/>
            <w:tcBorders>
              <w:top w:val="single" w:color="B8D8C4" w:sz="1"/>
              <w:left w:val="single" w:color="B8D8C4" w:sz="1"/>
              <w:bottom w:val="single" w:color="B8D8C4" w:sz="1"/>
              <w:right w:val="single" w:color="B8D8C4" w:sz="1"/>
            </w:tcBorders>
            <w:shd w:fill="FFFFFF" w:val="clear"/>
            <w:tcMar>
              <w:top w:type="dxa" w:w="70"/>
              <w:left w:type="dxa" w:w="120"/>
              <w:bottom w:type="dxa" w:w="70"/>
              <w:right w:type="dxa" w:w="80"/>
            </w:tcMar>
          </w:tcPr>
          <w:p>
            <w:r>
              <w:rPr>
                <w:rFonts w:ascii="Arial" w:cs="Arial" w:eastAsia="Arial" w:hAnsi="Arial"/>
                <w:color w:val="1A1A2E"/>
                <w:sz w:val="18"/>
                <w:szCs w:val="18"/>
              </w:rPr>
              <w:t xml:space="preserve">High</w:t>
            </w:r>
          </w:p>
        </w:tc>
      </w:tr>
      <w:tr>
        <w:tc>
          <w:tcPr>
            <w:tcW w:type="dxa" w:w="2400"/>
            <w:tcBorders>
              <w:top w:val="single" w:color="B8D8C4" w:sz="1"/>
              <w:left w:val="single" w:color="B8D8C4" w:sz="1"/>
              <w:bottom w:val="single" w:color="B8D8C4" w:sz="1"/>
              <w:right w:val="single" w:color="B8D8C4" w:sz="1"/>
            </w:tcBorders>
            <w:shd w:fill="EDF7F1" w:val="clear"/>
            <w:tcMar>
              <w:top w:type="dxa" w:w="70"/>
              <w:left w:type="dxa" w:w="120"/>
              <w:bottom w:type="dxa" w:w="70"/>
              <w:right w:type="dxa" w:w="80"/>
            </w:tcMar>
          </w:tcPr>
          <w:p>
            <w:r>
              <w:rPr>
                <w:rFonts w:ascii="Arial" w:cs="Arial" w:eastAsia="Arial" w:hAnsi="Arial"/>
                <w:color w:val="1A1A2E"/>
                <w:sz w:val="18"/>
                <w:szCs w:val="18"/>
              </w:rPr>
              <w:t xml:space="preserve">Regulatory Uncertainty</w:t>
            </w:r>
          </w:p>
        </w:tc>
        <w:tc>
          <w:tcPr>
            <w:tcW w:type="dxa" w:w="3440"/>
            <w:tcBorders>
              <w:top w:val="single" w:color="B8D8C4" w:sz="1"/>
              <w:left w:val="single" w:color="B8D8C4" w:sz="1"/>
              <w:bottom w:val="single" w:color="B8D8C4" w:sz="1"/>
              <w:right w:val="single" w:color="B8D8C4" w:sz="1"/>
            </w:tcBorders>
            <w:shd w:fill="EDF7F1" w:val="clear"/>
            <w:tcMar>
              <w:top w:type="dxa" w:w="70"/>
              <w:left w:type="dxa" w:w="120"/>
              <w:bottom w:type="dxa" w:w="70"/>
              <w:right w:type="dxa" w:w="80"/>
            </w:tcMar>
          </w:tcPr>
          <w:p>
            <w:r>
              <w:rPr>
                <w:rFonts w:ascii="Arial" w:cs="Arial" w:eastAsia="Arial" w:hAnsi="Arial"/>
                <w:color w:val="1A1A2E"/>
                <w:sz w:val="18"/>
                <w:szCs w:val="18"/>
              </w:rPr>
              <w:t xml:space="preserve">Cross-border payments span multiple jurisdictions with unclear or hostile crypto regulations — creating legal exposure in certain corridors</w:t>
            </w:r>
          </w:p>
        </w:tc>
        <w:tc>
          <w:tcPr>
            <w:tcW w:type="dxa" w:w="2560"/>
            <w:tcBorders>
              <w:top w:val="single" w:color="B8D8C4" w:sz="1"/>
              <w:left w:val="single" w:color="B8D8C4" w:sz="1"/>
              <w:bottom w:val="single" w:color="B8D8C4" w:sz="1"/>
              <w:right w:val="single" w:color="B8D8C4" w:sz="1"/>
            </w:tcBorders>
            <w:shd w:fill="EDF7F1" w:val="clear"/>
            <w:tcMar>
              <w:top w:type="dxa" w:w="70"/>
              <w:left w:type="dxa" w:w="120"/>
              <w:bottom w:type="dxa" w:w="70"/>
              <w:right w:type="dxa" w:w="80"/>
            </w:tcMar>
          </w:tcPr>
          <w:p>
            <w:r>
              <w:rPr>
                <w:rFonts w:ascii="Arial" w:cs="Arial" w:eastAsia="Arial" w:hAnsi="Arial"/>
                <w:color w:val="1A1A2E"/>
                <w:sz w:val="18"/>
                <w:szCs w:val="18"/>
              </w:rPr>
              <w:t xml:space="preserve">High — limits which corridors CFG can activate on DLT rails</w:t>
            </w:r>
          </w:p>
        </w:tc>
        <w:tc>
          <w:tcPr>
            <w:tcW w:type="dxa" w:w="1320"/>
            <w:tcBorders>
              <w:top w:val="single" w:color="B8D8C4" w:sz="1"/>
              <w:left w:val="single" w:color="B8D8C4" w:sz="1"/>
              <w:bottom w:val="single" w:color="B8D8C4" w:sz="1"/>
              <w:right w:val="single" w:color="B8D8C4" w:sz="1"/>
            </w:tcBorders>
            <w:shd w:fill="EDF7F1" w:val="clear"/>
            <w:tcMar>
              <w:top w:type="dxa" w:w="70"/>
              <w:left w:type="dxa" w:w="120"/>
              <w:bottom w:type="dxa" w:w="70"/>
              <w:right w:type="dxa" w:w="80"/>
            </w:tcMar>
          </w:tcPr>
          <w:p>
            <w:r>
              <w:rPr>
                <w:rFonts w:ascii="Arial" w:cs="Arial" w:eastAsia="Arial" w:hAnsi="Arial"/>
                <w:color w:val="1A1A2E"/>
                <w:sz w:val="18"/>
                <w:szCs w:val="18"/>
              </w:rPr>
              <w:t xml:space="preserve">High</w:t>
            </w:r>
          </w:p>
        </w:tc>
      </w:tr>
      <w:tr>
        <w:tc>
          <w:tcPr>
            <w:tcW w:type="dxa" w:w="2400"/>
            <w:tcBorders>
              <w:top w:val="single" w:color="B8D8C4" w:sz="1"/>
              <w:left w:val="single" w:color="B8D8C4" w:sz="1"/>
              <w:bottom w:val="single" w:color="B8D8C4" w:sz="1"/>
              <w:right w:val="single" w:color="B8D8C4" w:sz="1"/>
            </w:tcBorders>
            <w:shd w:fill="FFFFFF" w:val="clear"/>
            <w:tcMar>
              <w:top w:type="dxa" w:w="70"/>
              <w:left w:type="dxa" w:w="120"/>
              <w:bottom w:type="dxa" w:w="70"/>
              <w:right w:type="dxa" w:w="80"/>
            </w:tcMar>
          </w:tcPr>
          <w:p>
            <w:r>
              <w:rPr>
                <w:rFonts w:ascii="Arial" w:cs="Arial" w:eastAsia="Arial" w:hAnsi="Arial"/>
                <w:color w:val="1A1A2E"/>
                <w:sz w:val="18"/>
                <w:szCs w:val="18"/>
              </w:rPr>
              <w:t xml:space="preserve">Scalability</w:t>
            </w:r>
          </w:p>
        </w:tc>
        <w:tc>
          <w:tcPr>
            <w:tcW w:type="dxa" w:w="3440"/>
            <w:tcBorders>
              <w:top w:val="single" w:color="B8D8C4" w:sz="1"/>
              <w:left w:val="single" w:color="B8D8C4" w:sz="1"/>
              <w:bottom w:val="single" w:color="B8D8C4" w:sz="1"/>
              <w:right w:val="single" w:color="B8D8C4" w:sz="1"/>
            </w:tcBorders>
            <w:shd w:fill="FFFFFF" w:val="clear"/>
            <w:tcMar>
              <w:top w:type="dxa" w:w="70"/>
              <w:left w:type="dxa" w:w="120"/>
              <w:bottom w:type="dxa" w:w="70"/>
              <w:right w:type="dxa" w:w="80"/>
            </w:tcMar>
          </w:tcPr>
          <w:p>
            <w:r>
              <w:rPr>
                <w:rFonts w:ascii="Arial" w:cs="Arial" w:eastAsia="Arial" w:hAnsi="Arial"/>
                <w:color w:val="1A1A2E"/>
                <w:sz w:val="18"/>
                <w:szCs w:val="18"/>
              </w:rPr>
              <w:t xml:space="preserve">Many blockchain networks have throughput limitations. Payment volumes must be benchmarked against the chosen network's TPS capacity</w:t>
            </w:r>
          </w:p>
        </w:tc>
        <w:tc>
          <w:tcPr>
            <w:tcW w:type="dxa" w:w="2560"/>
            <w:tcBorders>
              <w:top w:val="single" w:color="B8D8C4" w:sz="1"/>
              <w:left w:val="single" w:color="B8D8C4" w:sz="1"/>
              <w:bottom w:val="single" w:color="B8D8C4" w:sz="1"/>
              <w:right w:val="single" w:color="B8D8C4" w:sz="1"/>
            </w:tcBorders>
            <w:shd w:fill="FFFFFF" w:val="clear"/>
            <w:tcMar>
              <w:top w:type="dxa" w:w="70"/>
              <w:left w:type="dxa" w:w="120"/>
              <w:bottom w:type="dxa" w:w="70"/>
              <w:right w:type="dxa" w:w="80"/>
            </w:tcMar>
          </w:tcPr>
          <w:p>
            <w:r>
              <w:rPr>
                <w:rFonts w:ascii="Arial" w:cs="Arial" w:eastAsia="Arial" w:hAnsi="Arial"/>
                <w:color w:val="1A1A2E"/>
                <w:sz w:val="18"/>
                <w:szCs w:val="18"/>
              </w:rPr>
              <w:t xml:space="preserve">Medium — permissioned networks largely address this</w:t>
            </w:r>
          </w:p>
        </w:tc>
        <w:tc>
          <w:tcPr>
            <w:tcW w:type="dxa" w:w="1320"/>
            <w:tcBorders>
              <w:top w:val="single" w:color="B8D8C4" w:sz="1"/>
              <w:left w:val="single" w:color="B8D8C4" w:sz="1"/>
              <w:bottom w:val="single" w:color="B8D8C4" w:sz="1"/>
              <w:right w:val="single" w:color="B8D8C4" w:sz="1"/>
            </w:tcBorders>
            <w:shd w:fill="FFFFFF" w:val="clear"/>
            <w:tcMar>
              <w:top w:type="dxa" w:w="70"/>
              <w:left w:type="dxa" w:w="120"/>
              <w:bottom w:type="dxa" w:w="70"/>
              <w:right w:type="dxa" w:w="80"/>
            </w:tcMar>
          </w:tcPr>
          <w:p>
            <w:r>
              <w:rPr>
                <w:rFonts w:ascii="Arial" w:cs="Arial" w:eastAsia="Arial" w:hAnsi="Arial"/>
                <w:color w:val="1A1A2E"/>
                <w:sz w:val="18"/>
                <w:szCs w:val="18"/>
              </w:rPr>
              <w:t xml:space="preserve">Medium</w:t>
            </w:r>
          </w:p>
        </w:tc>
      </w:tr>
      <w:tr>
        <w:tc>
          <w:tcPr>
            <w:tcW w:type="dxa" w:w="2400"/>
            <w:tcBorders>
              <w:top w:val="single" w:color="B8D8C4" w:sz="1"/>
              <w:left w:val="single" w:color="B8D8C4" w:sz="1"/>
              <w:bottom w:val="single" w:color="B8D8C4" w:sz="1"/>
              <w:right w:val="single" w:color="B8D8C4" w:sz="1"/>
            </w:tcBorders>
            <w:shd w:fill="EDF7F1" w:val="clear"/>
            <w:tcMar>
              <w:top w:type="dxa" w:w="70"/>
              <w:left w:type="dxa" w:w="120"/>
              <w:bottom w:type="dxa" w:w="70"/>
              <w:right w:type="dxa" w:w="80"/>
            </w:tcMar>
          </w:tcPr>
          <w:p>
            <w:r>
              <w:rPr>
                <w:rFonts w:ascii="Arial" w:cs="Arial" w:eastAsia="Arial" w:hAnsi="Arial"/>
                <w:color w:val="1A1A2E"/>
                <w:sz w:val="18"/>
                <w:szCs w:val="18"/>
              </w:rPr>
              <w:t xml:space="preserve">Governance</w:t>
            </w:r>
          </w:p>
        </w:tc>
        <w:tc>
          <w:tcPr>
            <w:tcW w:type="dxa" w:w="3440"/>
            <w:tcBorders>
              <w:top w:val="single" w:color="B8D8C4" w:sz="1"/>
              <w:left w:val="single" w:color="B8D8C4" w:sz="1"/>
              <w:bottom w:val="single" w:color="B8D8C4" w:sz="1"/>
              <w:right w:val="single" w:color="B8D8C4" w:sz="1"/>
            </w:tcBorders>
            <w:shd w:fill="EDF7F1" w:val="clear"/>
            <w:tcMar>
              <w:top w:type="dxa" w:w="70"/>
              <w:left w:type="dxa" w:w="120"/>
              <w:bottom w:type="dxa" w:w="70"/>
              <w:right w:type="dxa" w:w="80"/>
            </w:tcMar>
          </w:tcPr>
          <w:p>
            <w:r>
              <w:rPr>
                <w:rFonts w:ascii="Arial" w:cs="Arial" w:eastAsia="Arial" w:hAnsi="Arial"/>
                <w:color w:val="1A1A2E"/>
                <w:sz w:val="18"/>
                <w:szCs w:val="18"/>
              </w:rPr>
              <w:t xml:space="preserve">Who controls the permissioned network? How are protocol upgrades decided? How are disputes resolved?</w:t>
            </w:r>
          </w:p>
        </w:tc>
        <w:tc>
          <w:tcPr>
            <w:tcW w:type="dxa" w:w="2560"/>
            <w:tcBorders>
              <w:top w:val="single" w:color="B8D8C4" w:sz="1"/>
              <w:left w:val="single" w:color="B8D8C4" w:sz="1"/>
              <w:bottom w:val="single" w:color="B8D8C4" w:sz="1"/>
              <w:right w:val="single" w:color="B8D8C4" w:sz="1"/>
            </w:tcBorders>
            <w:shd w:fill="EDF7F1" w:val="clear"/>
            <w:tcMar>
              <w:top w:type="dxa" w:w="70"/>
              <w:left w:type="dxa" w:w="120"/>
              <w:bottom w:type="dxa" w:w="70"/>
              <w:right w:type="dxa" w:w="80"/>
            </w:tcMar>
          </w:tcPr>
          <w:p>
            <w:r>
              <w:rPr>
                <w:rFonts w:ascii="Arial" w:cs="Arial" w:eastAsia="Arial" w:hAnsi="Arial"/>
                <w:color w:val="1A1A2E"/>
                <w:sz w:val="18"/>
                <w:szCs w:val="18"/>
              </w:rPr>
              <w:t xml:space="preserve">High — formal governance agreements required before launch</w:t>
            </w:r>
          </w:p>
        </w:tc>
        <w:tc>
          <w:tcPr>
            <w:tcW w:type="dxa" w:w="1320"/>
            <w:tcBorders>
              <w:top w:val="single" w:color="B8D8C4" w:sz="1"/>
              <w:left w:val="single" w:color="B8D8C4" w:sz="1"/>
              <w:bottom w:val="single" w:color="B8D8C4" w:sz="1"/>
              <w:right w:val="single" w:color="B8D8C4" w:sz="1"/>
            </w:tcBorders>
            <w:shd w:fill="EDF7F1" w:val="clear"/>
            <w:tcMar>
              <w:top w:type="dxa" w:w="70"/>
              <w:left w:type="dxa" w:w="120"/>
              <w:bottom w:type="dxa" w:w="70"/>
              <w:right w:type="dxa" w:w="80"/>
            </w:tcMar>
          </w:tcPr>
          <w:p>
            <w:r>
              <w:rPr>
                <w:rFonts w:ascii="Arial" w:cs="Arial" w:eastAsia="Arial" w:hAnsi="Arial"/>
                <w:color w:val="1A1A2E"/>
                <w:sz w:val="18"/>
                <w:szCs w:val="18"/>
              </w:rPr>
              <w:t xml:space="preserve">High</w:t>
            </w:r>
          </w:p>
        </w:tc>
      </w:tr>
      <w:tr>
        <w:tc>
          <w:tcPr>
            <w:tcW w:type="dxa" w:w="2400"/>
            <w:tcBorders>
              <w:top w:val="single" w:color="B8D8C4" w:sz="1"/>
              <w:left w:val="single" w:color="B8D8C4" w:sz="1"/>
              <w:bottom w:val="single" w:color="B8D8C4" w:sz="1"/>
              <w:right w:val="single" w:color="B8D8C4" w:sz="1"/>
            </w:tcBorders>
            <w:shd w:fill="FFFFFF" w:val="clear"/>
            <w:tcMar>
              <w:top w:type="dxa" w:w="70"/>
              <w:left w:type="dxa" w:w="120"/>
              <w:bottom w:type="dxa" w:w="70"/>
              <w:right w:type="dxa" w:w="80"/>
            </w:tcMar>
          </w:tcPr>
          <w:p>
            <w:r>
              <w:rPr>
                <w:rFonts w:ascii="Arial" w:cs="Arial" w:eastAsia="Arial" w:hAnsi="Arial"/>
                <w:color w:val="1A1A2E"/>
                <w:sz w:val="18"/>
                <w:szCs w:val="18"/>
              </w:rPr>
              <w:t xml:space="preserve">Talent Shortage</w:t>
            </w:r>
          </w:p>
        </w:tc>
        <w:tc>
          <w:tcPr>
            <w:tcW w:type="dxa" w:w="3440"/>
            <w:tcBorders>
              <w:top w:val="single" w:color="B8D8C4" w:sz="1"/>
              <w:left w:val="single" w:color="B8D8C4" w:sz="1"/>
              <w:bottom w:val="single" w:color="B8D8C4" w:sz="1"/>
              <w:right w:val="single" w:color="B8D8C4" w:sz="1"/>
            </w:tcBorders>
            <w:shd w:fill="FFFFFF" w:val="clear"/>
            <w:tcMar>
              <w:top w:type="dxa" w:w="70"/>
              <w:left w:type="dxa" w:w="120"/>
              <w:bottom w:type="dxa" w:w="70"/>
              <w:right w:type="dxa" w:w="80"/>
            </w:tcMar>
          </w:tcPr>
          <w:p>
            <w:r>
              <w:rPr>
                <w:rFonts w:ascii="Arial" w:cs="Arial" w:eastAsia="Arial" w:hAnsi="Arial"/>
                <w:color w:val="1A1A2E"/>
                <w:sz w:val="18"/>
                <w:szCs w:val="18"/>
              </w:rPr>
              <w:t xml:space="preserve">Blockchain developers, smart contract auditors, and DLT architects are scarce and expensive in Singapore's tech talent market</w:t>
            </w:r>
          </w:p>
        </w:tc>
        <w:tc>
          <w:tcPr>
            <w:tcW w:type="dxa" w:w="2560"/>
            <w:tcBorders>
              <w:top w:val="single" w:color="B8D8C4" w:sz="1"/>
              <w:left w:val="single" w:color="B8D8C4" w:sz="1"/>
              <w:bottom w:val="single" w:color="B8D8C4" w:sz="1"/>
              <w:right w:val="single" w:color="B8D8C4" w:sz="1"/>
            </w:tcBorders>
            <w:shd w:fill="FFFFFF" w:val="clear"/>
            <w:tcMar>
              <w:top w:type="dxa" w:w="70"/>
              <w:left w:type="dxa" w:w="120"/>
              <w:bottom w:type="dxa" w:w="70"/>
              <w:right w:type="dxa" w:w="80"/>
            </w:tcMar>
          </w:tcPr>
          <w:p>
            <w:r>
              <w:rPr>
                <w:rFonts w:ascii="Arial" w:cs="Arial" w:eastAsia="Arial" w:hAnsi="Arial"/>
                <w:color w:val="1A1A2E"/>
                <w:sz w:val="18"/>
                <w:szCs w:val="18"/>
              </w:rPr>
              <w:t xml:space="preserve">Medium — consider partnering with specialist vendors</w:t>
            </w:r>
          </w:p>
        </w:tc>
        <w:tc>
          <w:tcPr>
            <w:tcW w:type="dxa" w:w="1320"/>
            <w:tcBorders>
              <w:top w:val="single" w:color="B8D8C4" w:sz="1"/>
              <w:left w:val="single" w:color="B8D8C4" w:sz="1"/>
              <w:bottom w:val="single" w:color="B8D8C4" w:sz="1"/>
              <w:right w:val="single" w:color="B8D8C4" w:sz="1"/>
            </w:tcBorders>
            <w:shd w:fill="FFFFFF" w:val="clear"/>
            <w:tcMar>
              <w:top w:type="dxa" w:w="70"/>
              <w:left w:type="dxa" w:w="120"/>
              <w:bottom w:type="dxa" w:w="70"/>
              <w:right w:type="dxa" w:w="80"/>
            </w:tcMar>
          </w:tcPr>
          <w:p>
            <w:r>
              <w:rPr>
                <w:rFonts w:ascii="Arial" w:cs="Arial" w:eastAsia="Arial" w:hAnsi="Arial"/>
                <w:color w:val="1A1A2E"/>
                <w:sz w:val="18"/>
                <w:szCs w:val="18"/>
              </w:rPr>
              <w:t xml:space="preserve">Medium</w:t>
            </w:r>
          </w:p>
        </w:tc>
      </w:tr>
      <w:tr>
        <w:tc>
          <w:tcPr>
            <w:tcW w:type="dxa" w:w="2400"/>
            <w:tcBorders>
              <w:top w:val="single" w:color="B8D8C4" w:sz="1"/>
              <w:left w:val="single" w:color="B8D8C4" w:sz="1"/>
              <w:bottom w:val="single" w:color="B8D8C4" w:sz="1"/>
              <w:right w:val="single" w:color="B8D8C4" w:sz="1"/>
            </w:tcBorders>
            <w:shd w:fill="EDF7F1" w:val="clear"/>
            <w:tcMar>
              <w:top w:type="dxa" w:w="70"/>
              <w:left w:type="dxa" w:w="120"/>
              <w:bottom w:type="dxa" w:w="70"/>
              <w:right w:type="dxa" w:w="80"/>
            </w:tcMar>
          </w:tcPr>
          <w:p>
            <w:r>
              <w:rPr>
                <w:rFonts w:ascii="Arial" w:cs="Arial" w:eastAsia="Arial" w:hAnsi="Arial"/>
                <w:color w:val="1A1A2E"/>
                <w:sz w:val="18"/>
                <w:szCs w:val="18"/>
              </w:rPr>
              <w:t xml:space="preserve">Interoperability</w:t>
            </w:r>
          </w:p>
        </w:tc>
        <w:tc>
          <w:tcPr>
            <w:tcW w:type="dxa" w:w="3440"/>
            <w:tcBorders>
              <w:top w:val="single" w:color="B8D8C4" w:sz="1"/>
              <w:left w:val="single" w:color="B8D8C4" w:sz="1"/>
              <w:bottom w:val="single" w:color="B8D8C4" w:sz="1"/>
              <w:right w:val="single" w:color="B8D8C4" w:sz="1"/>
            </w:tcBorders>
            <w:shd w:fill="EDF7F1" w:val="clear"/>
            <w:tcMar>
              <w:top w:type="dxa" w:w="70"/>
              <w:left w:type="dxa" w:w="120"/>
              <w:bottom w:type="dxa" w:w="70"/>
              <w:right w:type="dxa" w:w="80"/>
            </w:tcMar>
          </w:tcPr>
          <w:p>
            <w:r>
              <w:rPr>
                <w:rFonts w:ascii="Arial" w:cs="Arial" w:eastAsia="Arial" w:hAnsi="Arial"/>
                <w:color w:val="1A1A2E"/>
                <w:sz w:val="18"/>
                <w:szCs w:val="18"/>
              </w:rPr>
              <w:t xml:space="preserve">DLT network must interface with SWIFT-based correspondents and multiple DLT networks used by counterparties</w:t>
            </w:r>
          </w:p>
        </w:tc>
        <w:tc>
          <w:tcPr>
            <w:tcW w:type="dxa" w:w="2560"/>
            <w:tcBorders>
              <w:top w:val="single" w:color="B8D8C4" w:sz="1"/>
              <w:left w:val="single" w:color="B8D8C4" w:sz="1"/>
              <w:bottom w:val="single" w:color="B8D8C4" w:sz="1"/>
              <w:right w:val="single" w:color="B8D8C4" w:sz="1"/>
            </w:tcBorders>
            <w:shd w:fill="EDF7F1" w:val="clear"/>
            <w:tcMar>
              <w:top w:type="dxa" w:w="70"/>
              <w:left w:type="dxa" w:w="120"/>
              <w:bottom w:type="dxa" w:w="70"/>
              <w:right w:type="dxa" w:w="80"/>
            </w:tcMar>
          </w:tcPr>
          <w:p>
            <w:r>
              <w:rPr>
                <w:rFonts w:ascii="Arial" w:cs="Arial" w:eastAsia="Arial" w:hAnsi="Arial"/>
                <w:color w:val="1A1A2E"/>
                <w:sz w:val="18"/>
                <w:szCs w:val="18"/>
              </w:rPr>
              <w:t xml:space="preserve">High — ISO 20022 alignment and ILP adoption critical</w:t>
            </w:r>
          </w:p>
        </w:tc>
        <w:tc>
          <w:tcPr>
            <w:tcW w:type="dxa" w:w="1320"/>
            <w:tcBorders>
              <w:top w:val="single" w:color="B8D8C4" w:sz="1"/>
              <w:left w:val="single" w:color="B8D8C4" w:sz="1"/>
              <w:bottom w:val="single" w:color="B8D8C4" w:sz="1"/>
              <w:right w:val="single" w:color="B8D8C4" w:sz="1"/>
            </w:tcBorders>
            <w:shd w:fill="EDF7F1" w:val="clear"/>
            <w:tcMar>
              <w:top w:type="dxa" w:w="70"/>
              <w:left w:type="dxa" w:w="120"/>
              <w:bottom w:type="dxa" w:w="70"/>
              <w:right w:type="dxa" w:w="80"/>
            </w:tcMar>
          </w:tcPr>
          <w:p>
            <w:r>
              <w:rPr>
                <w:rFonts w:ascii="Arial" w:cs="Arial" w:eastAsia="Arial" w:hAnsi="Arial"/>
                <w:color w:val="1A1A2E"/>
                <w:sz w:val="18"/>
                <w:szCs w:val="18"/>
              </w:rPr>
              <w:t xml:space="preserve">High</w:t>
            </w:r>
          </w:p>
        </w:tc>
      </w:tr>
      <w:tr>
        <w:tc>
          <w:tcPr>
            <w:tcW w:type="dxa" w:w="2400"/>
            <w:tcBorders>
              <w:top w:val="single" w:color="B8D8C4" w:sz="1"/>
              <w:left w:val="single" w:color="B8D8C4" w:sz="1"/>
              <w:bottom w:val="single" w:color="B8D8C4" w:sz="1"/>
              <w:right w:val="single" w:color="B8D8C4" w:sz="1"/>
            </w:tcBorders>
            <w:shd w:fill="FFFFFF" w:val="clear"/>
            <w:tcMar>
              <w:top w:type="dxa" w:w="70"/>
              <w:left w:type="dxa" w:w="120"/>
              <w:bottom w:type="dxa" w:w="70"/>
              <w:right w:type="dxa" w:w="80"/>
            </w:tcMar>
          </w:tcPr>
          <w:p>
            <w:r>
              <w:rPr>
                <w:rFonts w:ascii="Arial" w:cs="Arial" w:eastAsia="Arial" w:hAnsi="Arial"/>
                <w:color w:val="1A1A2E"/>
                <w:sz w:val="18"/>
                <w:szCs w:val="18"/>
              </w:rPr>
              <w:t xml:space="preserve">Data Privacy Conflicts</w:t>
            </w:r>
          </w:p>
        </w:tc>
        <w:tc>
          <w:tcPr>
            <w:tcW w:type="dxa" w:w="3440"/>
            <w:tcBorders>
              <w:top w:val="single" w:color="B8D8C4" w:sz="1"/>
              <w:left w:val="single" w:color="B8D8C4" w:sz="1"/>
              <w:bottom w:val="single" w:color="B8D8C4" w:sz="1"/>
              <w:right w:val="single" w:color="B8D8C4" w:sz="1"/>
            </w:tcBorders>
            <w:shd w:fill="FFFFFF" w:val="clear"/>
            <w:tcMar>
              <w:top w:type="dxa" w:w="70"/>
              <w:left w:type="dxa" w:w="120"/>
              <w:bottom w:type="dxa" w:w="70"/>
              <w:right w:type="dxa" w:w="80"/>
            </w:tcMar>
          </w:tcPr>
          <w:p>
            <w:r>
              <w:rPr>
                <w:rFonts w:ascii="Arial" w:cs="Arial" w:eastAsia="Arial" w:hAnsi="Arial"/>
                <w:color w:val="1A1A2E"/>
                <w:sz w:val="18"/>
                <w:szCs w:val="18"/>
              </w:rPr>
              <w:t xml:space="preserve">PDPA and GDPR obligations conflict with blockchain's transparency and immutability — particularly for personal data of remittance senders/receivers</w:t>
            </w:r>
          </w:p>
        </w:tc>
        <w:tc>
          <w:tcPr>
            <w:tcW w:type="dxa" w:w="2560"/>
            <w:tcBorders>
              <w:top w:val="single" w:color="B8D8C4" w:sz="1"/>
              <w:left w:val="single" w:color="B8D8C4" w:sz="1"/>
              <w:bottom w:val="single" w:color="B8D8C4" w:sz="1"/>
              <w:right w:val="single" w:color="B8D8C4" w:sz="1"/>
            </w:tcBorders>
            <w:shd w:fill="FFFFFF" w:val="clear"/>
            <w:tcMar>
              <w:top w:type="dxa" w:w="70"/>
              <w:left w:type="dxa" w:w="120"/>
              <w:bottom w:type="dxa" w:w="70"/>
              <w:right w:type="dxa" w:w="80"/>
            </w:tcMar>
          </w:tcPr>
          <w:p>
            <w:r>
              <w:rPr>
                <w:rFonts w:ascii="Arial" w:cs="Arial" w:eastAsia="Arial" w:hAnsi="Arial"/>
                <w:color w:val="1A1A2E"/>
                <w:sz w:val="18"/>
                <w:szCs w:val="18"/>
              </w:rPr>
              <w:t xml:space="preserve">High — requires careful on-chain/off-chain architecture</w:t>
            </w:r>
          </w:p>
        </w:tc>
        <w:tc>
          <w:tcPr>
            <w:tcW w:type="dxa" w:w="1320"/>
            <w:tcBorders>
              <w:top w:val="single" w:color="B8D8C4" w:sz="1"/>
              <w:left w:val="single" w:color="B8D8C4" w:sz="1"/>
              <w:bottom w:val="single" w:color="B8D8C4" w:sz="1"/>
              <w:right w:val="single" w:color="B8D8C4" w:sz="1"/>
            </w:tcBorders>
            <w:shd w:fill="FFFFFF" w:val="clear"/>
            <w:tcMar>
              <w:top w:type="dxa" w:w="70"/>
              <w:left w:type="dxa" w:w="120"/>
              <w:bottom w:type="dxa" w:w="70"/>
              <w:right w:type="dxa" w:w="80"/>
            </w:tcMar>
          </w:tcPr>
          <w:p>
            <w:r>
              <w:rPr>
                <w:rFonts w:ascii="Arial" w:cs="Arial" w:eastAsia="Arial" w:hAnsi="Arial"/>
                <w:color w:val="1A1A2E"/>
                <w:sz w:val="18"/>
                <w:szCs w:val="18"/>
              </w:rPr>
              <w:t xml:space="preserve">High</w:t>
            </w:r>
          </w:p>
        </w:tc>
      </w:tr>
      <w:tr>
        <w:tc>
          <w:tcPr>
            <w:tcW w:type="dxa" w:w="2400"/>
            <w:tcBorders>
              <w:top w:val="single" w:color="B8D8C4" w:sz="1"/>
              <w:left w:val="single" w:color="B8D8C4" w:sz="1"/>
              <w:bottom w:val="single" w:color="B8D8C4" w:sz="1"/>
              <w:right w:val="single" w:color="B8D8C4" w:sz="1"/>
            </w:tcBorders>
            <w:shd w:fill="EDF7F1" w:val="clear"/>
            <w:tcMar>
              <w:top w:type="dxa" w:w="70"/>
              <w:left w:type="dxa" w:w="120"/>
              <w:bottom w:type="dxa" w:w="70"/>
              <w:right w:type="dxa" w:w="80"/>
            </w:tcMar>
          </w:tcPr>
          <w:p>
            <w:r>
              <w:rPr>
                <w:rFonts w:ascii="Arial" w:cs="Arial" w:eastAsia="Arial" w:hAnsi="Arial"/>
                <w:color w:val="1A1A2E"/>
                <w:sz w:val="18"/>
                <w:szCs w:val="18"/>
              </w:rPr>
              <w:t xml:space="preserve">Operational Complexity</w:t>
            </w:r>
          </w:p>
        </w:tc>
        <w:tc>
          <w:tcPr>
            <w:tcW w:type="dxa" w:w="3440"/>
            <w:tcBorders>
              <w:top w:val="single" w:color="B8D8C4" w:sz="1"/>
              <w:left w:val="single" w:color="B8D8C4" w:sz="1"/>
              <w:bottom w:val="single" w:color="B8D8C4" w:sz="1"/>
              <w:right w:val="single" w:color="B8D8C4" w:sz="1"/>
            </w:tcBorders>
            <w:shd w:fill="EDF7F1" w:val="clear"/>
            <w:tcMar>
              <w:top w:type="dxa" w:w="70"/>
              <w:left w:type="dxa" w:w="120"/>
              <w:bottom w:type="dxa" w:w="70"/>
              <w:right w:type="dxa" w:w="80"/>
            </w:tcMar>
          </w:tcPr>
          <w:p>
            <w:r>
              <w:rPr>
                <w:rFonts w:ascii="Arial" w:cs="Arial" w:eastAsia="Arial" w:hAnsi="Arial"/>
                <w:color w:val="1A1A2E"/>
                <w:sz w:val="18"/>
                <w:szCs w:val="18"/>
              </w:rPr>
              <w:t xml:space="preserve">Managing nodes, cryptographic keys, network upgrades, and smart contract lifecycle adds significant operational burden</w:t>
            </w:r>
          </w:p>
        </w:tc>
        <w:tc>
          <w:tcPr>
            <w:tcW w:type="dxa" w:w="2560"/>
            <w:tcBorders>
              <w:top w:val="single" w:color="B8D8C4" w:sz="1"/>
              <w:left w:val="single" w:color="B8D8C4" w:sz="1"/>
              <w:bottom w:val="single" w:color="B8D8C4" w:sz="1"/>
              <w:right w:val="single" w:color="B8D8C4" w:sz="1"/>
            </w:tcBorders>
            <w:shd w:fill="EDF7F1" w:val="clear"/>
            <w:tcMar>
              <w:top w:type="dxa" w:w="70"/>
              <w:left w:type="dxa" w:w="120"/>
              <w:bottom w:type="dxa" w:w="70"/>
              <w:right w:type="dxa" w:w="80"/>
            </w:tcMar>
          </w:tcPr>
          <w:p>
            <w:r>
              <w:rPr>
                <w:rFonts w:ascii="Arial" w:cs="Arial" w:eastAsia="Arial" w:hAnsi="Arial"/>
                <w:color w:val="1A1A2E"/>
                <w:sz w:val="18"/>
                <w:szCs w:val="18"/>
              </w:rPr>
              <w:t xml:space="preserve">Medium — requires new procedures and training</w:t>
            </w:r>
          </w:p>
        </w:tc>
        <w:tc>
          <w:tcPr>
            <w:tcW w:type="dxa" w:w="1320"/>
            <w:tcBorders>
              <w:top w:val="single" w:color="B8D8C4" w:sz="1"/>
              <w:left w:val="single" w:color="B8D8C4" w:sz="1"/>
              <w:bottom w:val="single" w:color="B8D8C4" w:sz="1"/>
              <w:right w:val="single" w:color="B8D8C4" w:sz="1"/>
            </w:tcBorders>
            <w:shd w:fill="EDF7F1" w:val="clear"/>
            <w:tcMar>
              <w:top w:type="dxa" w:w="70"/>
              <w:left w:type="dxa" w:w="120"/>
              <w:bottom w:type="dxa" w:w="70"/>
              <w:right w:type="dxa" w:w="80"/>
            </w:tcMar>
          </w:tcPr>
          <w:p>
            <w:r>
              <w:rPr>
                <w:rFonts w:ascii="Arial" w:cs="Arial" w:eastAsia="Arial" w:hAnsi="Arial"/>
                <w:color w:val="1A1A2E"/>
                <w:sz w:val="18"/>
                <w:szCs w:val="18"/>
              </w:rPr>
              <w:t xml:space="preserve">Medium</w:t>
            </w:r>
          </w:p>
        </w:tc>
      </w:tr>
    </w:tbl>
    <w:p>
      <w:pPr>
        <w:spacing w:after="12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B8D8C4" w:sz="1"/>
              <w:left w:val="single" w:color="D97706" w:sz="18"/>
              <w:bottom w:val="single" w:color="B8D8C4" w:sz="1"/>
              <w:right w:val="single" w:color="B8D8C4" w:sz="1"/>
            </w:tcBorders>
            <w:shd w:fill="FFFBEB" w:val="clear"/>
            <w:tcMar>
              <w:top w:type="dxa" w:w="120"/>
              <w:left w:type="dxa" w:w="200"/>
              <w:bottom w:type="dxa" w:w="120"/>
              <w:right w:type="dxa" w:w="200"/>
            </w:tcMar>
          </w:tcPr>
          <w:p>
            <w:pPr>
              <w:spacing w:after="60"/>
            </w:pPr>
            <w:r>
              <w:rPr>
                <w:rFonts w:ascii="Arial" w:cs="Arial" w:eastAsia="Arial" w:hAnsi="Arial"/>
                <w:b/>
                <w:bCs/>
                <w:color w:val="92400E"/>
                <w:sz w:val="19"/>
                <w:szCs w:val="19"/>
              </w:rPr>
              <w:t xml:space="preserve">⚠  CFO-Specific Risk</w:t>
            </w:r>
          </w:p>
          <w:p>
            <w:r>
              <w:rPr>
                <w:rFonts w:ascii="Arial" w:cs="Arial" w:eastAsia="Arial" w:hAnsi="Arial"/>
                <w:color w:val="78350F"/>
                <w:sz w:val="19"/>
                <w:szCs w:val="19"/>
              </w:rPr>
              <w:t xml:space="preserve">On public networks, volatile gas fees make cross-border payment costs unpredictable. CFG's DLT pilot should be designed on a permissioned network with fixed, agreed transaction costs governed by a formal network participation agreement — eliminating fee volatility entirely.</w:t>
            </w:r>
          </w:p>
        </w:tc>
      </w:tr>
    </w:tbl>
    <w:p>
      <w:pPr>
        <w:spacing w:after="200"/>
      </w:pPr>
    </w:p>
    <w:p>
      <w:r>
        <w:br w:type="pag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800"/>
        <w:gridCol w:w="8920"/>
      </w:tblGrid>
      <w:tr>
        <w:tc>
          <w:tcPr>
            <w:tcW w:type="dxa" w:w="800"/>
            <w:tcBorders>
              <w:top w:val="single" w:color="1A6B3C" w:sz="1"/>
              <w:left w:val="single" w:color="1A6B3C" w:sz="1"/>
              <w:bottom w:val="single" w:color="1A6B3C" w:sz="1"/>
              <w:right w:val="single" w:color="1A6B3C" w:sz="1"/>
            </w:tcBorders>
            <w:shd w:fill="1A6B3C" w:val="clear"/>
            <w:tcMar>
              <w:top w:type="dxa" w:w="120"/>
              <w:left w:type="dxa" w:w="100"/>
              <w:bottom w:type="dxa" w:w="120"/>
              <w:right w:type="dxa" w:w="100"/>
            </w:tcMar>
            <w:vAlign w:val="center"/>
          </w:tcPr>
          <w:p>
            <w:pPr>
              <w:jc w:val="center"/>
            </w:pPr>
            <w:r>
              <w:rPr>
                <w:rFonts w:ascii="Arial" w:cs="Arial" w:eastAsia="Arial" w:hAnsi="Arial"/>
                <w:b/>
                <w:bCs/>
                <w:color w:val="FFFFFF"/>
                <w:sz w:val="28"/>
                <w:szCs w:val="28"/>
              </w:rPr>
              <w:t xml:space="preserve">Q7</w:t>
            </w:r>
          </w:p>
        </w:tc>
        <w:tc>
          <w:tcPr>
            <w:tcW w:type="dxa" w:w="8920"/>
            <w:tcBorders>
              <w:top w:val="single" w:color="0B2447" w:sz="1"/>
              <w:left w:val="single" w:color="0B2447" w:sz="1"/>
              <w:bottom w:val="single" w:color="0B2447" w:sz="1"/>
              <w:right w:val="single" w:color="0B2447" w:sz="1"/>
            </w:tcBorders>
            <w:shd w:fill="0B2447" w:val="clear"/>
            <w:tcMar>
              <w:top w:type="dxa" w:w="120"/>
              <w:left w:type="dxa" w:w="180"/>
              <w:bottom w:type="dxa" w:w="120"/>
              <w:right w:type="dxa" w:w="120"/>
            </w:tcMar>
            <w:vAlign w:val="center"/>
          </w:tcPr>
          <w:p>
            <w:r>
              <w:rPr>
                <w:rFonts w:ascii="Arial" w:cs="Arial" w:eastAsia="Arial" w:hAnsi="Arial"/>
                <w:b/>
                <w:bCs/>
                <w:color w:val="FFFFFF"/>
                <w:sz w:val="22"/>
                <w:szCs w:val="22"/>
              </w:rPr>
              <w:t xml:space="preserve">How can CFG mitigate the risks of adopting blockchain-based solutions?</w:t>
            </w:r>
          </w:p>
        </w:tc>
      </w:tr>
    </w:tbl>
    <w:p>
      <w:pPr>
        <w:spacing w:after="120"/>
      </w:pPr>
    </w:p>
    <w:p>
      <w:pPr>
        <w:spacing w:after="100"/>
      </w:pPr>
      <w:r>
        <w:rPr>
          <w:rFonts w:ascii="Arial" w:cs="Arial" w:eastAsia="Arial" w:hAnsi="Arial"/>
          <w:b/>
          <w:bCs/>
          <w:color w:val="0B2447"/>
          <w:sz w:val="22"/>
          <w:szCs w:val="22"/>
        </w:rPr>
        <w:t xml:space="preserve">High-Level Risk Mitigation Framework</w:t>
      </w:r>
      <w:r>
        <w:rPr>
          <w:rFonts w:ascii="Arial" w:cs="Arial" w:eastAsia="Arial" w:hAnsi="Arial"/>
          <w:color w:val="5A6A85"/>
          <w:sz w:val="22"/>
          <w:szCs w:val="22"/>
        </w:rPr>
        <w:t xml:space="preserve"> — DLT Pilot for CFG's Board &amp; MAS Innovation Office</w:t>
      </w:r>
    </w:p>
    <w:p>
      <w:pPr>
        <w:spacing w:after="100"/>
      </w:pPr>
      <w:r>
        <w:rPr>
          <w:rFonts w:ascii="Arial" w:cs="Arial" w:eastAsia="Arial" w:hAnsi="Arial"/>
          <w:color w:val="1A1A2E"/>
          <w:sz w:val="20"/>
          <w:szCs w:val="20"/>
        </w:rPr>
        <w:t xml:space="preserve">This framework is structured as a phased, governance-first approach — designed to demonstrate to the CFG Board and MAS that innovation is being pursued responsibly.</w:t>
      </w:r>
    </w:p>
    <w:p>
      <w:pPr>
        <w:spacing w:after="8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560"/>
        <w:gridCol w:w="9160"/>
      </w:tblGrid>
      <w:tr>
        <w:tc>
          <w:tcPr>
            <w:tcW w:type="dxa" w:w="560"/>
            <w:tcBorders>
              <w:top w:val="none" w:color="FFFFFF" w:sz="0"/>
              <w:left w:val="none" w:color="FFFFFF" w:sz="0"/>
              <w:bottom w:val="none" w:color="FFFFFF" w:sz="0"/>
              <w:right w:val="none" w:color="FFFFFF" w:sz="0"/>
            </w:tcBorders>
            <w:shd w:fill="1A6B3C" w:val="clear"/>
            <w:tcMar>
              <w:top w:type="dxa" w:w="120"/>
              <w:left w:type="dxa" w:w="60"/>
              <w:bottom w:type="dxa" w:w="120"/>
              <w:right w:type="dxa" w:w="60"/>
            </w:tcMar>
            <w:vAlign w:val="center"/>
          </w:tcPr>
          <w:p>
            <w:pPr>
              <w:jc w:val="center"/>
            </w:pPr>
            <w:r>
              <w:rPr>
                <w:rFonts w:ascii="Arial" w:cs="Arial" w:eastAsia="Arial" w:hAnsi="Arial"/>
                <w:b/>
                <w:bCs/>
                <w:color w:val="FFFFFF"/>
                <w:sz w:val="24"/>
                <w:szCs w:val="24"/>
              </w:rPr>
              <w:t xml:space="preserve">1</w:t>
            </w:r>
          </w:p>
        </w:tc>
        <w:tc>
          <w:tcPr>
            <w:tcW w:type="dxa" w:w="9160"/>
            <w:tcBorders>
              <w:top w:val="single" w:color="B8D8C4" w:sz="1"/>
              <w:left w:val="single" w:color="B8D8C4" w:sz="1"/>
              <w:bottom w:val="single" w:color="B8D8C4" w:sz="1"/>
              <w:right w:val="single" w:color="B8D8C4" w:sz="1"/>
            </w:tcBorders>
            <w:shd w:fill="EDF7F1" w:val="clear"/>
            <w:tcMar>
              <w:top w:type="dxa" w:w="100"/>
              <w:left w:type="dxa" w:w="160"/>
              <w:bottom w:type="dxa" w:w="100"/>
              <w:right w:type="dxa" w:w="120"/>
            </w:tcMar>
          </w:tcPr>
          <w:p>
            <w:pPr>
              <w:spacing w:after="50"/>
            </w:pPr>
            <w:r>
              <w:rPr>
                <w:rFonts w:ascii="Arial" w:cs="Arial" w:eastAsia="Arial" w:hAnsi="Arial"/>
                <w:b/>
                <w:bCs/>
                <w:color w:val="0B2447"/>
                <w:sz w:val="20"/>
                <w:szCs w:val="20"/>
              </w:rPr>
              <w:t xml:space="preserve">Regulatory Engagement First — MAS FinTech Sandbox</w:t>
            </w:r>
          </w:p>
          <w:p>
            <w:r>
              <w:rPr>
                <w:rFonts w:ascii="Arial" w:cs="Arial" w:eastAsia="Arial" w:hAnsi="Arial"/>
                <w:color w:val="1A1A2E"/>
                <w:sz w:val="19"/>
                <w:szCs w:val="19"/>
              </w:rPr>
              <w:t xml:space="preserve">Before any technical build, engage MAS through the FinTech Regulatory Sandbox or Innovation Hub to validate CFG's DLT pilot design. This provides regulatory air cover, early guidance on AML/CFT obligations, and signals CFG's commitment to responsible innovation. MAS has consistently supported well-structured DLT pilots (Project Ubin precedent).</w:t>
            </w:r>
          </w:p>
        </w:tc>
      </w:tr>
    </w:tbl>
    <w:p>
      <w:pPr>
        <w:spacing w:after="8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560"/>
        <w:gridCol w:w="9160"/>
      </w:tblGrid>
      <w:tr>
        <w:tc>
          <w:tcPr>
            <w:tcW w:type="dxa" w:w="560"/>
            <w:tcBorders>
              <w:top w:val="none" w:color="FFFFFF" w:sz="0"/>
              <w:left w:val="none" w:color="FFFFFF" w:sz="0"/>
              <w:bottom w:val="none" w:color="FFFFFF" w:sz="0"/>
              <w:right w:val="none" w:color="FFFFFF" w:sz="0"/>
            </w:tcBorders>
            <w:shd w:fill="1A6B3C" w:val="clear"/>
            <w:tcMar>
              <w:top w:type="dxa" w:w="120"/>
              <w:left w:type="dxa" w:w="60"/>
              <w:bottom w:type="dxa" w:w="120"/>
              <w:right w:type="dxa" w:w="60"/>
            </w:tcMar>
            <w:vAlign w:val="center"/>
          </w:tcPr>
          <w:p>
            <w:pPr>
              <w:jc w:val="center"/>
            </w:pPr>
            <w:r>
              <w:rPr>
                <w:rFonts w:ascii="Arial" w:cs="Arial" w:eastAsia="Arial" w:hAnsi="Arial"/>
                <w:b/>
                <w:bCs/>
                <w:color w:val="FFFFFF"/>
                <w:sz w:val="24"/>
                <w:szCs w:val="24"/>
              </w:rPr>
              <w:t xml:space="preserve">2</w:t>
            </w:r>
          </w:p>
        </w:tc>
        <w:tc>
          <w:tcPr>
            <w:tcW w:type="dxa" w:w="9160"/>
            <w:tcBorders>
              <w:top w:val="single" w:color="B8D8C4" w:sz="1"/>
              <w:left w:val="single" w:color="B8D8C4" w:sz="1"/>
              <w:bottom w:val="single" w:color="B8D8C4" w:sz="1"/>
              <w:right w:val="single" w:color="B8D8C4" w:sz="1"/>
            </w:tcBorders>
            <w:shd w:fill="EDF7F1" w:val="clear"/>
            <w:tcMar>
              <w:top w:type="dxa" w:w="100"/>
              <w:left w:type="dxa" w:w="160"/>
              <w:bottom w:type="dxa" w:w="100"/>
              <w:right w:type="dxa" w:w="120"/>
            </w:tcMar>
          </w:tcPr>
          <w:p>
            <w:pPr>
              <w:spacing w:after="50"/>
            </w:pPr>
            <w:r>
              <w:rPr>
                <w:rFonts w:ascii="Arial" w:cs="Arial" w:eastAsia="Arial" w:hAnsi="Arial"/>
                <w:b/>
                <w:bCs/>
                <w:color w:val="0B2447"/>
                <w:sz w:val="20"/>
                <w:szCs w:val="20"/>
              </w:rPr>
              <w:t xml:space="preserve">Choose a Permissioned Blockchain — Governance Framework</w:t>
            </w:r>
          </w:p>
          <w:p>
            <w:r>
              <w:rPr>
                <w:rFonts w:ascii="Arial" w:cs="Arial" w:eastAsia="Arial" w:hAnsi="Arial"/>
                <w:color w:val="1A1A2E"/>
                <w:sz w:val="19"/>
                <w:szCs w:val="19"/>
              </w:rPr>
              <w:t xml:space="preserve">Select R3 Corda or Hyperledger Fabric — both designed for financial institution use. Establish a formal Network Governance Agreement covering: participant onboarding/offboarding, protocol upgrade decisions, dispute resolution, data governance, and exit provisions. Directly addresses the CFO's cost concerns (fixed fees) and the CISO's security concerns (controlled network access).</w:t>
            </w:r>
          </w:p>
        </w:tc>
      </w:tr>
    </w:tbl>
    <w:p>
      <w:pPr>
        <w:spacing w:after="8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560"/>
        <w:gridCol w:w="9160"/>
      </w:tblGrid>
      <w:tr>
        <w:tc>
          <w:tcPr>
            <w:tcW w:type="dxa" w:w="560"/>
            <w:tcBorders>
              <w:top w:val="none" w:color="FFFFFF" w:sz="0"/>
              <w:left w:val="none" w:color="FFFFFF" w:sz="0"/>
              <w:bottom w:val="none" w:color="FFFFFF" w:sz="0"/>
              <w:right w:val="none" w:color="FFFFFF" w:sz="0"/>
            </w:tcBorders>
            <w:shd w:fill="1A6B3C" w:val="clear"/>
            <w:tcMar>
              <w:top w:type="dxa" w:w="120"/>
              <w:left w:type="dxa" w:w="60"/>
              <w:bottom w:type="dxa" w:w="120"/>
              <w:right w:type="dxa" w:w="60"/>
            </w:tcMar>
            <w:vAlign w:val="center"/>
          </w:tcPr>
          <w:p>
            <w:pPr>
              <w:jc w:val="center"/>
            </w:pPr>
            <w:r>
              <w:rPr>
                <w:rFonts w:ascii="Arial" w:cs="Arial" w:eastAsia="Arial" w:hAnsi="Arial"/>
                <w:b/>
                <w:bCs/>
                <w:color w:val="FFFFFF"/>
                <w:sz w:val="24"/>
                <w:szCs w:val="24"/>
              </w:rPr>
              <w:t xml:space="preserve">3</w:t>
            </w:r>
          </w:p>
        </w:tc>
        <w:tc>
          <w:tcPr>
            <w:tcW w:type="dxa" w:w="9160"/>
            <w:tcBorders>
              <w:top w:val="single" w:color="B8D8C4" w:sz="1"/>
              <w:left w:val="single" w:color="B8D8C4" w:sz="1"/>
              <w:bottom w:val="single" w:color="B8D8C4" w:sz="1"/>
              <w:right w:val="single" w:color="B8D8C4" w:sz="1"/>
            </w:tcBorders>
            <w:shd w:fill="EDF7F1" w:val="clear"/>
            <w:tcMar>
              <w:top w:type="dxa" w:w="100"/>
              <w:left w:type="dxa" w:w="160"/>
              <w:bottom w:type="dxa" w:w="100"/>
              <w:right w:type="dxa" w:w="120"/>
            </w:tcMar>
          </w:tcPr>
          <w:p>
            <w:pPr>
              <w:spacing w:after="50"/>
            </w:pPr>
            <w:r>
              <w:rPr>
                <w:rFonts w:ascii="Arial" w:cs="Arial" w:eastAsia="Arial" w:hAnsi="Arial"/>
                <w:b/>
                <w:bCs/>
                <w:color w:val="0B2447"/>
                <w:sz w:val="20"/>
                <w:szCs w:val="20"/>
              </w:rPr>
              <w:t xml:space="preserve">Smart Contract Audit &amp; Lifecycle Management</w:t>
            </w:r>
          </w:p>
          <w:p>
            <w:r>
              <w:rPr>
                <w:rFonts w:ascii="Arial" w:cs="Arial" w:eastAsia="Arial" w:hAnsi="Arial"/>
                <w:color w:val="1A1A2E"/>
                <w:sz w:val="19"/>
                <w:szCs w:val="19"/>
              </w:rPr>
              <w:t xml:space="preserve">Engage an independent smart contract auditing firm before deploying any payment logic on-chain. Establish a smart contract lifecycle policy: version control, formal change management, emergency pause mechanisms (circuit breakers), and rollback procedures for detected vulnerabilities. Directly addresses the CISO's smart contract vulnerability concerns.</w:t>
            </w:r>
          </w:p>
        </w:tc>
      </w:tr>
    </w:tbl>
    <w:p>
      <w:pPr>
        <w:spacing w:after="8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560"/>
        <w:gridCol w:w="9160"/>
      </w:tblGrid>
      <w:tr>
        <w:tc>
          <w:tcPr>
            <w:tcW w:type="dxa" w:w="560"/>
            <w:tcBorders>
              <w:top w:val="none" w:color="FFFFFF" w:sz="0"/>
              <w:left w:val="none" w:color="FFFFFF" w:sz="0"/>
              <w:bottom w:val="none" w:color="FFFFFF" w:sz="0"/>
              <w:right w:val="none" w:color="FFFFFF" w:sz="0"/>
            </w:tcBorders>
            <w:shd w:fill="1A6B3C" w:val="clear"/>
            <w:tcMar>
              <w:top w:type="dxa" w:w="120"/>
              <w:left w:type="dxa" w:w="60"/>
              <w:bottom w:type="dxa" w:w="120"/>
              <w:right w:type="dxa" w:w="60"/>
            </w:tcMar>
            <w:vAlign w:val="center"/>
          </w:tcPr>
          <w:p>
            <w:pPr>
              <w:jc w:val="center"/>
            </w:pPr>
            <w:r>
              <w:rPr>
                <w:rFonts w:ascii="Arial" w:cs="Arial" w:eastAsia="Arial" w:hAnsi="Arial"/>
                <w:b/>
                <w:bCs/>
                <w:color w:val="FFFFFF"/>
                <w:sz w:val="24"/>
                <w:szCs w:val="24"/>
              </w:rPr>
              <w:t xml:space="preserve">4</w:t>
            </w:r>
          </w:p>
        </w:tc>
        <w:tc>
          <w:tcPr>
            <w:tcW w:type="dxa" w:w="9160"/>
            <w:tcBorders>
              <w:top w:val="single" w:color="B8D8C4" w:sz="1"/>
              <w:left w:val="single" w:color="B8D8C4" w:sz="1"/>
              <w:bottom w:val="single" w:color="B8D8C4" w:sz="1"/>
              <w:right w:val="single" w:color="B8D8C4" w:sz="1"/>
            </w:tcBorders>
            <w:shd w:fill="EDF7F1" w:val="clear"/>
            <w:tcMar>
              <w:top w:type="dxa" w:w="100"/>
              <w:left w:type="dxa" w:w="160"/>
              <w:bottom w:type="dxa" w:w="100"/>
              <w:right w:type="dxa" w:w="120"/>
            </w:tcMar>
          </w:tcPr>
          <w:p>
            <w:pPr>
              <w:spacing w:after="50"/>
            </w:pPr>
            <w:r>
              <w:rPr>
                <w:rFonts w:ascii="Arial" w:cs="Arial" w:eastAsia="Arial" w:hAnsi="Arial"/>
                <w:b/>
                <w:bCs/>
                <w:color w:val="0B2447"/>
                <w:sz w:val="20"/>
                <w:szCs w:val="20"/>
              </w:rPr>
              <w:t xml:space="preserve">Cryptographic Key Management &amp; Custody Controls</w:t>
            </w:r>
          </w:p>
          <w:p>
            <w:r>
              <w:rPr>
                <w:rFonts w:ascii="Arial" w:cs="Arial" w:eastAsia="Arial" w:hAnsi="Arial"/>
                <w:color w:val="1A1A2E"/>
                <w:sz w:val="19"/>
                <w:szCs w:val="19"/>
              </w:rPr>
              <w:t xml:space="preserve">Deploy Hardware Security Modules (HSMs) for private key storage. Implement multi-signature authorisation for high-value transactions. Establish cold storage for reserves. Define a key recovery and business continuity procedure.</w:t>
            </w:r>
          </w:p>
        </w:tc>
      </w:tr>
    </w:tbl>
    <w:p>
      <w:pPr>
        <w:spacing w:after="8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560"/>
        <w:gridCol w:w="9160"/>
      </w:tblGrid>
      <w:tr>
        <w:tc>
          <w:tcPr>
            <w:tcW w:type="dxa" w:w="560"/>
            <w:tcBorders>
              <w:top w:val="none" w:color="FFFFFF" w:sz="0"/>
              <w:left w:val="none" w:color="FFFFFF" w:sz="0"/>
              <w:bottom w:val="none" w:color="FFFFFF" w:sz="0"/>
              <w:right w:val="none" w:color="FFFFFF" w:sz="0"/>
            </w:tcBorders>
            <w:shd w:fill="1A6B3C" w:val="clear"/>
            <w:tcMar>
              <w:top w:type="dxa" w:w="120"/>
              <w:left w:type="dxa" w:w="60"/>
              <w:bottom w:type="dxa" w:w="120"/>
              <w:right w:type="dxa" w:w="60"/>
            </w:tcMar>
            <w:vAlign w:val="center"/>
          </w:tcPr>
          <w:p>
            <w:pPr>
              <w:jc w:val="center"/>
            </w:pPr>
            <w:r>
              <w:rPr>
                <w:rFonts w:ascii="Arial" w:cs="Arial" w:eastAsia="Arial" w:hAnsi="Arial"/>
                <w:b/>
                <w:bCs/>
                <w:color w:val="FFFFFF"/>
                <w:sz w:val="24"/>
                <w:szCs w:val="24"/>
              </w:rPr>
              <w:t xml:space="preserve">5</w:t>
            </w:r>
          </w:p>
        </w:tc>
        <w:tc>
          <w:tcPr>
            <w:tcW w:type="dxa" w:w="9160"/>
            <w:tcBorders>
              <w:top w:val="single" w:color="B8D8C4" w:sz="1"/>
              <w:left w:val="single" w:color="B8D8C4" w:sz="1"/>
              <w:bottom w:val="single" w:color="B8D8C4" w:sz="1"/>
              <w:right w:val="single" w:color="B8D8C4" w:sz="1"/>
            </w:tcBorders>
            <w:shd w:fill="EDF7F1" w:val="clear"/>
            <w:tcMar>
              <w:top w:type="dxa" w:w="100"/>
              <w:left w:type="dxa" w:w="160"/>
              <w:bottom w:type="dxa" w:w="100"/>
              <w:right w:type="dxa" w:w="120"/>
            </w:tcMar>
          </w:tcPr>
          <w:p>
            <w:pPr>
              <w:spacing w:after="50"/>
            </w:pPr>
            <w:r>
              <w:rPr>
                <w:rFonts w:ascii="Arial" w:cs="Arial" w:eastAsia="Arial" w:hAnsi="Arial"/>
                <w:b/>
                <w:bCs/>
                <w:color w:val="0B2447"/>
                <w:sz w:val="20"/>
                <w:szCs w:val="20"/>
              </w:rPr>
              <w:t xml:space="preserve">AML/CFT &amp; Travel Rule Compliance</w:t>
            </w:r>
          </w:p>
          <w:p>
            <w:r>
              <w:rPr>
                <w:rFonts w:ascii="Arial" w:cs="Arial" w:eastAsia="Arial" w:hAnsi="Arial"/>
                <w:color w:val="1A1A2E"/>
                <w:sz w:val="19"/>
                <w:szCs w:val="19"/>
              </w:rPr>
              <w:t xml:space="preserve">Implement enhanced CDD for all DLT network counterparties. Deploy blockchain analytics tools (Chainalysis or Elliptic) for real-time on-chain transaction monitoring. Ensure Travel Rule compliance per MAS Notice PSN02A — transmit originator/beneficiary data for all transfers above SGD 1,500. Establish an STR filing protocol with STRO for flagged transactions.</w:t>
            </w:r>
          </w:p>
        </w:tc>
      </w:tr>
    </w:tbl>
    <w:p>
      <w:pPr>
        <w:spacing w:after="8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560"/>
        <w:gridCol w:w="9160"/>
      </w:tblGrid>
      <w:tr>
        <w:tc>
          <w:tcPr>
            <w:tcW w:type="dxa" w:w="560"/>
            <w:tcBorders>
              <w:top w:val="none" w:color="FFFFFF" w:sz="0"/>
              <w:left w:val="none" w:color="FFFFFF" w:sz="0"/>
              <w:bottom w:val="none" w:color="FFFFFF" w:sz="0"/>
              <w:right w:val="none" w:color="FFFFFF" w:sz="0"/>
            </w:tcBorders>
            <w:shd w:fill="1A6B3C" w:val="clear"/>
            <w:tcMar>
              <w:top w:type="dxa" w:w="120"/>
              <w:left w:type="dxa" w:w="60"/>
              <w:bottom w:type="dxa" w:w="120"/>
              <w:right w:type="dxa" w:w="60"/>
            </w:tcMar>
            <w:vAlign w:val="center"/>
          </w:tcPr>
          <w:p>
            <w:pPr>
              <w:jc w:val="center"/>
            </w:pPr>
            <w:r>
              <w:rPr>
                <w:rFonts w:ascii="Arial" w:cs="Arial" w:eastAsia="Arial" w:hAnsi="Arial"/>
                <w:b/>
                <w:bCs/>
                <w:color w:val="FFFFFF"/>
                <w:sz w:val="24"/>
                <w:szCs w:val="24"/>
              </w:rPr>
              <w:t xml:space="preserve">6</w:t>
            </w:r>
          </w:p>
        </w:tc>
        <w:tc>
          <w:tcPr>
            <w:tcW w:type="dxa" w:w="9160"/>
            <w:tcBorders>
              <w:top w:val="single" w:color="B8D8C4" w:sz="1"/>
              <w:left w:val="single" w:color="B8D8C4" w:sz="1"/>
              <w:bottom w:val="single" w:color="B8D8C4" w:sz="1"/>
              <w:right w:val="single" w:color="B8D8C4" w:sz="1"/>
            </w:tcBorders>
            <w:shd w:fill="EDF7F1" w:val="clear"/>
            <w:tcMar>
              <w:top w:type="dxa" w:w="100"/>
              <w:left w:type="dxa" w:w="160"/>
              <w:bottom w:type="dxa" w:w="100"/>
              <w:right w:type="dxa" w:w="120"/>
            </w:tcMar>
          </w:tcPr>
          <w:p>
            <w:pPr>
              <w:spacing w:after="50"/>
            </w:pPr>
            <w:r>
              <w:rPr>
                <w:rFonts w:ascii="Arial" w:cs="Arial" w:eastAsia="Arial" w:hAnsi="Arial"/>
                <w:b/>
                <w:bCs/>
                <w:color w:val="0B2447"/>
                <w:sz w:val="20"/>
                <w:szCs w:val="20"/>
              </w:rPr>
              <w:t xml:space="preserve">Data Architecture — On-Chain vs Off-Chain Design</w:t>
            </w:r>
          </w:p>
          <w:p>
            <w:r>
              <w:rPr>
                <w:rFonts w:ascii="Arial" w:cs="Arial" w:eastAsia="Arial" w:hAnsi="Arial"/>
                <w:color w:val="1A1A2E"/>
                <w:sz w:val="19"/>
                <w:szCs w:val="19"/>
              </w:rPr>
              <w:t xml:space="preserve">Store only transaction hashes, amounts, timestamps, and anonymised identifiers on-chain. Store personal data (names, NRIC, addresses) in a PDPA-compliant off-chain database that supports the right to erasure. This resolves the PDPA/GDPR immutability conflict while preserving the integrity benefits of an on-chain audit trail.</w:t>
            </w:r>
          </w:p>
        </w:tc>
      </w:tr>
    </w:tbl>
    <w:p>
      <w:pPr>
        <w:spacing w:after="8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560"/>
        <w:gridCol w:w="9160"/>
      </w:tblGrid>
      <w:tr>
        <w:tc>
          <w:tcPr>
            <w:tcW w:type="dxa" w:w="560"/>
            <w:tcBorders>
              <w:top w:val="none" w:color="FFFFFF" w:sz="0"/>
              <w:left w:val="none" w:color="FFFFFF" w:sz="0"/>
              <w:bottom w:val="none" w:color="FFFFFF" w:sz="0"/>
              <w:right w:val="none" w:color="FFFFFF" w:sz="0"/>
            </w:tcBorders>
            <w:shd w:fill="1A6B3C" w:val="clear"/>
            <w:tcMar>
              <w:top w:type="dxa" w:w="120"/>
              <w:left w:type="dxa" w:w="60"/>
              <w:bottom w:type="dxa" w:w="120"/>
              <w:right w:type="dxa" w:w="60"/>
            </w:tcMar>
            <w:vAlign w:val="center"/>
          </w:tcPr>
          <w:p>
            <w:pPr>
              <w:jc w:val="center"/>
            </w:pPr>
            <w:r>
              <w:rPr>
                <w:rFonts w:ascii="Arial" w:cs="Arial" w:eastAsia="Arial" w:hAnsi="Arial"/>
                <w:b/>
                <w:bCs/>
                <w:color w:val="FFFFFF"/>
                <w:sz w:val="24"/>
                <w:szCs w:val="24"/>
              </w:rPr>
              <w:t xml:space="preserve">7</w:t>
            </w:r>
          </w:p>
        </w:tc>
        <w:tc>
          <w:tcPr>
            <w:tcW w:type="dxa" w:w="9160"/>
            <w:tcBorders>
              <w:top w:val="single" w:color="B8D8C4" w:sz="1"/>
              <w:left w:val="single" w:color="B8D8C4" w:sz="1"/>
              <w:bottom w:val="single" w:color="B8D8C4" w:sz="1"/>
              <w:right w:val="single" w:color="B8D8C4" w:sz="1"/>
            </w:tcBorders>
            <w:shd w:fill="EDF7F1" w:val="clear"/>
            <w:tcMar>
              <w:top w:type="dxa" w:w="100"/>
              <w:left w:type="dxa" w:w="160"/>
              <w:bottom w:type="dxa" w:w="100"/>
              <w:right w:type="dxa" w:w="120"/>
            </w:tcMar>
          </w:tcPr>
          <w:p>
            <w:pPr>
              <w:spacing w:after="50"/>
            </w:pPr>
            <w:r>
              <w:rPr>
                <w:rFonts w:ascii="Arial" w:cs="Arial" w:eastAsia="Arial" w:hAnsi="Arial"/>
                <w:b/>
                <w:bCs/>
                <w:color w:val="0B2447"/>
                <w:sz w:val="20"/>
                <w:szCs w:val="20"/>
              </w:rPr>
              <w:t xml:space="preserve">Phased Pilot — Start Narrow, Scale with Evidence</w:t>
            </w:r>
          </w:p>
          <w:p>
            <w:r>
              <w:rPr>
                <w:rFonts w:ascii="Arial" w:cs="Arial" w:eastAsia="Arial" w:hAnsi="Arial"/>
                <w:color w:val="1A1A2E"/>
                <w:sz w:val="19"/>
                <w:szCs w:val="19"/>
              </w:rPr>
              <w:t xml:space="preserve">Phase 1: Internal settlement between CFG entities only. Phase 2: Bilateral pilot with 1–2 trusted correspondent partners on a single high-volume corridor (e.g., SGD–MYR). Phase 3: Multi-corridor expansion informed by Phase 2 data. Present results at each phase gate to the CFG Board and MAS Innovation Office before proceeding.</w:t>
            </w:r>
          </w:p>
        </w:tc>
      </w:tr>
    </w:tbl>
    <w:p>
      <w:pPr>
        <w:spacing w:after="8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560"/>
        <w:gridCol w:w="9160"/>
      </w:tblGrid>
      <w:tr>
        <w:tc>
          <w:tcPr>
            <w:tcW w:type="dxa" w:w="560"/>
            <w:tcBorders>
              <w:top w:val="none" w:color="FFFFFF" w:sz="0"/>
              <w:left w:val="none" w:color="FFFFFF" w:sz="0"/>
              <w:bottom w:val="none" w:color="FFFFFF" w:sz="0"/>
              <w:right w:val="none" w:color="FFFFFF" w:sz="0"/>
            </w:tcBorders>
            <w:shd w:fill="1A6B3C" w:val="clear"/>
            <w:tcMar>
              <w:top w:type="dxa" w:w="120"/>
              <w:left w:type="dxa" w:w="60"/>
              <w:bottom w:type="dxa" w:w="120"/>
              <w:right w:type="dxa" w:w="60"/>
            </w:tcMar>
            <w:vAlign w:val="center"/>
          </w:tcPr>
          <w:p>
            <w:pPr>
              <w:jc w:val="center"/>
            </w:pPr>
            <w:r>
              <w:rPr>
                <w:rFonts w:ascii="Arial" w:cs="Arial" w:eastAsia="Arial" w:hAnsi="Arial"/>
                <w:b/>
                <w:bCs/>
                <w:color w:val="FFFFFF"/>
                <w:sz w:val="24"/>
                <w:szCs w:val="24"/>
              </w:rPr>
              <w:t xml:space="preserve">8</w:t>
            </w:r>
          </w:p>
        </w:tc>
        <w:tc>
          <w:tcPr>
            <w:tcW w:type="dxa" w:w="9160"/>
            <w:tcBorders>
              <w:top w:val="single" w:color="B8D8C4" w:sz="1"/>
              <w:left w:val="single" w:color="B8D8C4" w:sz="1"/>
              <w:bottom w:val="single" w:color="B8D8C4" w:sz="1"/>
              <w:right w:val="single" w:color="B8D8C4" w:sz="1"/>
            </w:tcBorders>
            <w:shd w:fill="EDF7F1" w:val="clear"/>
            <w:tcMar>
              <w:top w:type="dxa" w:w="100"/>
              <w:left w:type="dxa" w:w="160"/>
              <w:bottom w:type="dxa" w:w="100"/>
              <w:right w:type="dxa" w:w="120"/>
            </w:tcMar>
          </w:tcPr>
          <w:p>
            <w:pPr>
              <w:spacing w:after="50"/>
            </w:pPr>
            <w:r>
              <w:rPr>
                <w:rFonts w:ascii="Arial" w:cs="Arial" w:eastAsia="Arial" w:hAnsi="Arial"/>
                <w:b/>
                <w:bCs/>
                <w:color w:val="0B2447"/>
                <w:sz w:val="20"/>
                <w:szCs w:val="20"/>
              </w:rPr>
              <w:t xml:space="preserve">Business Continuity &amp; Fallback to SWIFT</w:t>
            </w:r>
          </w:p>
          <w:p>
            <w:r>
              <w:rPr>
                <w:rFonts w:ascii="Arial" w:cs="Arial" w:eastAsia="Arial" w:hAnsi="Arial"/>
                <w:color w:val="1A1A2E"/>
                <w:sz w:val="19"/>
                <w:szCs w:val="19"/>
              </w:rPr>
              <w:t xml:space="preserve">Maintain SWIFT connectivity as a fallback during the pilot phase. Define clear BCP procedures for DLT node failure, network partition, and smart contract emergency scenarios. Do not decommission legacy infrastructure until DLT rails have demonstrated 12 months of production-grade stability.</w:t>
            </w:r>
          </w:p>
        </w:tc>
      </w:tr>
    </w:tbl>
    <w:p>
      <w:pPr>
        <w:spacing w:after="160"/>
      </w:pPr>
    </w:p>
    <w:p>
      <w:pPr>
        <w:pStyle w:val="Heading2"/>
        <w:pBdr>
          <w:bottom w:val="single" w:color="1A6B3C" w:sz="4" w:space="1"/>
        </w:pBdr>
        <w:spacing w:after="100" w:before="240"/>
      </w:pPr>
      <w:r>
        <w:rPr>
          <w:rFonts w:ascii="Arial" w:cs="Arial" w:eastAsia="Arial" w:hAnsi="Arial"/>
          <w:b/>
          <w:bCs/>
          <w:color w:val="0B2447"/>
          <w:sz w:val="26"/>
          <w:szCs w:val="26"/>
        </w:rPr>
        <w:t xml:space="preserve">Risk Mitigation Summary Table</w:t>
      </w:r>
    </w:p>
    <w:p>
      <w:pPr>
        <w:spacing w:after="6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00"/>
        <w:gridCol w:w="4600"/>
        <w:gridCol w:w="1920"/>
      </w:tblGrid>
      <w:tr>
        <w:tc>
          <w:tcPr>
            <w:tcW w:type="dxa" w:w="3200"/>
            <w:tcBorders>
              <w:top w:val="single" w:color="0B2447" w:sz="1"/>
              <w:left w:val="single" w:color="0B2447" w:sz="1"/>
              <w:bottom w:val="single" w:color="0B2447" w:sz="1"/>
              <w:right w:val="single" w:color="0B2447" w:sz="1"/>
            </w:tcBorders>
            <w:shd w:fill="0B2447" w:val="clear"/>
            <w:tcMar>
              <w:top w:type="dxa" w:w="80"/>
              <w:left w:type="dxa" w:w="120"/>
              <w:bottom w:type="dxa" w:w="80"/>
              <w:right w:type="dxa" w:w="120"/>
            </w:tcMar>
          </w:tcPr>
          <w:p>
            <w:r>
              <w:rPr>
                <w:rFonts w:ascii="Arial" w:cs="Arial" w:eastAsia="Arial" w:hAnsi="Arial"/>
                <w:b/>
                <w:bCs/>
                <w:color w:val="FFFFFF"/>
                <w:sz w:val="18"/>
                <w:szCs w:val="18"/>
              </w:rPr>
              <w:t xml:space="preserve">Risk</w:t>
            </w:r>
          </w:p>
        </w:tc>
        <w:tc>
          <w:tcPr>
            <w:tcW w:type="dxa" w:w="4600"/>
            <w:tcBorders>
              <w:top w:val="single" w:color="0B2447" w:sz="1"/>
              <w:left w:val="single" w:color="0B2447" w:sz="1"/>
              <w:bottom w:val="single" w:color="0B2447" w:sz="1"/>
              <w:right w:val="single" w:color="0B2447" w:sz="1"/>
            </w:tcBorders>
            <w:shd w:fill="0B2447" w:val="clear"/>
            <w:tcMar>
              <w:top w:type="dxa" w:w="80"/>
              <w:left w:type="dxa" w:w="120"/>
              <w:bottom w:type="dxa" w:w="80"/>
              <w:right w:type="dxa" w:w="120"/>
            </w:tcMar>
          </w:tcPr>
          <w:p>
            <w:r>
              <w:rPr>
                <w:rFonts w:ascii="Arial" w:cs="Arial" w:eastAsia="Arial" w:hAnsi="Arial"/>
                <w:b/>
                <w:bCs/>
                <w:color w:val="FFFFFF"/>
                <w:sz w:val="18"/>
                <w:szCs w:val="18"/>
              </w:rPr>
              <w:t xml:space="preserve">Mitigation</w:t>
            </w:r>
          </w:p>
        </w:tc>
        <w:tc>
          <w:tcPr>
            <w:tcW w:type="dxa" w:w="1920"/>
            <w:tcBorders>
              <w:top w:val="single" w:color="0B2447" w:sz="1"/>
              <w:left w:val="single" w:color="0B2447" w:sz="1"/>
              <w:bottom w:val="single" w:color="0B2447" w:sz="1"/>
              <w:right w:val="single" w:color="0B2447" w:sz="1"/>
            </w:tcBorders>
            <w:shd w:fill="0B2447" w:val="clear"/>
            <w:tcMar>
              <w:top w:type="dxa" w:w="80"/>
              <w:left w:type="dxa" w:w="120"/>
              <w:bottom w:type="dxa" w:w="80"/>
              <w:right w:type="dxa" w:w="120"/>
            </w:tcMar>
          </w:tcPr>
          <w:p>
            <w:r>
              <w:rPr>
                <w:rFonts w:ascii="Arial" w:cs="Arial" w:eastAsia="Arial" w:hAnsi="Arial"/>
                <w:b/>
                <w:bCs/>
                <w:color w:val="FFFFFF"/>
                <w:sz w:val="18"/>
                <w:szCs w:val="18"/>
              </w:rPr>
              <w:t xml:space="preserve">Owner</w:t>
            </w:r>
          </w:p>
        </w:tc>
      </w:tr>
      <w:tr>
        <w:tc>
          <w:tcPr>
            <w:tcW w:type="dxa" w:w="3200"/>
            <w:tcBorders>
              <w:top w:val="single" w:color="B8D8C4" w:sz="1"/>
              <w:left w:val="single" w:color="B8D8C4" w:sz="1"/>
              <w:bottom w:val="single" w:color="B8D8C4" w:sz="1"/>
              <w:right w:val="single" w:color="B8D8C4" w:sz="1"/>
            </w:tcBorders>
            <w:shd w:fill="FFFFFF" w:val="clear"/>
            <w:tcMar>
              <w:top w:type="dxa" w:w="70"/>
              <w:left w:type="dxa" w:w="120"/>
              <w:bottom w:type="dxa" w:w="70"/>
              <w:right w:type="dxa" w:w="80"/>
            </w:tcMar>
          </w:tcPr>
          <w:p>
            <w:r>
              <w:rPr>
                <w:rFonts w:ascii="Arial" w:cs="Arial" w:eastAsia="Arial" w:hAnsi="Arial"/>
                <w:color w:val="1A1A2E"/>
                <w:sz w:val="18"/>
                <w:szCs w:val="18"/>
              </w:rPr>
              <w:t xml:space="preserve">Regulatory uncertainty</w:t>
            </w:r>
          </w:p>
        </w:tc>
        <w:tc>
          <w:tcPr>
            <w:tcW w:type="dxa" w:w="4600"/>
            <w:tcBorders>
              <w:top w:val="single" w:color="B8D8C4" w:sz="1"/>
              <w:left w:val="single" w:color="B8D8C4" w:sz="1"/>
              <w:bottom w:val="single" w:color="B8D8C4" w:sz="1"/>
              <w:right w:val="single" w:color="B8D8C4" w:sz="1"/>
            </w:tcBorders>
            <w:shd w:fill="FFFFFF" w:val="clear"/>
            <w:tcMar>
              <w:top w:type="dxa" w:w="70"/>
              <w:left w:type="dxa" w:w="120"/>
              <w:bottom w:type="dxa" w:w="70"/>
              <w:right w:type="dxa" w:w="80"/>
            </w:tcMar>
          </w:tcPr>
          <w:p>
            <w:r>
              <w:rPr>
                <w:rFonts w:ascii="Arial" w:cs="Arial" w:eastAsia="Arial" w:hAnsi="Arial"/>
                <w:color w:val="1A1A2E"/>
                <w:sz w:val="18"/>
                <w:szCs w:val="18"/>
              </w:rPr>
              <w:t xml:space="preserve">MAS FinTech Sandbox engagement; legal review for each corridor jurisdiction</w:t>
            </w:r>
          </w:p>
        </w:tc>
        <w:tc>
          <w:tcPr>
            <w:tcW w:type="dxa" w:w="1920"/>
            <w:tcBorders>
              <w:top w:val="single" w:color="B8D8C4" w:sz="1"/>
              <w:left w:val="single" w:color="B8D8C4" w:sz="1"/>
              <w:bottom w:val="single" w:color="B8D8C4" w:sz="1"/>
              <w:right w:val="single" w:color="B8D8C4" w:sz="1"/>
            </w:tcBorders>
            <w:shd w:fill="FFFFFF" w:val="clear"/>
            <w:tcMar>
              <w:top w:type="dxa" w:w="70"/>
              <w:left w:type="dxa" w:w="120"/>
              <w:bottom w:type="dxa" w:w="70"/>
              <w:right w:type="dxa" w:w="80"/>
            </w:tcMar>
          </w:tcPr>
          <w:p>
            <w:r>
              <w:rPr>
                <w:rFonts w:ascii="Arial" w:cs="Arial" w:eastAsia="Arial" w:hAnsi="Arial"/>
                <w:color w:val="1A1A2E"/>
                <w:sz w:val="18"/>
                <w:szCs w:val="18"/>
              </w:rPr>
              <w:t xml:space="preserve">Compliance / Legal</w:t>
            </w:r>
          </w:p>
        </w:tc>
      </w:tr>
      <w:tr>
        <w:tc>
          <w:tcPr>
            <w:tcW w:type="dxa" w:w="3200"/>
            <w:tcBorders>
              <w:top w:val="single" w:color="B8D8C4" w:sz="1"/>
              <w:left w:val="single" w:color="B8D8C4" w:sz="1"/>
              <w:bottom w:val="single" w:color="B8D8C4" w:sz="1"/>
              <w:right w:val="single" w:color="B8D8C4" w:sz="1"/>
            </w:tcBorders>
            <w:shd w:fill="EDF7F1" w:val="clear"/>
            <w:tcMar>
              <w:top w:type="dxa" w:w="70"/>
              <w:left w:type="dxa" w:w="120"/>
              <w:bottom w:type="dxa" w:w="70"/>
              <w:right w:type="dxa" w:w="80"/>
            </w:tcMar>
          </w:tcPr>
          <w:p>
            <w:r>
              <w:rPr>
                <w:rFonts w:ascii="Arial" w:cs="Arial" w:eastAsia="Arial" w:hAnsi="Arial"/>
                <w:color w:val="1A1A2E"/>
                <w:sz w:val="18"/>
                <w:szCs w:val="18"/>
              </w:rPr>
              <w:t xml:space="preserve">Smart contract vulnerabilities (CISO)</w:t>
            </w:r>
          </w:p>
        </w:tc>
        <w:tc>
          <w:tcPr>
            <w:tcW w:type="dxa" w:w="4600"/>
            <w:tcBorders>
              <w:top w:val="single" w:color="B8D8C4" w:sz="1"/>
              <w:left w:val="single" w:color="B8D8C4" w:sz="1"/>
              <w:bottom w:val="single" w:color="B8D8C4" w:sz="1"/>
              <w:right w:val="single" w:color="B8D8C4" w:sz="1"/>
            </w:tcBorders>
            <w:shd w:fill="EDF7F1" w:val="clear"/>
            <w:tcMar>
              <w:top w:type="dxa" w:w="70"/>
              <w:left w:type="dxa" w:w="120"/>
              <w:bottom w:type="dxa" w:w="70"/>
              <w:right w:type="dxa" w:w="80"/>
            </w:tcMar>
          </w:tcPr>
          <w:p>
            <w:r>
              <w:rPr>
                <w:rFonts w:ascii="Arial" w:cs="Arial" w:eastAsia="Arial" w:hAnsi="Arial"/>
                <w:color w:val="1A1A2E"/>
                <w:sz w:val="18"/>
                <w:szCs w:val="18"/>
              </w:rPr>
              <w:t xml:space="preserve">Independent audit; circuit breakers; lifecycle management policy</w:t>
            </w:r>
          </w:p>
        </w:tc>
        <w:tc>
          <w:tcPr>
            <w:tcW w:type="dxa" w:w="1920"/>
            <w:tcBorders>
              <w:top w:val="single" w:color="B8D8C4" w:sz="1"/>
              <w:left w:val="single" w:color="B8D8C4" w:sz="1"/>
              <w:bottom w:val="single" w:color="B8D8C4" w:sz="1"/>
              <w:right w:val="single" w:color="B8D8C4" w:sz="1"/>
            </w:tcBorders>
            <w:shd w:fill="EDF7F1" w:val="clear"/>
            <w:tcMar>
              <w:top w:type="dxa" w:w="70"/>
              <w:left w:type="dxa" w:w="120"/>
              <w:bottom w:type="dxa" w:w="70"/>
              <w:right w:type="dxa" w:w="80"/>
            </w:tcMar>
          </w:tcPr>
          <w:p>
            <w:r>
              <w:rPr>
                <w:rFonts w:ascii="Arial" w:cs="Arial" w:eastAsia="Arial" w:hAnsi="Arial"/>
                <w:color w:val="1A1A2E"/>
                <w:sz w:val="18"/>
                <w:szCs w:val="18"/>
              </w:rPr>
              <w:t xml:space="preserve">CISO / Technology</w:t>
            </w:r>
          </w:p>
        </w:tc>
      </w:tr>
      <w:tr>
        <w:tc>
          <w:tcPr>
            <w:tcW w:type="dxa" w:w="3200"/>
            <w:tcBorders>
              <w:top w:val="single" w:color="B8D8C4" w:sz="1"/>
              <w:left w:val="single" w:color="B8D8C4" w:sz="1"/>
              <w:bottom w:val="single" w:color="B8D8C4" w:sz="1"/>
              <w:right w:val="single" w:color="B8D8C4" w:sz="1"/>
            </w:tcBorders>
            <w:shd w:fill="FFFFFF" w:val="clear"/>
            <w:tcMar>
              <w:top w:type="dxa" w:w="70"/>
              <w:left w:type="dxa" w:w="120"/>
              <w:bottom w:type="dxa" w:w="70"/>
              <w:right w:type="dxa" w:w="80"/>
            </w:tcMar>
          </w:tcPr>
          <w:p>
            <w:r>
              <w:rPr>
                <w:rFonts w:ascii="Arial" w:cs="Arial" w:eastAsia="Arial" w:hAnsi="Arial"/>
                <w:color w:val="1A1A2E"/>
                <w:sz w:val="18"/>
                <w:szCs w:val="18"/>
              </w:rPr>
              <w:t xml:space="preserve">Transaction cost volatility (CFO)</w:t>
            </w:r>
          </w:p>
        </w:tc>
        <w:tc>
          <w:tcPr>
            <w:tcW w:type="dxa" w:w="4600"/>
            <w:tcBorders>
              <w:top w:val="single" w:color="B8D8C4" w:sz="1"/>
              <w:left w:val="single" w:color="B8D8C4" w:sz="1"/>
              <w:bottom w:val="single" w:color="B8D8C4" w:sz="1"/>
              <w:right w:val="single" w:color="B8D8C4" w:sz="1"/>
            </w:tcBorders>
            <w:shd w:fill="FFFFFF" w:val="clear"/>
            <w:tcMar>
              <w:top w:type="dxa" w:w="70"/>
              <w:left w:type="dxa" w:w="120"/>
              <w:bottom w:type="dxa" w:w="70"/>
              <w:right w:type="dxa" w:w="80"/>
            </w:tcMar>
          </w:tcPr>
          <w:p>
            <w:r>
              <w:rPr>
                <w:rFonts w:ascii="Arial" w:cs="Arial" w:eastAsia="Arial" w:hAnsi="Arial"/>
                <w:color w:val="1A1A2E"/>
                <w:sz w:val="18"/>
                <w:szCs w:val="18"/>
              </w:rPr>
              <w:t xml:space="preserve">Permissioned network with fixed governance-agreed fees</w:t>
            </w:r>
          </w:p>
        </w:tc>
        <w:tc>
          <w:tcPr>
            <w:tcW w:type="dxa" w:w="1920"/>
            <w:tcBorders>
              <w:top w:val="single" w:color="B8D8C4" w:sz="1"/>
              <w:left w:val="single" w:color="B8D8C4" w:sz="1"/>
              <w:bottom w:val="single" w:color="B8D8C4" w:sz="1"/>
              <w:right w:val="single" w:color="B8D8C4" w:sz="1"/>
            </w:tcBorders>
            <w:shd w:fill="FFFFFF" w:val="clear"/>
            <w:tcMar>
              <w:top w:type="dxa" w:w="70"/>
              <w:left w:type="dxa" w:w="120"/>
              <w:bottom w:type="dxa" w:w="70"/>
              <w:right w:type="dxa" w:w="80"/>
            </w:tcMar>
          </w:tcPr>
          <w:p>
            <w:r>
              <w:rPr>
                <w:rFonts w:ascii="Arial" w:cs="Arial" w:eastAsia="Arial" w:hAnsi="Arial"/>
                <w:color w:val="1A1A2E"/>
                <w:sz w:val="18"/>
                <w:szCs w:val="18"/>
              </w:rPr>
              <w:t xml:space="preserve">CFO / Vendor Management</w:t>
            </w:r>
          </w:p>
        </w:tc>
      </w:tr>
      <w:tr>
        <w:tc>
          <w:tcPr>
            <w:tcW w:type="dxa" w:w="3200"/>
            <w:tcBorders>
              <w:top w:val="single" w:color="B8D8C4" w:sz="1"/>
              <w:left w:val="single" w:color="B8D8C4" w:sz="1"/>
              <w:bottom w:val="single" w:color="B8D8C4" w:sz="1"/>
              <w:right w:val="single" w:color="B8D8C4" w:sz="1"/>
            </w:tcBorders>
            <w:shd w:fill="EDF7F1" w:val="clear"/>
            <w:tcMar>
              <w:top w:type="dxa" w:w="70"/>
              <w:left w:type="dxa" w:w="120"/>
              <w:bottom w:type="dxa" w:w="70"/>
              <w:right w:type="dxa" w:w="80"/>
            </w:tcMar>
          </w:tcPr>
          <w:p>
            <w:r>
              <w:rPr>
                <w:rFonts w:ascii="Arial" w:cs="Arial" w:eastAsia="Arial" w:hAnsi="Arial"/>
                <w:color w:val="1A1A2E"/>
                <w:sz w:val="18"/>
                <w:szCs w:val="18"/>
              </w:rPr>
              <w:t xml:space="preserve">Key management / custody risk</w:t>
            </w:r>
          </w:p>
        </w:tc>
        <w:tc>
          <w:tcPr>
            <w:tcW w:type="dxa" w:w="4600"/>
            <w:tcBorders>
              <w:top w:val="single" w:color="B8D8C4" w:sz="1"/>
              <w:left w:val="single" w:color="B8D8C4" w:sz="1"/>
              <w:bottom w:val="single" w:color="B8D8C4" w:sz="1"/>
              <w:right w:val="single" w:color="B8D8C4" w:sz="1"/>
            </w:tcBorders>
            <w:shd w:fill="EDF7F1" w:val="clear"/>
            <w:tcMar>
              <w:top w:type="dxa" w:w="70"/>
              <w:left w:type="dxa" w:w="120"/>
              <w:bottom w:type="dxa" w:w="70"/>
              <w:right w:type="dxa" w:w="80"/>
            </w:tcMar>
          </w:tcPr>
          <w:p>
            <w:r>
              <w:rPr>
                <w:rFonts w:ascii="Arial" w:cs="Arial" w:eastAsia="Arial" w:hAnsi="Arial"/>
                <w:color w:val="1A1A2E"/>
                <w:sz w:val="18"/>
                <w:szCs w:val="18"/>
              </w:rPr>
              <w:t xml:space="preserve">HSMs; multi-signature; cold storage; BCP procedures</w:t>
            </w:r>
          </w:p>
        </w:tc>
        <w:tc>
          <w:tcPr>
            <w:tcW w:type="dxa" w:w="1920"/>
            <w:tcBorders>
              <w:top w:val="single" w:color="B8D8C4" w:sz="1"/>
              <w:left w:val="single" w:color="B8D8C4" w:sz="1"/>
              <w:bottom w:val="single" w:color="B8D8C4" w:sz="1"/>
              <w:right w:val="single" w:color="B8D8C4" w:sz="1"/>
            </w:tcBorders>
            <w:shd w:fill="EDF7F1" w:val="clear"/>
            <w:tcMar>
              <w:top w:type="dxa" w:w="70"/>
              <w:left w:type="dxa" w:w="120"/>
              <w:bottom w:type="dxa" w:w="70"/>
              <w:right w:type="dxa" w:w="80"/>
            </w:tcMar>
          </w:tcPr>
          <w:p>
            <w:r>
              <w:rPr>
                <w:rFonts w:ascii="Arial" w:cs="Arial" w:eastAsia="Arial" w:hAnsi="Arial"/>
                <w:color w:val="1A1A2E"/>
                <w:sz w:val="18"/>
                <w:szCs w:val="18"/>
              </w:rPr>
              <w:t xml:space="preserve">CISO / Operations</w:t>
            </w:r>
          </w:p>
        </w:tc>
      </w:tr>
      <w:tr>
        <w:tc>
          <w:tcPr>
            <w:tcW w:type="dxa" w:w="3200"/>
            <w:tcBorders>
              <w:top w:val="single" w:color="B8D8C4" w:sz="1"/>
              <w:left w:val="single" w:color="B8D8C4" w:sz="1"/>
              <w:bottom w:val="single" w:color="B8D8C4" w:sz="1"/>
              <w:right w:val="single" w:color="B8D8C4" w:sz="1"/>
            </w:tcBorders>
            <w:shd w:fill="FFFFFF" w:val="clear"/>
            <w:tcMar>
              <w:top w:type="dxa" w:w="70"/>
              <w:left w:type="dxa" w:w="120"/>
              <w:bottom w:type="dxa" w:w="70"/>
              <w:right w:type="dxa" w:w="80"/>
            </w:tcMar>
          </w:tcPr>
          <w:p>
            <w:r>
              <w:rPr>
                <w:rFonts w:ascii="Arial" w:cs="Arial" w:eastAsia="Arial" w:hAnsi="Arial"/>
                <w:color w:val="1A1A2E"/>
                <w:sz w:val="18"/>
                <w:szCs w:val="18"/>
              </w:rPr>
              <w:t xml:space="preserve">AML/CFT exposure</w:t>
            </w:r>
          </w:p>
        </w:tc>
        <w:tc>
          <w:tcPr>
            <w:tcW w:type="dxa" w:w="4600"/>
            <w:tcBorders>
              <w:top w:val="single" w:color="B8D8C4" w:sz="1"/>
              <w:left w:val="single" w:color="B8D8C4" w:sz="1"/>
              <w:bottom w:val="single" w:color="B8D8C4" w:sz="1"/>
              <w:right w:val="single" w:color="B8D8C4" w:sz="1"/>
            </w:tcBorders>
            <w:shd w:fill="FFFFFF" w:val="clear"/>
            <w:tcMar>
              <w:top w:type="dxa" w:w="70"/>
              <w:left w:type="dxa" w:w="120"/>
              <w:bottom w:type="dxa" w:w="70"/>
              <w:right w:type="dxa" w:w="80"/>
            </w:tcMar>
          </w:tcPr>
          <w:p>
            <w:r>
              <w:rPr>
                <w:rFonts w:ascii="Arial" w:cs="Arial" w:eastAsia="Arial" w:hAnsi="Arial"/>
                <w:color w:val="1A1A2E"/>
                <w:sz w:val="18"/>
                <w:szCs w:val="18"/>
              </w:rPr>
              <w:t xml:space="preserve">Enhanced CDD; blockchain analytics; Travel Rule compliance; STR protocol</w:t>
            </w:r>
          </w:p>
        </w:tc>
        <w:tc>
          <w:tcPr>
            <w:tcW w:type="dxa" w:w="1920"/>
            <w:tcBorders>
              <w:top w:val="single" w:color="B8D8C4" w:sz="1"/>
              <w:left w:val="single" w:color="B8D8C4" w:sz="1"/>
              <w:bottom w:val="single" w:color="B8D8C4" w:sz="1"/>
              <w:right w:val="single" w:color="B8D8C4" w:sz="1"/>
            </w:tcBorders>
            <w:shd w:fill="FFFFFF" w:val="clear"/>
            <w:tcMar>
              <w:top w:type="dxa" w:w="70"/>
              <w:left w:type="dxa" w:w="120"/>
              <w:bottom w:type="dxa" w:w="70"/>
              <w:right w:type="dxa" w:w="80"/>
            </w:tcMar>
          </w:tcPr>
          <w:p>
            <w:r>
              <w:rPr>
                <w:rFonts w:ascii="Arial" w:cs="Arial" w:eastAsia="Arial" w:hAnsi="Arial"/>
                <w:color w:val="1A1A2E"/>
                <w:sz w:val="18"/>
                <w:szCs w:val="18"/>
              </w:rPr>
              <w:t xml:space="preserve">Compliance / MLRO</w:t>
            </w:r>
          </w:p>
        </w:tc>
      </w:tr>
      <w:tr>
        <w:tc>
          <w:tcPr>
            <w:tcW w:type="dxa" w:w="3200"/>
            <w:tcBorders>
              <w:top w:val="single" w:color="B8D8C4" w:sz="1"/>
              <w:left w:val="single" w:color="B8D8C4" w:sz="1"/>
              <w:bottom w:val="single" w:color="B8D8C4" w:sz="1"/>
              <w:right w:val="single" w:color="B8D8C4" w:sz="1"/>
            </w:tcBorders>
            <w:shd w:fill="EDF7F1" w:val="clear"/>
            <w:tcMar>
              <w:top w:type="dxa" w:w="70"/>
              <w:left w:type="dxa" w:w="120"/>
              <w:bottom w:type="dxa" w:w="70"/>
              <w:right w:type="dxa" w:w="80"/>
            </w:tcMar>
          </w:tcPr>
          <w:p>
            <w:r>
              <w:rPr>
                <w:rFonts w:ascii="Arial" w:cs="Arial" w:eastAsia="Arial" w:hAnsi="Arial"/>
                <w:color w:val="1A1A2E"/>
                <w:sz w:val="18"/>
                <w:szCs w:val="18"/>
              </w:rPr>
              <w:t xml:space="preserve">Data privacy / PDPA conflict</w:t>
            </w:r>
          </w:p>
        </w:tc>
        <w:tc>
          <w:tcPr>
            <w:tcW w:type="dxa" w:w="4600"/>
            <w:tcBorders>
              <w:top w:val="single" w:color="B8D8C4" w:sz="1"/>
              <w:left w:val="single" w:color="B8D8C4" w:sz="1"/>
              <w:bottom w:val="single" w:color="B8D8C4" w:sz="1"/>
              <w:right w:val="single" w:color="B8D8C4" w:sz="1"/>
            </w:tcBorders>
            <w:shd w:fill="EDF7F1" w:val="clear"/>
            <w:tcMar>
              <w:top w:type="dxa" w:w="70"/>
              <w:left w:type="dxa" w:w="120"/>
              <w:bottom w:type="dxa" w:w="70"/>
              <w:right w:type="dxa" w:w="80"/>
            </w:tcMar>
          </w:tcPr>
          <w:p>
            <w:r>
              <w:rPr>
                <w:rFonts w:ascii="Arial" w:cs="Arial" w:eastAsia="Arial" w:hAnsi="Arial"/>
                <w:color w:val="1A1A2E"/>
                <w:sz w:val="18"/>
                <w:szCs w:val="18"/>
              </w:rPr>
              <w:t xml:space="preserve">On-chain/off-chain hybrid architecture; hash-only on-chain storage</w:t>
            </w:r>
          </w:p>
        </w:tc>
        <w:tc>
          <w:tcPr>
            <w:tcW w:type="dxa" w:w="1920"/>
            <w:tcBorders>
              <w:top w:val="single" w:color="B8D8C4" w:sz="1"/>
              <w:left w:val="single" w:color="B8D8C4" w:sz="1"/>
              <w:bottom w:val="single" w:color="B8D8C4" w:sz="1"/>
              <w:right w:val="single" w:color="B8D8C4" w:sz="1"/>
            </w:tcBorders>
            <w:shd w:fill="EDF7F1" w:val="clear"/>
            <w:tcMar>
              <w:top w:type="dxa" w:w="70"/>
              <w:left w:type="dxa" w:w="120"/>
              <w:bottom w:type="dxa" w:w="70"/>
              <w:right w:type="dxa" w:w="80"/>
            </w:tcMar>
          </w:tcPr>
          <w:p>
            <w:r>
              <w:rPr>
                <w:rFonts w:ascii="Arial" w:cs="Arial" w:eastAsia="Arial" w:hAnsi="Arial"/>
                <w:color w:val="1A1A2E"/>
                <w:sz w:val="18"/>
                <w:szCs w:val="18"/>
              </w:rPr>
              <w:t xml:space="preserve">Technology / DPO</w:t>
            </w:r>
          </w:p>
        </w:tc>
      </w:tr>
      <w:tr>
        <w:tc>
          <w:tcPr>
            <w:tcW w:type="dxa" w:w="3200"/>
            <w:tcBorders>
              <w:top w:val="single" w:color="B8D8C4" w:sz="1"/>
              <w:left w:val="single" w:color="B8D8C4" w:sz="1"/>
              <w:bottom w:val="single" w:color="B8D8C4" w:sz="1"/>
              <w:right w:val="single" w:color="B8D8C4" w:sz="1"/>
            </w:tcBorders>
            <w:shd w:fill="FFFFFF" w:val="clear"/>
            <w:tcMar>
              <w:top w:type="dxa" w:w="70"/>
              <w:left w:type="dxa" w:w="120"/>
              <w:bottom w:type="dxa" w:w="70"/>
              <w:right w:type="dxa" w:w="80"/>
            </w:tcMar>
          </w:tcPr>
          <w:p>
            <w:r>
              <w:rPr>
                <w:rFonts w:ascii="Arial" w:cs="Arial" w:eastAsia="Arial" w:hAnsi="Arial"/>
                <w:color w:val="1A1A2E"/>
                <w:sz w:val="18"/>
                <w:szCs w:val="18"/>
              </w:rPr>
              <w:t xml:space="preserve">Legacy system integration</w:t>
            </w:r>
          </w:p>
        </w:tc>
        <w:tc>
          <w:tcPr>
            <w:tcW w:type="dxa" w:w="4600"/>
            <w:tcBorders>
              <w:top w:val="single" w:color="B8D8C4" w:sz="1"/>
              <w:left w:val="single" w:color="B8D8C4" w:sz="1"/>
              <w:bottom w:val="single" w:color="B8D8C4" w:sz="1"/>
              <w:right w:val="single" w:color="B8D8C4" w:sz="1"/>
            </w:tcBorders>
            <w:shd w:fill="FFFFFF" w:val="clear"/>
            <w:tcMar>
              <w:top w:type="dxa" w:w="70"/>
              <w:left w:type="dxa" w:w="120"/>
              <w:bottom w:type="dxa" w:w="70"/>
              <w:right w:type="dxa" w:w="80"/>
            </w:tcMar>
          </w:tcPr>
          <w:p>
            <w:r>
              <w:rPr>
                <w:rFonts w:ascii="Arial" w:cs="Arial" w:eastAsia="Arial" w:hAnsi="Arial"/>
                <w:color w:val="1A1A2E"/>
                <w:sz w:val="18"/>
                <w:szCs w:val="18"/>
              </w:rPr>
              <w:t xml:space="preserve">ISO 20022 alignment; phased API-based integration; vendor specialist support</w:t>
            </w:r>
          </w:p>
        </w:tc>
        <w:tc>
          <w:tcPr>
            <w:tcW w:type="dxa" w:w="1920"/>
            <w:tcBorders>
              <w:top w:val="single" w:color="B8D8C4" w:sz="1"/>
              <w:left w:val="single" w:color="B8D8C4" w:sz="1"/>
              <w:bottom w:val="single" w:color="B8D8C4" w:sz="1"/>
              <w:right w:val="single" w:color="B8D8C4" w:sz="1"/>
            </w:tcBorders>
            <w:shd w:fill="FFFFFF" w:val="clear"/>
            <w:tcMar>
              <w:top w:type="dxa" w:w="70"/>
              <w:left w:type="dxa" w:w="120"/>
              <w:bottom w:type="dxa" w:w="70"/>
              <w:right w:type="dxa" w:w="80"/>
            </w:tcMar>
          </w:tcPr>
          <w:p>
            <w:r>
              <w:rPr>
                <w:rFonts w:ascii="Arial" w:cs="Arial" w:eastAsia="Arial" w:hAnsi="Arial"/>
                <w:color w:val="1A1A2E"/>
                <w:sz w:val="18"/>
                <w:szCs w:val="18"/>
              </w:rPr>
              <w:t xml:space="preserve">Technology / Operations</w:t>
            </w:r>
          </w:p>
        </w:tc>
      </w:tr>
      <w:tr>
        <w:tc>
          <w:tcPr>
            <w:tcW w:type="dxa" w:w="3200"/>
            <w:tcBorders>
              <w:top w:val="single" w:color="B8D8C4" w:sz="1"/>
              <w:left w:val="single" w:color="B8D8C4" w:sz="1"/>
              <w:bottom w:val="single" w:color="B8D8C4" w:sz="1"/>
              <w:right w:val="single" w:color="B8D8C4" w:sz="1"/>
            </w:tcBorders>
            <w:shd w:fill="EDF7F1" w:val="clear"/>
            <w:tcMar>
              <w:top w:type="dxa" w:w="70"/>
              <w:left w:type="dxa" w:w="120"/>
              <w:bottom w:type="dxa" w:w="70"/>
              <w:right w:type="dxa" w:w="80"/>
            </w:tcMar>
          </w:tcPr>
          <w:p>
            <w:r>
              <w:rPr>
                <w:rFonts w:ascii="Arial" w:cs="Arial" w:eastAsia="Arial" w:hAnsi="Arial"/>
                <w:color w:val="1A1A2E"/>
                <w:sz w:val="18"/>
                <w:szCs w:val="18"/>
              </w:rPr>
              <w:t xml:space="preserve">Network governance</w:t>
            </w:r>
          </w:p>
        </w:tc>
        <w:tc>
          <w:tcPr>
            <w:tcW w:type="dxa" w:w="4600"/>
            <w:tcBorders>
              <w:top w:val="single" w:color="B8D8C4" w:sz="1"/>
              <w:left w:val="single" w:color="B8D8C4" w:sz="1"/>
              <w:bottom w:val="single" w:color="B8D8C4" w:sz="1"/>
              <w:right w:val="single" w:color="B8D8C4" w:sz="1"/>
            </w:tcBorders>
            <w:shd w:fill="EDF7F1" w:val="clear"/>
            <w:tcMar>
              <w:top w:type="dxa" w:w="70"/>
              <w:left w:type="dxa" w:w="120"/>
              <w:bottom w:type="dxa" w:w="70"/>
              <w:right w:type="dxa" w:w="80"/>
            </w:tcMar>
          </w:tcPr>
          <w:p>
            <w:r>
              <w:rPr>
                <w:rFonts w:ascii="Arial" w:cs="Arial" w:eastAsia="Arial" w:hAnsi="Arial"/>
                <w:color w:val="1A1A2E"/>
                <w:sz w:val="18"/>
                <w:szCs w:val="18"/>
              </w:rPr>
              <w:t xml:space="preserve">Formal governance agreement with all participants pre-launch</w:t>
            </w:r>
          </w:p>
        </w:tc>
        <w:tc>
          <w:tcPr>
            <w:tcW w:type="dxa" w:w="1920"/>
            <w:tcBorders>
              <w:top w:val="single" w:color="B8D8C4" w:sz="1"/>
              <w:left w:val="single" w:color="B8D8C4" w:sz="1"/>
              <w:bottom w:val="single" w:color="B8D8C4" w:sz="1"/>
              <w:right w:val="single" w:color="B8D8C4" w:sz="1"/>
            </w:tcBorders>
            <w:shd w:fill="EDF7F1" w:val="clear"/>
            <w:tcMar>
              <w:top w:type="dxa" w:w="70"/>
              <w:left w:type="dxa" w:w="120"/>
              <w:bottom w:type="dxa" w:w="70"/>
              <w:right w:type="dxa" w:w="80"/>
            </w:tcMar>
          </w:tcPr>
          <w:p>
            <w:r>
              <w:rPr>
                <w:rFonts w:ascii="Arial" w:cs="Arial" w:eastAsia="Arial" w:hAnsi="Arial"/>
                <w:color w:val="1A1A2E"/>
                <w:sz w:val="18"/>
                <w:szCs w:val="18"/>
              </w:rPr>
              <w:t xml:space="preserve">Legal / Strategy</w:t>
            </w:r>
          </w:p>
        </w:tc>
      </w:tr>
      <w:tr>
        <w:tc>
          <w:tcPr>
            <w:tcW w:type="dxa" w:w="3200"/>
            <w:tcBorders>
              <w:top w:val="single" w:color="B8D8C4" w:sz="1"/>
              <w:left w:val="single" w:color="B8D8C4" w:sz="1"/>
              <w:bottom w:val="single" w:color="B8D8C4" w:sz="1"/>
              <w:right w:val="single" w:color="B8D8C4" w:sz="1"/>
            </w:tcBorders>
            <w:shd w:fill="FFFFFF" w:val="clear"/>
            <w:tcMar>
              <w:top w:type="dxa" w:w="70"/>
              <w:left w:type="dxa" w:w="120"/>
              <w:bottom w:type="dxa" w:w="70"/>
              <w:right w:type="dxa" w:w="80"/>
            </w:tcMar>
          </w:tcPr>
          <w:p>
            <w:r>
              <w:rPr>
                <w:rFonts w:ascii="Arial" w:cs="Arial" w:eastAsia="Arial" w:hAnsi="Arial"/>
                <w:color w:val="1A1A2E"/>
                <w:sz w:val="18"/>
                <w:szCs w:val="18"/>
              </w:rPr>
              <w:t xml:space="preserve">Business continuity</w:t>
            </w:r>
          </w:p>
        </w:tc>
        <w:tc>
          <w:tcPr>
            <w:tcW w:type="dxa" w:w="4600"/>
            <w:tcBorders>
              <w:top w:val="single" w:color="B8D8C4" w:sz="1"/>
              <w:left w:val="single" w:color="B8D8C4" w:sz="1"/>
              <w:bottom w:val="single" w:color="B8D8C4" w:sz="1"/>
              <w:right w:val="single" w:color="B8D8C4" w:sz="1"/>
            </w:tcBorders>
            <w:shd w:fill="FFFFFF" w:val="clear"/>
            <w:tcMar>
              <w:top w:type="dxa" w:w="70"/>
              <w:left w:type="dxa" w:w="120"/>
              <w:bottom w:type="dxa" w:w="70"/>
              <w:right w:type="dxa" w:w="80"/>
            </w:tcMar>
          </w:tcPr>
          <w:p>
            <w:r>
              <w:rPr>
                <w:rFonts w:ascii="Arial" w:cs="Arial" w:eastAsia="Arial" w:hAnsi="Arial"/>
                <w:color w:val="1A1A2E"/>
                <w:sz w:val="18"/>
                <w:szCs w:val="18"/>
              </w:rPr>
              <w:t xml:space="preserve">SWIFT fallback maintained; DLT BCP procedures; phased decommission</w:t>
            </w:r>
          </w:p>
        </w:tc>
        <w:tc>
          <w:tcPr>
            <w:tcW w:type="dxa" w:w="1920"/>
            <w:tcBorders>
              <w:top w:val="single" w:color="B8D8C4" w:sz="1"/>
              <w:left w:val="single" w:color="B8D8C4" w:sz="1"/>
              <w:bottom w:val="single" w:color="B8D8C4" w:sz="1"/>
              <w:right w:val="single" w:color="B8D8C4" w:sz="1"/>
            </w:tcBorders>
            <w:shd w:fill="FFFFFF" w:val="clear"/>
            <w:tcMar>
              <w:top w:type="dxa" w:w="70"/>
              <w:left w:type="dxa" w:w="120"/>
              <w:bottom w:type="dxa" w:w="70"/>
              <w:right w:type="dxa" w:w="80"/>
            </w:tcMar>
          </w:tcPr>
          <w:p>
            <w:r>
              <w:rPr>
                <w:rFonts w:ascii="Arial" w:cs="Arial" w:eastAsia="Arial" w:hAnsi="Arial"/>
                <w:color w:val="1A1A2E"/>
                <w:sz w:val="18"/>
                <w:szCs w:val="18"/>
              </w:rPr>
              <w:t xml:space="preserve">Operations / CISO</w:t>
            </w:r>
          </w:p>
        </w:tc>
      </w:tr>
    </w:tbl>
    <w:p>
      <w:pPr>
        <w:spacing w:after="24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0B2447" w:sz="1"/>
              <w:left w:val="single" w:color="0B2447" w:sz="1"/>
              <w:bottom w:val="single" w:color="0B2447" w:sz="1"/>
              <w:right w:val="single" w:color="0B2447" w:sz="1"/>
            </w:tcBorders>
            <w:shd w:fill="0B2447" w:val="clear"/>
            <w:tcMar>
              <w:top w:type="dxa" w:w="320"/>
              <w:left w:type="dxa" w:w="400"/>
              <w:bottom w:type="dxa" w:w="320"/>
              <w:right w:type="dxa" w:w="400"/>
            </w:tcMar>
          </w:tcPr>
          <w:p>
            <w:pPr>
              <w:spacing w:after="60"/>
              <w:jc w:val="center"/>
            </w:pPr>
            <w:r>
              <w:rPr>
                <w:rFonts w:ascii="Arial" w:cs="Arial" w:eastAsia="Arial" w:hAnsi="Arial"/>
                <w:b/>
                <w:bCs/>
                <w:color w:val="FFFFFF"/>
                <w:sz w:val="30"/>
                <w:szCs w:val="30"/>
              </w:rPr>
              <w:t xml:space="preserve">Advisory Conclusion — Recommendations to CFG's Board &amp; MAS Innovation Office</w:t>
            </w:r>
          </w:p>
          <w:p>
            <w:pPr>
              <w:spacing w:after="200"/>
              <w:jc w:val="center"/>
            </w:pPr>
            <w:r>
              <w:rPr>
                <w:rFonts w:ascii="Arial" w:cs="Arial" w:eastAsia="Arial" w:hAnsi="Arial"/>
                <w:i/>
                <w:iCs/>
                <w:color w:val="A8D5B5"/>
                <w:sz w:val="18"/>
                <w:szCs w:val="18"/>
              </w:rPr>
              <w:t xml:space="preserve">Phase 1: Blockchain &amp; DLT Adoption for Cross-Border Payments | FinCrest Advisory</w:t>
            </w:r>
          </w:p>
          <w:p>
            <w:pPr>
              <w:spacing w:after="120"/>
            </w:pPr>
            <w:r>
              <w:rPr>
                <w:rFonts w:ascii="Arial" w:cs="Arial" w:eastAsia="Arial" w:hAnsi="Arial"/>
                <w:b/>
                <w:bCs/>
                <w:color w:val="A8D5B5"/>
                <w:sz w:val="20"/>
                <w:szCs w:val="20"/>
              </w:rPr>
              <w:t xml:space="preserve">Engage MAS via Regulatory Sandbox: </w:t>
            </w:r>
            <w:r>
              <w:rPr>
                <w:rFonts w:ascii="Arial" w:cs="Arial" w:eastAsia="Arial" w:hAnsi="Arial"/>
                <w:color w:val="C8D8EE"/>
                <w:sz w:val="20"/>
                <w:szCs w:val="20"/>
              </w:rPr>
              <w:t xml:space="preserve">Validate the DLT pilot architecture with MAS before any technical build. Provides regulatory certainty and demonstrates governance maturity.</w:t>
            </w:r>
          </w:p>
          <w:p>
            <w:pPr>
              <w:spacing w:after="120"/>
            </w:pPr>
            <w:r>
              <w:rPr>
                <w:rFonts w:ascii="Arial" w:cs="Arial" w:eastAsia="Arial" w:hAnsi="Arial"/>
                <w:b/>
                <w:bCs/>
                <w:color w:val="A8D5B5"/>
                <w:sz w:val="20"/>
                <w:szCs w:val="20"/>
              </w:rPr>
              <w:t xml:space="preserve">Select a Permissioned Blockchain: </w:t>
            </w:r>
            <w:r>
              <w:rPr>
                <w:rFonts w:ascii="Arial" w:cs="Arial" w:eastAsia="Arial" w:hAnsi="Arial"/>
                <w:color w:val="C8D8EE"/>
                <w:sz w:val="20"/>
                <w:szCs w:val="20"/>
              </w:rPr>
              <w:t xml:space="preserve">R3 Corda or Hyperledger Fabric — purpose-built for financial institutions. Establish a formal Network Governance Agreement with all participants.</w:t>
            </w:r>
          </w:p>
          <w:p>
            <w:pPr>
              <w:spacing w:after="120"/>
            </w:pPr>
            <w:r>
              <w:rPr>
                <w:rFonts w:ascii="Arial" w:cs="Arial" w:eastAsia="Arial" w:hAnsi="Arial"/>
                <w:b/>
                <w:bCs/>
                <w:color w:val="A8D5B5"/>
                <w:sz w:val="20"/>
                <w:szCs w:val="20"/>
              </w:rPr>
              <w:t xml:space="preserve">Commission Independent Smart Contract Audits: </w:t>
            </w:r>
            <w:r>
              <w:rPr>
                <w:rFonts w:ascii="Arial" w:cs="Arial" w:eastAsia="Arial" w:hAnsi="Arial"/>
                <w:color w:val="C8D8EE"/>
                <w:sz w:val="20"/>
                <w:szCs w:val="20"/>
              </w:rPr>
              <w:t xml:space="preserve">No payment logic goes on-chain without a clean third-party audit report. Implement circuit breakers and a lifecycle management policy.</w:t>
            </w:r>
          </w:p>
          <w:p>
            <w:pPr>
              <w:spacing w:after="120"/>
            </w:pPr>
            <w:r>
              <w:rPr>
                <w:rFonts w:ascii="Arial" w:cs="Arial" w:eastAsia="Arial" w:hAnsi="Arial"/>
                <w:b/>
                <w:bCs/>
                <w:color w:val="A8D5B5"/>
                <w:sz w:val="20"/>
                <w:szCs w:val="20"/>
              </w:rPr>
              <w:t xml:space="preserve">Implement Full AML/CFT Controls from Launch: </w:t>
            </w:r>
            <w:r>
              <w:rPr>
                <w:rFonts w:ascii="Arial" w:cs="Arial" w:eastAsia="Arial" w:hAnsi="Arial"/>
                <w:color w:val="C8D8EE"/>
                <w:sz w:val="20"/>
                <w:szCs w:val="20"/>
              </w:rPr>
              <w:t xml:space="preserve">Travel Rule compliance, enhanced CDD, blockchain analytics tools, and STR protocols must be operational before the pilot accepts live transactions.</w:t>
            </w:r>
          </w:p>
          <w:p>
            <w:pPr>
              <w:spacing w:after="120"/>
            </w:pPr>
            <w:r>
              <w:rPr>
                <w:rFonts w:ascii="Arial" w:cs="Arial" w:eastAsia="Arial" w:hAnsi="Arial"/>
                <w:b/>
                <w:bCs/>
                <w:color w:val="A8D5B5"/>
                <w:sz w:val="20"/>
                <w:szCs w:val="20"/>
              </w:rPr>
              <w:t xml:space="preserve">Adopt a Hybrid On-Chain/Off-Chain Architecture: </w:t>
            </w:r>
            <w:r>
              <w:rPr>
                <w:rFonts w:ascii="Arial" w:cs="Arial" w:eastAsia="Arial" w:hAnsi="Arial"/>
                <w:color w:val="C8D8EE"/>
                <w:sz w:val="20"/>
                <w:szCs w:val="20"/>
              </w:rPr>
              <w:t xml:space="preserve">Resolve the PDPA immutability conflict — store only hashes on-chain, personal data in a deletable off-chain database.</w:t>
            </w:r>
          </w:p>
          <w:p>
            <w:pPr>
              <w:spacing w:after="120"/>
            </w:pPr>
            <w:r>
              <w:rPr>
                <w:rFonts w:ascii="Arial" w:cs="Arial" w:eastAsia="Arial" w:hAnsi="Arial"/>
                <w:b/>
                <w:bCs/>
                <w:color w:val="A8D5B5"/>
                <w:sz w:val="20"/>
                <w:szCs w:val="20"/>
              </w:rPr>
              <w:t xml:space="preserve">Phase the Rollout: </w:t>
            </w:r>
            <w:r>
              <w:rPr>
                <w:rFonts w:ascii="Arial" w:cs="Arial" w:eastAsia="Arial" w:hAnsi="Arial"/>
                <w:color w:val="C8D8EE"/>
                <w:sz w:val="20"/>
                <w:szCs w:val="20"/>
              </w:rPr>
              <w:t xml:space="preserve">Internal first, then bilateral, then multi-corridor. Maintain SWIFT as fallback. Present Board and MAS gate-reports at each phase.</w:t>
            </w:r>
          </w:p>
          <w:p>
            <w:pPr>
              <w:spacing w:after="120"/>
            </w:pPr>
            <w:r>
              <w:rPr>
                <w:rFonts w:ascii="Arial" w:cs="Arial" w:eastAsia="Arial" w:hAnsi="Arial"/>
                <w:b/>
                <w:bCs/>
                <w:color w:val="A8D5B5"/>
                <w:sz w:val="20"/>
                <w:szCs w:val="20"/>
              </w:rPr>
              <w:t xml:space="preserve">Position CFG as a DLT Leader: </w:t>
            </w:r>
            <w:r>
              <w:rPr>
                <w:rFonts w:ascii="Arial" w:cs="Arial" w:eastAsia="Arial" w:hAnsi="Arial"/>
                <w:color w:val="C8D8EE"/>
                <w:sz w:val="20"/>
                <w:szCs w:val="20"/>
              </w:rPr>
              <w:t xml:space="preserve">Aligned with MAS Project Ubin/mBridge, a well-governed pilot positions CFG to set the regional standard for compliant blockchain-based cross-border payments.</w:t>
            </w:r>
          </w:p>
          <w:p>
            <w:pPr>
              <w:spacing w:after="60" w:before="180"/>
            </w:pPr>
            <w:r>
              <w:rPr>
                <w:rFonts w:ascii="Arial" w:cs="Arial" w:eastAsia="Arial" w:hAnsi="Arial"/>
                <w:i/>
                <w:iCs/>
                <w:color w:val="A8D5B5"/>
                <w:sz w:val="20"/>
                <w:szCs w:val="20"/>
              </w:rPr>
              <w:t xml:space="preserve">"The DLT pilot is not just a technology project — it is a strategic pivot. Done right, with governance first and innovation second, CFG can leapfrog its fintech competitors while building the regulatory trust that will sustain its cross-border payments leadership for the decade ahead."</w:t>
            </w:r>
          </w:p>
          <w:p>
            <w:pPr>
              <w:spacing w:after="0" w:before="80"/>
              <w:jc w:val="right"/>
            </w:pPr>
            <w:r>
              <w:rPr>
                <w:rFonts w:ascii="Arial" w:cs="Arial" w:eastAsia="Arial" w:hAnsi="Arial"/>
                <w:color w:val="8099BB"/>
                <w:sz w:val="18"/>
                <w:szCs w:val="18"/>
              </w:rPr>
              <w:t xml:space="preserve">— FinCrest Advisory, Phase 1: Blockchain &amp; DLT Adoption Advisory</w:t>
            </w:r>
          </w:p>
        </w:tc>
      </w:tr>
    </w:tbl>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6B3C" w:sz="4" w:space="1"/>
      </w:pBdr>
      <w:spacing w:before="60"/>
      <w:jc w:val="center"/>
    </w:pPr>
    <w:r>
      <w:rPr>
        <w:rFonts w:ascii="Arial" w:cs="Arial" w:eastAsia="Arial" w:hAnsi="Arial"/>
        <w:color w:val="5A6A85"/>
        <w:sz w:val="16"/>
        <w:szCs w:val="16"/>
      </w:rPr>
      <w:t xml:space="preserve">Page </w:t>
    </w:r>
    <w:r>
      <w:rPr>
        <w:rFonts w:ascii="Arial" w:cs="Arial" w:eastAsia="Arial" w:hAnsi="Arial"/>
        <w:color w:val="5A6A85"/>
        <w:sz w:val="16"/>
        <w:szCs w:val="16"/>
      </w:rPr>
      <w:fldChar w:fldCharType="begin"/>
      <w:instrText xml:space="preserve">PAGE</w:instrText>
      <w:fldChar w:fldCharType="separate"/>
      <w:fldChar w:fldCharType="end"/>
    </w:r>
    <w:r>
      <w:rPr>
        <w:rFonts w:ascii="Arial" w:cs="Arial" w:eastAsia="Arial" w:hAnsi="Arial"/>
        <w:color w:val="5A6A85"/>
        <w:sz w:val="16"/>
        <w:szCs w:val="16"/>
      </w:rPr>
      <w:t xml:space="preserve">  |  FinCrest Advisory — CrossLink Financial Group (CFG), Singapore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480"/>
      <w:gridCol w:w="3240"/>
    </w:tblGrid>
    <w:tr>
      <w:tc>
        <w:tcPr>
          <w:tcW w:type="dxa" w:w="6480"/>
          <w:tcBorders>
            <w:top w:val="none" w:color="FFFFFF" w:sz="0"/>
            <w:left w:val="none" w:color="FFFFFF" w:sz="0"/>
            <w:bottom w:val="single" w:color="1A6B3C" w:sz="4"/>
            <w:right w:val="none" w:color="FFFFFF" w:sz="0"/>
          </w:tcBorders>
          <w:tcMar>
            <w:top w:type="dxa" w:w="0"/>
            <w:left w:type="dxa" w:w="0"/>
            <w:bottom w:type="dxa" w:w="60"/>
            <w:right w:type="dxa" w:w="0"/>
          </w:tcMar>
        </w:tcPr>
        <w:p>
          <w:pPr>
            <w:spacing w:after="100"/>
          </w:pPr>
          <w:r>
            <w:rPr>
              <w:rFonts w:ascii="Arial" w:cs="Arial" w:eastAsia="Arial" w:hAnsi="Arial"/>
              <w:b/>
              <w:bCs/>
              <w:color w:val="0B2447"/>
              <w:sz w:val="16"/>
              <w:szCs w:val="16"/>
            </w:rPr>
            <w:t xml:space="preserve">Project CrossLink — Phase 1: Blockchain &amp; DLT Adoption</w:t>
          </w:r>
        </w:p>
      </w:tc>
      <w:tc>
        <w:tcPr>
          <w:tcW w:type="dxa" w:w="3240"/>
          <w:tcBorders>
            <w:top w:val="none" w:color="FFFFFF" w:sz="0"/>
            <w:left w:val="none" w:color="FFFFFF" w:sz="0"/>
            <w:bottom w:val="single" w:color="1A6B3C" w:sz="4"/>
            <w:right w:val="none" w:color="FFFFFF" w:sz="0"/>
          </w:tcBorders>
          <w:tcMar>
            <w:top w:type="dxa" w:w="0"/>
            <w:left w:type="dxa" w:w="0"/>
            <w:bottom w:type="dxa" w:w="60"/>
            <w:right w:type="dxa" w:w="0"/>
          </w:tcMar>
        </w:tcPr>
        <w:p>
          <w:pPr>
            <w:spacing w:after="100"/>
            <w:jc w:val="right"/>
          </w:pPr>
          <w:r>
            <w:rPr>
              <w:rFonts w:ascii="Arial" w:cs="Arial" w:eastAsia="Arial" w:hAnsi="Arial"/>
              <w:color w:val="5A6A85"/>
              <w:sz w:val="16"/>
              <w:szCs w:val="16"/>
            </w:rPr>
            <w:t xml:space="preserve">FinCrest Advisory  |  Confidential</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FFFFFF"/>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0B2447"/>
      <w:sz w:val="26"/>
      <w:szCs w:val="26"/>
    </w:rPr>
  </w:style>
  <w:style w:type="paragraph" w:styleId="Heading3">
    <w:name w:val="Heading 3"/>
    <w:basedOn w:val="Normal"/>
    <w:next w:val="Normal"/>
    <w:qFormat/>
    <w:pPr>
      <w:spacing w:after="80" w:before="180"/>
      <w:outlineLvl w:val="2"/>
    </w:pPr>
    <w:rPr>
      <w:rFonts w:ascii="Arial" w:cs="Arial" w:eastAsia="Arial" w:hAnsi="Arial"/>
      <w:b/>
      <w:bCs/>
      <w:color w:val="1A6B3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2026-05-15T06:01:21.824Z</dcterms:created>
  <dcterms:modified xsi:type="dcterms:W3CDTF">2026-05-15T06:01:21.846Z</dcterms:modified>
</cp:coreProperties>
</file>

<file path=docProps/custom.xml><?xml version="1.0" encoding="utf-8"?>
<Properties xmlns="http://schemas.openxmlformats.org/officeDocument/2006/custom-properties" xmlns:vt="http://schemas.openxmlformats.org/officeDocument/2006/docPropsVTypes"/>
</file>