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B2447" w:sz="1"/>
              <w:left w:val="single" w:color="0B2447" w:sz="1"/>
              <w:bottom w:val="single" w:color="0B2447" w:sz="1"/>
              <w:right w:val="single" w:color="0B2447" w:sz="1"/>
            </w:tcBorders>
            <w:shd w:fill="0B2447" w:val="clear"/>
            <w:tcMar>
              <w:top w:type="dxa" w:w="480"/>
              <w:left w:type="dxa" w:w="480"/>
              <w:bottom w:type="dxa" w:w="480"/>
              <w:right w:type="dxa" w:w="480"/>
            </w:tcMar>
          </w:tcPr>
          <w:p>
            <w:pPr>
              <w:spacing w:after="60"/>
              <w:jc w:val="center"/>
            </w:pPr>
            <w:r>
              <w:rPr>
                <w:rFonts w:ascii="Arial" w:cs="Arial" w:eastAsia="Arial" w:hAnsi="Arial"/>
                <w:b/>
                <w:bCs/>
                <w:color w:val="A5D7E8"/>
                <w:sz w:val="18"/>
                <w:szCs w:val="18"/>
              </w:rPr>
              <w:t xml:space="preserve">PROJECT CROSSLINK — PHASE 2</w:t>
            </w:r>
          </w:p>
          <w:p>
            <w:pPr>
              <w:spacing w:after="120"/>
              <w:jc w:val="center"/>
            </w:pPr>
            <w:r>
              <w:rPr>
                <w:rFonts w:ascii="Arial" w:cs="Arial" w:eastAsia="Arial" w:hAnsi="Arial"/>
                <w:b/>
                <w:bCs/>
                <w:color w:val="FFFFFF"/>
                <w:sz w:val="48"/>
                <w:szCs w:val="48"/>
              </w:rPr>
              <w:t xml:space="preserve">Digital Assets &amp; Tokenization</w:t>
            </w:r>
          </w:p>
          <w:p>
            <w:pPr>
              <w:spacing w:after="200"/>
              <w:jc w:val="center"/>
            </w:pPr>
            <w:r>
              <w:rPr>
                <w:rFonts w:ascii="Arial" w:cs="Arial" w:eastAsia="Arial" w:hAnsi="Arial"/>
                <w:color w:val="A0B4D0"/>
                <w:sz w:val="22"/>
                <w:szCs w:val="22"/>
              </w:rPr>
              <w:t xml:space="preserve">Regulatory Advisory to CrossLink Financial Group (CFG)</w:t>
            </w:r>
          </w:p>
          <w:p>
            <w:pPr>
              <w:spacing w:after="80"/>
              <w:jc w:val="center"/>
            </w:pPr>
            <w:r>
              <w:rPr>
                <w:rFonts w:ascii="Arial" w:cs="Arial" w:eastAsia="Arial" w:hAnsi="Arial"/>
                <w:color w:val="A5D7E8"/>
                <w:sz w:val="18"/>
                <w:szCs w:val="18"/>
              </w:rPr>
              <w:t xml:space="preserve">Prepared by: FinCrest Advisory (FA)  |  Jurisdiction: Singapore</w:t>
            </w:r>
          </w:p>
          <w:p>
            <w:pPr>
              <w:spacing w:after="0"/>
              <w:jc w:val="center"/>
            </w:pPr>
            <w:r>
              <w:rPr>
                <w:rFonts w:ascii="Arial" w:cs="Arial" w:eastAsia="Arial" w:hAnsi="Arial"/>
                <w:color w:val="8099BB"/>
                <w:sz w:val="17"/>
                <w:szCs w:val="17"/>
              </w:rPr>
              <w:t xml:space="preserve">Regulatory Frameworks: PSA · SFA · MAS Guide to Digital Token Offerings (Nov 2018) · MAS Notices</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D8EE" w:sz="1"/>
              <w:left w:val="single" w:color="D97706" w:sz="18"/>
              <w:bottom w:val="single" w:color="C8D8EE" w:sz="1"/>
              <w:right w:val="single" w:color="C8D8EE"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8"/>
                <w:szCs w:val="18"/>
              </w:rPr>
              <w:t xml:space="preserve">⚠  SCENARIO CONTEXT</w:t>
            </w:r>
          </w:p>
          <w:p>
            <w:pPr>
              <w:spacing w:after="100"/>
            </w:pPr>
            <w:r>
              <w:rPr>
                <w:rFonts w:ascii="Arial" w:cs="Arial" w:eastAsia="Arial" w:hAnsi="Arial"/>
                <w:color w:val="78350F"/>
                <w:sz w:val="19"/>
                <w:szCs w:val="19"/>
              </w:rPr>
              <w:t xml:space="preserve">Following the DLT pilot's success, CFG's Innovation Lab proposes stablecoin remittances, tokenized deposits, and NFT-based loyalty programs. The Compliance Director requires licensing, AML/CFT, and consumer-protection issues to be resolved under the Payment Services Act (PSA) and Securities and Futures Act (SFA) before any launch. This advisory is informed by the </w:t>
            </w:r>
            <w:r>
              <w:rPr>
                <w:rFonts w:ascii="Arial" w:cs="Arial" w:eastAsia="Arial" w:hAnsi="Arial"/>
                <w:b/>
                <w:bCs/>
                <w:color w:val="92400E"/>
                <w:sz w:val="19"/>
                <w:szCs w:val="19"/>
              </w:rPr>
              <w:t xml:space="preserve">MAS Guide to Digital Token Offerings (last updated 30 November 2018)</w:t>
            </w:r>
            <w:r>
              <w:rPr>
                <w:rFonts w:ascii="Arial" w:cs="Arial" w:eastAsia="Arial" w:hAnsi="Arial"/>
                <w:color w:val="78350F"/>
                <w:sz w:val="19"/>
                <w:szCs w:val="19"/>
              </w:rPr>
              <w:t xml:space="preserve">, which provides authoritative guidance on how Singapore's securities laws apply to digital token structures.</w:t>
            </w:r>
          </w:p>
        </w:tc>
      </w:tr>
    </w:tbl>
    <w:p>
      <w:pPr>
        <w:spacing w:after="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9376D" w:sz="1"/>
              <w:left w:val="single" w:color="19376D" w:sz="1"/>
              <w:bottom w:val="single" w:color="19376D" w:sz="1"/>
              <w:right w:val="single" w:color="19376D" w:sz="1"/>
            </w:tcBorders>
            <w:shd w:fill="19376D"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Q1</w:t>
            </w:r>
          </w:p>
        </w:tc>
        <w:tc>
          <w:tcPr>
            <w:tcW w:type="dxa" w:w="8920"/>
            <w:tcBorders>
              <w:top w:val="single" w:color="19376D" w:sz="1"/>
              <w:left w:val="single" w:color="19376D" w:sz="1"/>
              <w:bottom w:val="single" w:color="19376D" w:sz="1"/>
              <w:right w:val="single" w:color="19376D"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are the different use cases of digital assets, and why are some considered high-risk?</w:t>
            </w:r>
          </w:p>
        </w:tc>
      </w:tr>
    </w:tbl>
    <w:p>
      <w:pPr>
        <w:spacing w:after="120"/>
      </w:pPr>
    </w:p>
    <w:p>
      <w:pPr>
        <w:pStyle w:val="Heading2"/>
        <w:pBdr>
          <w:bottom w:val="single" w:color="576CBC" w:sz="4" w:space="1"/>
        </w:pBdr>
        <w:spacing w:after="100" w:before="240"/>
      </w:pPr>
      <w:r>
        <w:rPr>
          <w:rFonts w:ascii="Arial" w:cs="Arial" w:eastAsia="Arial" w:hAnsi="Arial"/>
          <w:b/>
          <w:bCs/>
          <w:color w:val="0B2447"/>
          <w:sz w:val="26"/>
          <w:szCs w:val="26"/>
        </w:rPr>
        <w:t xml:space="preserve">A. Use Cases of Digital Assets</w:t>
      </w:r>
    </w:p>
    <w:p>
      <w:pPr>
        <w:spacing w:after="100"/>
      </w:pPr>
      <w:r>
        <w:rPr>
          <w:rFonts w:ascii="Arial" w:cs="Arial" w:eastAsia="Arial" w:hAnsi="Arial"/>
          <w:color w:val="1A1A2E"/>
          <w:sz w:val="20"/>
          <w:szCs w:val="20"/>
        </w:rPr>
        <w:t xml:space="preserve">Digital assets span a wide spectrum of instruments. The MAS Guide to Digital Token Offerings (para 4.1) emphasises that categorisation should look </w:t>
      </w:r>
      <w:r>
        <w:rPr>
          <w:rFonts w:ascii="Arial" w:cs="Arial" w:eastAsia="Arial" w:hAnsi="Arial"/>
          <w:b/>
          <w:bCs/>
          <w:color w:val="1A1A2E"/>
          <w:sz w:val="20"/>
          <w:szCs w:val="20"/>
        </w:rPr>
        <w:t xml:space="preserve">beyond labels</w:t>
      </w:r>
      <w:r>
        <w:rPr>
          <w:rFonts w:ascii="Arial" w:cs="Arial" w:eastAsia="Arial" w:hAnsi="Arial"/>
          <w:color w:val="1A1A2E"/>
          <w:sz w:val="20"/>
          <w:szCs w:val="20"/>
        </w:rPr>
        <w:t xml:space="preserve"> — "utility token" or "stablecoin" — and examine the rights and characteristics actually attached to each token.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320"/>
        <w:gridCol w:w="2000"/>
      </w:tblGrid>
      <w:tr>
        <w:trPr>
          <w:tblHeader/>
        </w:trPr>
        <w:tc>
          <w:tcPr>
            <w:tcW w:type="dxa" w:w="20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Digital Asset Type</w:t>
            </w:r>
          </w:p>
        </w:tc>
        <w:tc>
          <w:tcPr>
            <w:tcW w:type="dxa" w:w="24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Key Use Cases</w:t>
            </w:r>
          </w:p>
        </w:tc>
        <w:tc>
          <w:tcPr>
            <w:tcW w:type="dxa" w:w="332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MAS Guide Reference</w:t>
            </w:r>
          </w:p>
        </w:tc>
        <w:tc>
          <w:tcPr>
            <w:tcW w:type="dxa" w:w="20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CFG Relevance</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Utility Tokens
(e.g., platform access)</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Platform usage rights, access to services</w:t>
            </w:r>
          </w:p>
        </w:tc>
        <w:tc>
          <w:tcPr>
            <w:tcW w:type="dxa" w:w="3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1 (Token A) — Not capital markets products; no SFA/FAA requirements</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Low</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Cryptocurrencies
(e.g., BTC, ETH)</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Cross-border payments, store of value, collateral</w:t>
            </w:r>
          </w:p>
        </w:tc>
        <w:tc>
          <w:tcPr>
            <w:tcW w:type="dxa" w:w="3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6 (Token F) — DPT exchange regulated under PSA for AML/CFT</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Moderate</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Security Tokens
(shares / debentures)</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Tokenized equities, bonds, real estate</w:t>
            </w:r>
          </w:p>
        </w:tc>
        <w:tc>
          <w:tcPr>
            <w:tcW w:type="dxa" w:w="3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2 (Token B) — shares; Case Study 5 (Token E) — debentures; Prospectus Requirements apply</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Medium — future expansion</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CIS Tokens
(fund structures)</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Pooled investment vehicles, fund management</w:t>
            </w:r>
          </w:p>
        </w:tc>
        <w:tc>
          <w:tcPr>
            <w:tcW w:type="dxa" w:w="3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3 (Token C) — unit in a CIS; CMS licence for fund management required</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Low — monitor</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Stablecoins
(e.g., USDC, XSGD)</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Remittances, DeFi settlement, programmable payments</w:t>
            </w:r>
          </w:p>
        </w:tc>
        <w:tc>
          <w:tcPr>
            <w:tcW w:type="dxa" w:w="3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11 (Token K) — potential debenture (buy-back obligation) or e-money under PSA</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High — proposed by CFG</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Tokenized Deposits</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Digital representation of bank deposits on-chain</w:t>
            </w:r>
          </w:p>
        </w:tc>
        <w:tc>
          <w:tcPr>
            <w:tcW w:type="dxa" w:w="3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Not explicitly covered; likely deposit-taking under Banking Act — MAS engagement required</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High — proposed by CFG</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NFTs / Governance Tokens</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Loyalty programs, voting rights, digital art</w:t>
            </w:r>
          </w:p>
        </w:tc>
        <w:tc>
          <w:tcPr>
            <w:tcW w:type="dxa" w:w="3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8 (Token H) — voting-only token not a capital markets product; substance-over-form applies</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High — proposed; classification risk</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CBDCs</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Retail and wholesale sovereign digital currency</w:t>
            </w:r>
          </w:p>
        </w:tc>
        <w:tc>
          <w:tcPr>
            <w:tcW w:type="dxa" w:w="3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MAS Project Orchid — monitoring</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Monitoring only</w:t>
            </w:r>
          </w:p>
        </w:tc>
      </w:tr>
    </w:tbl>
    <w:p>
      <w:pPr>
        <w:spacing w:after="160"/>
      </w:pPr>
    </w:p>
    <w:p>
      <w:pPr>
        <w:pStyle w:val="Heading2"/>
        <w:pBdr>
          <w:bottom w:val="single" w:color="576CBC" w:sz="4" w:space="1"/>
        </w:pBdr>
        <w:spacing w:after="100" w:before="240"/>
      </w:pPr>
      <w:r>
        <w:rPr>
          <w:rFonts w:ascii="Arial" w:cs="Arial" w:eastAsia="Arial" w:hAnsi="Arial"/>
          <w:b/>
          <w:bCs/>
          <w:color w:val="0B2447"/>
          <w:sz w:val="26"/>
          <w:szCs w:val="26"/>
        </w:rPr>
        <w:t xml:space="preserve">B. Why Are Some Digital Assets Considered High-Risk?</w:t>
      </w:r>
    </w:p>
    <w:p>
      <w:pPr>
        <w:spacing w:after="100"/>
      </w:pPr>
      <w:r>
        <w:rPr>
          <w:rFonts w:ascii="Arial" w:cs="Arial" w:eastAsia="Arial" w:hAnsi="Arial"/>
          <w:color w:val="1A1A2E"/>
          <w:sz w:val="20"/>
          <w:szCs w:val="20"/>
        </w:rPr>
        <w:t xml:space="preserve">The MAS Guide (para 4.2) makes clear that MAS applies a </w:t>
      </w:r>
      <w:r>
        <w:rPr>
          <w:rFonts w:ascii="Arial" w:cs="Arial" w:eastAsia="Arial" w:hAnsi="Arial"/>
          <w:b/>
          <w:bCs/>
          <w:color w:val="1A1A2E"/>
          <w:sz w:val="20"/>
          <w:szCs w:val="20"/>
        </w:rPr>
        <w:t xml:space="preserve">substance-over-form</w:t>
      </w:r>
      <w:r>
        <w:rPr>
          <w:rFonts w:ascii="Arial" w:cs="Arial" w:eastAsia="Arial" w:hAnsi="Arial"/>
          <w:color w:val="1A1A2E"/>
          <w:sz w:val="20"/>
          <w:szCs w:val="20"/>
        </w:rPr>
        <w:t xml:space="preserve"> approach: the economic reality of a token determines its regulatory treatment, not its name or label. This creates classification risk as a primary concern for CFG.</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Regulatory Misclassification (MAS Guide para 4.2)</w:t>
            </w:r>
          </w:p>
          <w:p>
            <w:pPr>
              <w:spacing w:after="0"/>
            </w:pPr>
            <w:r>
              <w:rPr>
                <w:rFonts w:ascii="Arial" w:cs="Arial" w:eastAsia="Arial" w:hAnsi="Arial"/>
                <w:color w:val="1A1A2E"/>
                <w:sz w:val="19"/>
                <w:szCs w:val="19"/>
              </w:rPr>
              <w:t xml:space="preserve">MAS explicitly warns that firms must look beyond labels. An NFT that confers profit participation rights or is freely tradeable for monetary value may be reclassified as a share (para 2.3.1), debenture (para 2.3.2), or unit in a CIS (para 2.3.5). CFG's proposed NFT loyalty program carries this classification risk directly.</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Price Volatility</w:t>
            </w:r>
          </w:p>
          <w:p>
            <w:pPr>
              <w:spacing w:after="0"/>
            </w:pPr>
            <w:r>
              <w:rPr>
                <w:rFonts w:ascii="Arial" w:cs="Arial" w:eastAsia="Arial" w:hAnsi="Arial"/>
                <w:color w:val="1A1A2E"/>
                <w:sz w:val="19"/>
                <w:szCs w:val="19"/>
              </w:rPr>
              <w:t xml:space="preserve">Non-pegged assets (BTC, ETH) carry significant mark-to-market risk for CFG's balance sheet and customer holdings. Unlike stablecoins backed by reserve assets, volatile DPTs can cause rapid capital erosion.</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AML/CFT Exposure (MAS Guide Section 3)</w:t>
            </w:r>
          </w:p>
          <w:p>
            <w:pPr>
              <w:spacing w:after="0"/>
            </w:pPr>
            <w:r>
              <w:rPr>
                <w:rFonts w:ascii="Arial" w:cs="Arial" w:eastAsia="Arial" w:hAnsi="Arial"/>
                <w:color w:val="1A1A2E"/>
                <w:sz w:val="19"/>
                <w:szCs w:val="19"/>
              </w:rPr>
              <w:t xml:space="preserve">The MAS Guide (para 3.1–3.2) requires all regulated intermediaries to identify ML/TF risks, implement CDD and transaction monitoring, perform enhanced measures for higher-risk customers, and file STRs with STRO under section 39 of the CDSA. This applies even where tokens are not capital markets products.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Smart Contract Vulnerabilities</w:t>
            </w:r>
          </w:p>
          <w:p>
            <w:pPr>
              <w:spacing w:after="0"/>
            </w:pPr>
            <w:r>
              <w:rPr>
                <w:rFonts w:ascii="Arial" w:cs="Arial" w:eastAsia="Arial" w:hAnsi="Arial"/>
                <w:color w:val="1A1A2E"/>
                <w:sz w:val="19"/>
                <w:szCs w:val="19"/>
              </w:rPr>
              <w:t xml:space="preserve">Tokenized deposits and stablecoin remittances rely on smart contracts. Bugs or exploits can result in irreversible loss of funds — with no central authority to reverse transactions.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Buy-Back / Redemption Obligations (MAS Guide para 2.3.2)</w:t>
            </w:r>
          </w:p>
          <w:p>
            <w:pPr>
              <w:spacing w:after="0"/>
            </w:pPr>
            <w:r>
              <w:rPr>
                <w:rFonts w:ascii="Arial" w:cs="Arial" w:eastAsia="Arial" w:hAnsi="Arial"/>
                <w:color w:val="1A1A2E"/>
                <w:sz w:val="19"/>
                <w:szCs w:val="19"/>
              </w:rPr>
              <w:t xml:space="preserve">Case Studies 10 and 11 demonstrate that a buy-back obligation converts what appears to be a utility token into a debenture under the SFA, triggering Prospectus Requirements and potential licensing obligations.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Consumer Protection Gaps</w:t>
            </w:r>
          </w:p>
          <w:p>
            <w:pPr>
              <w:spacing w:after="0"/>
            </w:pPr>
            <w:r>
              <w:rPr>
                <w:rFonts w:ascii="Arial" w:cs="Arial" w:eastAsia="Arial" w:hAnsi="Arial"/>
                <w:color w:val="1A1A2E"/>
                <w:sz w:val="19"/>
                <w:szCs w:val="19"/>
              </w:rPr>
              <w:t xml:space="preserve">MAS has consistently warned that DPTs are highly speculative and unsuitable for the general public. CFG must ensure retail customers receive adequate risk disclosures before accessing any DPT-linked products.</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
        <w:gridCol w:w="9520"/>
      </w:tblGrid>
      <w:tr>
        <w:tc>
          <w:tcPr>
            <w:tcW w:type="dxa" w:w="200"/>
            <w:tcBorders>
              <w:top w:val="none" w:color="FFFFFF" w:sz="0"/>
              <w:left w:val="none" w:color="FFFFFF" w:sz="0"/>
              <w:bottom w:val="none" w:color="FFFFFF" w:sz="0"/>
              <w:right w:val="none" w:color="FFFFFF" w:sz="0"/>
            </w:tcBorders>
            <w:shd w:fill="576CBC" w:val="clear"/>
            <w:tcMar>
              <w:top w:type="dxa" w:w="100"/>
              <w:left w:type="dxa" w:w="0"/>
              <w:bottom w:type="dxa" w:w="100"/>
              <w:right w:type="dxa" w:w="0"/>
            </w:tcMar>
          </w:tcPr>
          <w:p>
            <w:pPr>
              <w:spacing w:after="100"/>
            </w:pPr>
          </w:p>
        </w:tc>
        <w:tc>
          <w:tcPr>
            <w:tcW w:type="dxa" w:w="9520"/>
            <w:tcBorders>
              <w:top w:val="single" w:color="C8D8EE" w:sz="1"/>
              <w:left w:val="single" w:color="C8D8EE" w:sz="1"/>
              <w:bottom w:val="single" w:color="C8D8EE" w:sz="1"/>
              <w:right w:val="single" w:color="C8D8EE" w:sz="1"/>
            </w:tcBorders>
            <w:shd w:fill="EEF4FB" w:val="clear"/>
            <w:tcMar>
              <w:top w:type="dxa" w:w="100"/>
              <w:left w:type="dxa" w:w="160"/>
              <w:bottom w:type="dxa" w:w="100"/>
              <w:right w:type="dxa" w:w="120"/>
            </w:tcMar>
          </w:tcPr>
          <w:p>
            <w:pPr>
              <w:spacing w:after="40"/>
            </w:pPr>
            <w:r>
              <w:rPr>
                <w:rFonts w:ascii="Arial" w:cs="Arial" w:eastAsia="Arial" w:hAnsi="Arial"/>
                <w:b/>
                <w:bCs/>
                <w:color w:val="0B2447"/>
                <w:sz w:val="20"/>
                <w:szCs w:val="20"/>
              </w:rPr>
              <w:t xml:space="preserve">Extra-Territorial Reach (MAS Guide paras 2.12–2.13)</w:t>
            </w:r>
          </w:p>
          <w:p>
            <w:pPr>
              <w:spacing w:after="0"/>
            </w:pPr>
            <w:r>
              <w:rPr>
                <w:rFonts w:ascii="Arial" w:cs="Arial" w:eastAsia="Arial" w:hAnsi="Arial"/>
                <w:color w:val="1A1A2E"/>
                <w:sz w:val="19"/>
                <w:szCs w:val="19"/>
              </w:rPr>
              <w:t xml:space="preserve">Where CFG's digital asset activities are conducted partly outside Singapore, section 339 of the SFA may still apply. Similarly, overseas persons inducing Singapore users to use financial advisory services are deemed to be acting as financial advisers in Singapore.</w:t>
            </w:r>
          </w:p>
        </w:tc>
      </w:tr>
    </w:tbl>
    <w:p>
      <w:pPr>
        <w:spacing w:after="80"/>
      </w:pPr>
    </w:p>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9376D" w:sz="1"/>
              <w:left w:val="single" w:color="19376D" w:sz="1"/>
              <w:bottom w:val="single" w:color="19376D" w:sz="1"/>
              <w:right w:val="single" w:color="19376D" w:sz="1"/>
            </w:tcBorders>
            <w:shd w:fill="19376D"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Q2</w:t>
            </w:r>
          </w:p>
        </w:tc>
        <w:tc>
          <w:tcPr>
            <w:tcW w:type="dxa" w:w="8920"/>
            <w:tcBorders>
              <w:top w:val="single" w:color="19376D" w:sz="1"/>
              <w:left w:val="single" w:color="19376D" w:sz="1"/>
              <w:bottom w:val="single" w:color="19376D" w:sz="1"/>
              <w:right w:val="single" w:color="19376D"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How can the risks of digital assets be mitigated?</w:t>
            </w:r>
          </w:p>
        </w:tc>
      </w:tr>
    </w:tbl>
    <w:p>
      <w:pPr>
        <w:spacing w:after="120"/>
      </w:pPr>
    </w:p>
    <w:p>
      <w:pPr>
        <w:spacing w:after="100"/>
      </w:pPr>
      <w:r>
        <w:rPr>
          <w:rFonts w:ascii="Arial" w:cs="Arial" w:eastAsia="Arial" w:hAnsi="Arial"/>
          <w:color w:val="1A1A2E"/>
          <w:sz w:val="20"/>
          <w:szCs w:val="20"/>
        </w:rPr>
        <w:t xml:space="preserve">CFG should build a layered, four-domain risk mitigation framework anchored in MAS regulatory requirements. The MAS Guide (Section 3) sets out applicable AML/CFT obligations, while Section 5 outlines the </w:t>
      </w:r>
      <w:r>
        <w:rPr>
          <w:rFonts w:ascii="Arial" w:cs="Arial" w:eastAsia="Arial" w:hAnsi="Arial"/>
          <w:b/>
          <w:bCs/>
          <w:color w:val="1A1A2E"/>
          <w:sz w:val="20"/>
          <w:szCs w:val="20"/>
        </w:rPr>
        <w:t xml:space="preserve">FinTech Regulatory Sandbox</w:t>
      </w:r>
      <w:r>
        <w:rPr>
          <w:rFonts w:ascii="Arial" w:cs="Arial" w:eastAsia="Arial" w:hAnsi="Arial"/>
          <w:color w:val="1A1A2E"/>
          <w:sz w:val="20"/>
          <w:szCs w:val="20"/>
        </w:rPr>
        <w:t xml:space="preserve"> as a mechanism for piloting novel initiatives under regulatory support.</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A. Governance &amp; Policy</w:t>
      </w:r>
    </w:p>
    <w:p>
      <w:pPr>
        <w:pStyle w:val="ListParagraph"/>
        <w:numPr>
          <w:ilvl w:val="0"/>
          <w:numId w:val="2"/>
        </w:numPr>
        <w:spacing w:after="60"/>
      </w:pPr>
      <w:r>
        <w:rPr>
          <w:rFonts w:ascii="Arial" w:cs="Arial" w:eastAsia="Arial" w:hAnsi="Arial"/>
          <w:color w:val="1A1A2E"/>
          <w:sz w:val="20"/>
          <w:szCs w:val="20"/>
        </w:rPr>
        <w:t xml:space="preserve">Establish a Digital Asset Risk Committee with board-level oversight, including a dedicated token classification function</w:t>
      </w:r>
    </w:p>
    <w:p>
      <w:pPr>
        <w:pStyle w:val="ListParagraph"/>
        <w:numPr>
          <w:ilvl w:val="0"/>
          <w:numId w:val="2"/>
        </w:numPr>
        <w:spacing w:after="60"/>
      </w:pPr>
      <w:r>
        <w:rPr>
          <w:rFonts w:ascii="Arial" w:cs="Arial" w:eastAsia="Arial" w:hAnsi="Arial"/>
          <w:color w:val="1A1A2E"/>
          <w:sz w:val="20"/>
          <w:szCs w:val="20"/>
        </w:rPr>
        <w:t xml:space="preserve">Define a Digital Asset Classification Policy applying the PSA/SFA taxonomy and the MAS Guide's substance-over-form test (para 4.2) to every proposed instrument</w:t>
      </w:r>
    </w:p>
    <w:p>
      <w:pPr>
        <w:pStyle w:val="ListParagraph"/>
        <w:numPr>
          <w:ilvl w:val="0"/>
          <w:numId w:val="2"/>
        </w:numPr>
        <w:spacing w:after="60"/>
      </w:pPr>
      <w:r>
        <w:rPr>
          <w:rFonts w:ascii="Arial" w:cs="Arial" w:eastAsia="Arial" w:hAnsi="Arial"/>
          <w:color w:val="1A1A2E"/>
          <w:sz w:val="20"/>
          <w:szCs w:val="20"/>
        </w:rPr>
        <w:t xml:space="preserve">Maintain a Digital Asset Register documenting each instrument's regulatory status, applicable MAS case study analogue, risk rating, and controls</w:t>
      </w:r>
    </w:p>
    <w:p>
      <w:pPr>
        <w:pStyle w:val="ListParagraph"/>
        <w:numPr>
          <w:ilvl w:val="0"/>
          <w:numId w:val="2"/>
        </w:numPr>
        <w:spacing w:after="60"/>
      </w:pPr>
      <w:r>
        <w:rPr>
          <w:rFonts w:ascii="Arial" w:cs="Arial" w:eastAsia="Arial" w:hAnsi="Arial"/>
          <w:color w:val="1A1A2E"/>
          <w:sz w:val="20"/>
          <w:szCs w:val="20"/>
        </w:rPr>
        <w:t xml:space="preserve">Implement a new product approval process requiring Compliance sign-off and legal opinion before any digital asset initiative goes live</w:t>
      </w:r>
    </w:p>
    <w:p>
      <w:pPr>
        <w:pStyle w:val="ListParagraph"/>
        <w:numPr>
          <w:ilvl w:val="0"/>
          <w:numId w:val="2"/>
        </w:numPr>
        <w:spacing w:after="60"/>
      </w:pPr>
      <w:r>
        <w:rPr>
          <w:rFonts w:ascii="Arial" w:cs="Arial" w:eastAsia="Arial" w:hAnsi="Arial"/>
          <w:color w:val="1A1A2E"/>
          <w:sz w:val="20"/>
          <w:szCs w:val="20"/>
        </w:rPr>
        <w:t xml:space="preserve">Engage the MAS FinTech Regulatory Sandbox (MAS Guide Section 5) for novel instruments not clearly addressed by existing case studies</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B. AML/CFT Controls — MAS Guide Section 3 Obligations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D8EE" w:sz="1"/>
              <w:left w:val="single" w:color="C0392B" w:sz="18"/>
              <w:bottom w:val="single" w:color="C8D8EE" w:sz="1"/>
              <w:right w:val="single" w:color="C8D8EE" w:sz="1"/>
            </w:tcBorders>
            <w:shd w:fill="FDEDEC" w:val="clear"/>
            <w:tcMar>
              <w:top w:type="dxa" w:w="120"/>
              <w:left w:type="dxa" w:w="200"/>
              <w:bottom w:type="dxa" w:w="120"/>
              <w:right w:type="dxa" w:w="200"/>
            </w:tcMar>
          </w:tcPr>
          <w:p>
            <w:pPr>
              <w:spacing w:after="60"/>
            </w:pPr>
            <w:r>
              <w:rPr>
                <w:rFonts w:ascii="Arial" w:cs="Arial" w:eastAsia="Arial" w:hAnsi="Arial"/>
                <w:b/>
                <w:bCs/>
                <w:color w:val="C0392B"/>
                <w:sz w:val="19"/>
                <w:szCs w:val="19"/>
              </w:rPr>
              <w:t xml:space="preserve">📋  Mandatory AML/CFT Requirements (MAS Guide paras 3.1–3.3)</w:t>
            </w:r>
          </w:p>
          <w:p>
            <w:pPr>
              <w:pStyle w:val="ListParagraph"/>
              <w:numPr>
                <w:ilvl w:val="0"/>
                <w:numId w:val="2"/>
              </w:numPr>
              <w:spacing w:after="40"/>
            </w:pPr>
            <w:r>
              <w:rPr>
                <w:rFonts w:ascii="Arial" w:cs="Arial" w:eastAsia="Arial" w:hAnsi="Arial"/>
                <w:color w:val="5D0E0E"/>
                <w:sz w:val="18"/>
                <w:szCs w:val="18"/>
              </w:rPr>
              <w:t xml:space="preserve">Identify, assess, and understand ML/TF risks across all digital asset activities</w:t>
            </w:r>
          </w:p>
          <w:p>
            <w:pPr>
              <w:pStyle w:val="ListParagraph"/>
              <w:numPr>
                <w:ilvl w:val="0"/>
                <w:numId w:val="2"/>
              </w:numPr>
              <w:spacing w:after="40"/>
            </w:pPr>
            <w:r>
              <w:rPr>
                <w:rFonts w:ascii="Arial" w:cs="Arial" w:eastAsia="Arial" w:hAnsi="Arial"/>
                <w:color w:val="5D0E0E"/>
                <w:sz w:val="18"/>
                <w:szCs w:val="18"/>
              </w:rPr>
              <w:t xml:space="preserve">Implement CDD, transaction monitoring, screening, STR filing, and record-keeping per relevant MAS Notices (SFA04-N02 / FAA-N06)</w:t>
            </w:r>
          </w:p>
          <w:p>
            <w:pPr>
              <w:pStyle w:val="ListParagraph"/>
              <w:numPr>
                <w:ilvl w:val="0"/>
                <w:numId w:val="2"/>
              </w:numPr>
              <w:spacing w:after="40"/>
            </w:pPr>
            <w:r>
              <w:rPr>
                <w:rFonts w:ascii="Arial" w:cs="Arial" w:eastAsia="Arial" w:hAnsi="Arial"/>
                <w:color w:val="5D0E0E"/>
                <w:sz w:val="18"/>
                <w:szCs w:val="18"/>
              </w:rPr>
              <w:t xml:space="preserve">Perform enhanced measures where higher ML/TF risks are identified</w:t>
            </w:r>
          </w:p>
          <w:p>
            <w:pPr>
              <w:pStyle w:val="ListParagraph"/>
              <w:numPr>
                <w:ilvl w:val="0"/>
                <w:numId w:val="2"/>
              </w:numPr>
              <w:spacing w:after="40"/>
            </w:pPr>
            <w:r>
              <w:rPr>
                <w:rFonts w:ascii="Arial" w:cs="Arial" w:eastAsia="Arial" w:hAnsi="Arial"/>
                <w:color w:val="5D0E0E"/>
                <w:sz w:val="18"/>
                <w:szCs w:val="18"/>
              </w:rPr>
              <w:t xml:space="preserve">Report suspicious transactions to STRO under section 39 of the CDSA — applies even to unregulated tokens (para 3.3.1)</w:t>
            </w:r>
          </w:p>
          <w:p>
            <w:pPr>
              <w:pStyle w:val="ListParagraph"/>
              <w:numPr>
                <w:ilvl w:val="0"/>
                <w:numId w:val="2"/>
              </w:numPr>
              <w:spacing w:after="40"/>
            </w:pPr>
            <w:r>
              <w:rPr>
                <w:rFonts w:ascii="Arial" w:cs="Arial" w:eastAsia="Arial" w:hAnsi="Arial"/>
                <w:color w:val="5D0E0E"/>
                <w:sz w:val="18"/>
                <w:szCs w:val="18"/>
              </w:rPr>
              <w:t xml:space="preserve">Comply with TSOFA and UN Regulations — prohibiting dealings with designated individuals and entities (para 3.3.2)</w:t>
            </w:r>
          </w:p>
          <w:p>
            <w:pPr>
              <w:pStyle w:val="ListParagraph"/>
              <w:numPr>
                <w:ilvl w:val="0"/>
                <w:numId w:val="2"/>
              </w:numPr>
              <w:spacing w:after="40"/>
            </w:pPr>
            <w:r>
              <w:rPr>
                <w:rFonts w:ascii="Arial" w:cs="Arial" w:eastAsia="Arial" w:hAnsi="Arial"/>
                <w:color w:val="5D0E0E"/>
                <w:sz w:val="18"/>
                <w:szCs w:val="18"/>
              </w:rPr>
              <w:t xml:space="preserve">Apply Travel Rule — transmit originator/beneficiary info for DPT transfers above SGD 1,500 (MAS Notice PSN02A)</w:t>
            </w:r>
          </w:p>
        </w:tc>
      </w:tr>
    </w:tbl>
    <w:p>
      <w:pPr>
        <w:spacing w:after="80"/>
      </w:pPr>
    </w:p>
    <w:p>
      <w:pPr>
        <w:pStyle w:val="ListParagraph"/>
        <w:numPr>
          <w:ilvl w:val="0"/>
          <w:numId w:val="2"/>
        </w:numPr>
        <w:spacing w:after="60"/>
      </w:pPr>
      <w:r>
        <w:rPr>
          <w:rFonts w:ascii="Arial" w:cs="Arial" w:eastAsia="Arial" w:hAnsi="Arial"/>
          <w:color w:val="1A1A2E"/>
          <w:sz w:val="20"/>
          <w:szCs w:val="20"/>
        </w:rPr>
        <w:t xml:space="preserve">Deploy blockchain analytics tools (e.g., Chainalysis, Elliptic) to screen wallet addresses against OFAC/UN sanctions lists</w:t>
      </w:r>
    </w:p>
    <w:p>
      <w:pPr>
        <w:pStyle w:val="ListParagraph"/>
        <w:numPr>
          <w:ilvl w:val="0"/>
          <w:numId w:val="2"/>
        </w:numPr>
        <w:spacing w:after="60"/>
      </w:pPr>
      <w:r>
        <w:rPr>
          <w:rFonts w:ascii="Arial" w:cs="Arial" w:eastAsia="Arial" w:hAnsi="Arial"/>
          <w:color w:val="1A1A2E"/>
          <w:sz w:val="20"/>
          <w:szCs w:val="20"/>
        </w:rPr>
        <w:t xml:space="preserve">Implement on-chain transaction monitoring rules flagging mixing services, high-velocity transfers, and new wallets receiving large sums</w:t>
      </w:r>
    </w:p>
    <w:p>
      <w:pPr>
        <w:pStyle w:val="ListParagraph"/>
        <w:numPr>
          <w:ilvl w:val="0"/>
          <w:numId w:val="2"/>
        </w:numPr>
        <w:spacing w:after="60"/>
      </w:pPr>
      <w:r>
        <w:rPr>
          <w:rFonts w:ascii="Arial" w:cs="Arial" w:eastAsia="Arial" w:hAnsi="Arial"/>
          <w:color w:val="1A1A2E"/>
          <w:sz w:val="20"/>
          <w:szCs w:val="20"/>
        </w:rPr>
        <w:t xml:space="preserve">Conduct enhanced CDD for all DPT-linked customer relationships</w:t>
      </w:r>
    </w:p>
    <w:p>
      <w:pPr>
        <w:spacing w:after="100"/>
      </w:pPr>
    </w:p>
    <w:p>
      <w:pPr>
        <w:pStyle w:val="Heading2"/>
        <w:pBdr>
          <w:bottom w:val="single" w:color="576CBC" w:sz="4" w:space="1"/>
        </w:pBdr>
        <w:spacing w:after="100" w:before="240"/>
      </w:pPr>
      <w:r>
        <w:rPr>
          <w:rFonts w:ascii="Arial" w:cs="Arial" w:eastAsia="Arial" w:hAnsi="Arial"/>
          <w:b/>
          <w:bCs/>
          <w:color w:val="0B2447"/>
          <w:sz w:val="26"/>
          <w:szCs w:val="26"/>
        </w:rPr>
        <w:t xml:space="preserve">C. Technology &amp; Operational Controls</w:t>
      </w:r>
    </w:p>
    <w:p>
      <w:pPr>
        <w:pStyle w:val="ListParagraph"/>
        <w:numPr>
          <w:ilvl w:val="0"/>
          <w:numId w:val="2"/>
        </w:numPr>
        <w:spacing w:after="60"/>
      </w:pPr>
      <w:r>
        <w:rPr>
          <w:rFonts w:ascii="Arial" w:cs="Arial" w:eastAsia="Arial" w:hAnsi="Arial"/>
          <w:color w:val="1A1A2E"/>
          <w:sz w:val="20"/>
          <w:szCs w:val="20"/>
        </w:rPr>
        <w:t xml:space="preserve">Conduct independent smart contract audits by third parties before any tokenization or stablecoin deployment</w:t>
      </w:r>
    </w:p>
    <w:p>
      <w:pPr>
        <w:pStyle w:val="ListParagraph"/>
        <w:numPr>
          <w:ilvl w:val="0"/>
          <w:numId w:val="2"/>
        </w:numPr>
        <w:spacing w:after="60"/>
      </w:pPr>
      <w:r>
        <w:rPr>
          <w:rFonts w:ascii="Arial" w:cs="Arial" w:eastAsia="Arial" w:hAnsi="Arial"/>
          <w:color w:val="1A1A2E"/>
          <w:sz w:val="20"/>
          <w:szCs w:val="20"/>
        </w:rPr>
        <w:t xml:space="preserve">Use multi-signature wallet architectures requiring multiple approvers for high-value transactions</w:t>
      </w:r>
    </w:p>
    <w:p>
      <w:pPr>
        <w:pStyle w:val="ListParagraph"/>
        <w:numPr>
          <w:ilvl w:val="0"/>
          <w:numId w:val="2"/>
        </w:numPr>
        <w:spacing w:after="60"/>
      </w:pPr>
      <w:r>
        <w:rPr>
          <w:rFonts w:ascii="Arial" w:cs="Arial" w:eastAsia="Arial" w:hAnsi="Arial"/>
          <w:color w:val="1A1A2E"/>
          <w:sz w:val="20"/>
          <w:szCs w:val="20"/>
        </w:rPr>
        <w:t xml:space="preserve">Maintain cold storage for 90%+ of digital asset reserves (industry standard)</w:t>
      </w:r>
    </w:p>
    <w:p>
      <w:pPr>
        <w:pStyle w:val="ListParagraph"/>
        <w:numPr>
          <w:ilvl w:val="0"/>
          <w:numId w:val="2"/>
        </w:numPr>
        <w:spacing w:after="60"/>
      </w:pPr>
      <w:r>
        <w:rPr>
          <w:rFonts w:ascii="Arial" w:cs="Arial" w:eastAsia="Arial" w:hAnsi="Arial"/>
          <w:color w:val="1A1A2E"/>
          <w:sz w:val="20"/>
          <w:szCs w:val="20"/>
        </w:rPr>
        <w:t xml:space="preserve">Obtain insurance coverage — crime and cyber liability policies specific to digital asset custody</w:t>
      </w:r>
    </w:p>
    <w:p>
      <w:pPr>
        <w:pStyle w:val="ListParagraph"/>
        <w:numPr>
          <w:ilvl w:val="0"/>
          <w:numId w:val="2"/>
        </w:numPr>
        <w:spacing w:after="60"/>
      </w:pPr>
      <w:r>
        <w:rPr>
          <w:rFonts w:ascii="Arial" w:cs="Arial" w:eastAsia="Arial" w:hAnsi="Arial"/>
          <w:color w:val="1A1A2E"/>
          <w:sz w:val="20"/>
          <w:szCs w:val="20"/>
        </w:rPr>
        <w:t xml:space="preserve">Establish Business Continuity Plans (BCPs) addressing key management failure and exchange/protocol outages</w:t>
      </w:r>
    </w:p>
    <w:p>
      <w:pPr>
        <w:spacing w:after="100"/>
      </w:pPr>
    </w:p>
    <w:p>
      <w:pPr>
        <w:pStyle w:val="Heading2"/>
        <w:pBdr>
          <w:bottom w:val="single" w:color="576CBC" w:sz="4" w:space="1"/>
        </w:pBdr>
        <w:spacing w:after="100" w:before="240"/>
      </w:pPr>
      <w:r>
        <w:rPr>
          <w:rFonts w:ascii="Arial" w:cs="Arial" w:eastAsia="Arial" w:hAnsi="Arial"/>
          <w:b/>
          <w:bCs/>
          <w:color w:val="0B2447"/>
          <w:sz w:val="26"/>
          <w:szCs w:val="26"/>
        </w:rPr>
        <w:t xml:space="preserve">D. Consumer Protection</w:t>
      </w:r>
    </w:p>
    <w:p>
      <w:pPr>
        <w:pStyle w:val="ListParagraph"/>
        <w:numPr>
          <w:ilvl w:val="0"/>
          <w:numId w:val="2"/>
        </w:numPr>
        <w:spacing w:after="60"/>
      </w:pPr>
      <w:r>
        <w:rPr>
          <w:rFonts w:ascii="Arial" w:cs="Arial" w:eastAsia="Arial" w:hAnsi="Arial"/>
          <w:color w:val="1A1A2E"/>
          <w:sz w:val="20"/>
          <w:szCs w:val="20"/>
        </w:rPr>
        <w:t xml:space="preserve">Provide adequate risk disclosures and conduct suitability assessments per MAS Guidelines on Consumer Protection for DPT Services</w:t>
      </w:r>
    </w:p>
    <w:p>
      <w:pPr>
        <w:pStyle w:val="ListParagraph"/>
        <w:numPr>
          <w:ilvl w:val="0"/>
          <w:numId w:val="2"/>
        </w:numPr>
        <w:spacing w:after="60"/>
      </w:pPr>
      <w:r>
        <w:rPr>
          <w:rFonts w:ascii="Arial" w:cs="Arial" w:eastAsia="Arial" w:hAnsi="Arial"/>
          <w:color w:val="1A1A2E"/>
          <w:sz w:val="20"/>
          <w:szCs w:val="20"/>
        </w:rPr>
        <w:t xml:space="preserve">Prohibit DPT advertising in public spaces (MAS restriction, January 2022)</w:t>
      </w:r>
    </w:p>
    <w:p>
      <w:pPr>
        <w:pStyle w:val="ListParagraph"/>
        <w:numPr>
          <w:ilvl w:val="0"/>
          <w:numId w:val="2"/>
        </w:numPr>
        <w:spacing w:after="60"/>
      </w:pPr>
      <w:r>
        <w:rPr>
          <w:rFonts w:ascii="Arial" w:cs="Arial" w:eastAsia="Arial" w:hAnsi="Arial"/>
          <w:color w:val="1A1A2E"/>
          <w:sz w:val="20"/>
          <w:szCs w:val="20"/>
        </w:rPr>
        <w:t xml:space="preserve">Segregate customer digital assets from CFG proprietary holdings at all times — a regulatory obligation and consumer protection measure</w:t>
      </w:r>
    </w:p>
    <w:p>
      <w:pPr>
        <w:pStyle w:val="ListParagraph"/>
        <w:numPr>
          <w:ilvl w:val="0"/>
          <w:numId w:val="2"/>
        </w:numPr>
        <w:spacing w:after="60"/>
      </w:pPr>
      <w:r>
        <w:rPr>
          <w:rFonts w:ascii="Arial" w:cs="Arial" w:eastAsia="Arial" w:hAnsi="Arial"/>
          <w:color w:val="1A1A2E"/>
          <w:sz w:val="20"/>
          <w:szCs w:val="20"/>
        </w:rPr>
        <w:t xml:space="preserve">Restrict retail access to high-risk and speculative digital assets</w:t>
      </w:r>
    </w:p>
    <w:p>
      <w:pPr>
        <w:pStyle w:val="ListParagraph"/>
        <w:numPr>
          <w:ilvl w:val="0"/>
          <w:numId w:val="2"/>
        </w:numPr>
        <w:spacing w:after="60"/>
      </w:pPr>
      <w:r>
        <w:rPr>
          <w:rFonts w:ascii="Arial" w:cs="Arial" w:eastAsia="Arial" w:hAnsi="Arial"/>
          <w:color w:val="1A1A2E"/>
          <w:sz w:val="20"/>
          <w:szCs w:val="20"/>
        </w:rPr>
        <w:t xml:space="preserve">Note: MAS Guide Appendix 1 Critical Questions provide a useful self-assessment checklist that CFG's Compliance team should apply to each new product proposal</w:t>
      </w:r>
    </w:p>
    <w:p>
      <w:pPr>
        <w:spacing w:after="100"/>
      </w:pPr>
    </w:p>
    <w:p>
      <w:pPr>
        <w:pStyle w:val="Heading2"/>
        <w:pBdr>
          <w:bottom w:val="single" w:color="576CBC" w:sz="4" w:space="1"/>
        </w:pBdr>
        <w:spacing w:after="100" w:before="240"/>
      </w:pPr>
      <w:r>
        <w:rPr>
          <w:rFonts w:ascii="Arial" w:cs="Arial" w:eastAsia="Arial" w:hAnsi="Arial"/>
          <w:b/>
          <w:bCs/>
          <w:color w:val="0B2447"/>
          <w:sz w:val="26"/>
          <w:szCs w:val="26"/>
        </w:rPr>
        <w:t xml:space="preserve">E. MAS Regulatory Sandbox — A Key Mitigation Tool</w:t>
      </w:r>
    </w:p>
    <w:p>
      <w:pPr>
        <w:spacing w:after="100"/>
      </w:pPr>
      <w:r>
        <w:rPr>
          <w:rFonts w:ascii="Arial" w:cs="Arial" w:eastAsia="Arial" w:hAnsi="Arial"/>
          <w:color w:val="1A1A2E"/>
          <w:sz w:val="20"/>
          <w:szCs w:val="20"/>
        </w:rPr>
        <w:t xml:space="preserve">The MAS Guide (Section 5) confirms that firms applying technology innovatively to provide MAS-regulated financial services may apply for the </w:t>
      </w:r>
      <w:r>
        <w:rPr>
          <w:rFonts w:ascii="Arial" w:cs="Arial" w:eastAsia="Arial" w:hAnsi="Arial"/>
          <w:b/>
          <w:bCs/>
          <w:color w:val="1A1A2E"/>
          <w:sz w:val="20"/>
          <w:szCs w:val="20"/>
        </w:rPr>
        <w:t xml:space="preserve">FinTech Regulatory Sandbox</w:t>
      </w:r>
      <w:r>
        <w:rPr>
          <w:rFonts w:ascii="Arial" w:cs="Arial" w:eastAsia="Arial" w:hAnsi="Arial"/>
          <w:color w:val="1A1A2E"/>
          <w:sz w:val="20"/>
          <w:szCs w:val="20"/>
        </w:rPr>
        <w:t xml:space="preserve">. If approved, MAS relaxes specific legal and regulatory requirements for the sandbox duration, while the firm demonstrates safety and soundness.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D8EE" w:sz="1"/>
              <w:left w:val="single" w:color="576CBC" w:sz="18"/>
              <w:bottom w:val="single" w:color="C8D8EE" w:sz="1"/>
              <w:right w:val="single" w:color="C8D8EE" w:sz="1"/>
            </w:tcBorders>
            <w:shd w:fill="EEF4FB" w:val="clear"/>
            <w:tcMar>
              <w:top w:type="dxa" w:w="120"/>
              <w:left w:type="dxa" w:w="200"/>
              <w:bottom w:type="dxa" w:w="120"/>
              <w:right w:type="dxa" w:w="200"/>
            </w:tcMar>
          </w:tcPr>
          <w:p>
            <w:pPr>
              <w:spacing w:after="60"/>
            </w:pPr>
            <w:r>
              <w:rPr>
                <w:rFonts w:ascii="Arial" w:cs="Arial" w:eastAsia="Arial" w:hAnsi="Arial"/>
                <w:b/>
                <w:bCs/>
                <w:color w:val="0B2447"/>
                <w:sz w:val="19"/>
                <w:szCs w:val="19"/>
              </w:rPr>
              <w:t xml:space="preserve">CFG Sandbox Recommendation:</w:t>
            </w:r>
          </w:p>
          <w:p>
            <w:pPr>
              <w:spacing w:after="40"/>
            </w:pPr>
            <w:r>
              <w:rPr>
                <w:rFonts w:ascii="Arial" w:cs="Arial" w:eastAsia="Arial" w:hAnsi="Arial"/>
                <w:color w:val="1A1A2E"/>
                <w:sz w:val="19"/>
                <w:szCs w:val="19"/>
              </w:rPr>
              <w:t xml:space="preserve">Apply for the Regulatory Sandbox for tokenized deposit issuance and novel stablecoin structures before full commercial launch.</w:t>
            </w:r>
          </w:p>
          <w:p>
            <w:pPr>
              <w:spacing w:after="40"/>
            </w:pPr>
            <w:r>
              <w:rPr>
                <w:rFonts w:ascii="Arial" w:cs="Arial" w:eastAsia="Arial" w:hAnsi="Arial"/>
                <w:color w:val="1A1A2E"/>
                <w:sz w:val="19"/>
                <w:szCs w:val="19"/>
              </w:rPr>
              <w:t xml:space="preserve">This enables CFG to test its technology and compliance framework in a controlled environment, with MAS oversight.</w:t>
            </w:r>
          </w:p>
          <w:p>
            <w:pPr>
              <w:spacing w:after="40"/>
            </w:pPr>
            <w:r>
              <w:rPr>
                <w:rFonts w:ascii="Arial" w:cs="Arial" w:eastAsia="Arial" w:hAnsi="Arial"/>
                <w:color w:val="1A1A2E"/>
                <w:sz w:val="19"/>
                <w:szCs w:val="19"/>
              </w:rPr>
              <w:t xml:space="preserve">MAS expects applicants to have conducted laboratory testing and to know the applicable regulatory requirements prior to submission (MAS Guide para 5.1).</w:t>
            </w:r>
          </w:p>
        </w:tc>
      </w:tr>
    </w:tbl>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9376D" w:sz="1"/>
              <w:left w:val="single" w:color="19376D" w:sz="1"/>
              <w:bottom w:val="single" w:color="19376D" w:sz="1"/>
              <w:right w:val="single" w:color="19376D" w:sz="1"/>
            </w:tcBorders>
            <w:shd w:fill="19376D"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Q3</w:t>
            </w:r>
          </w:p>
        </w:tc>
        <w:tc>
          <w:tcPr>
            <w:tcW w:type="dxa" w:w="8920"/>
            <w:tcBorders>
              <w:top w:val="single" w:color="19376D" w:sz="1"/>
              <w:left w:val="single" w:color="19376D" w:sz="1"/>
              <w:bottom w:val="single" w:color="19376D" w:sz="1"/>
              <w:right w:val="single" w:color="19376D"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Which digital assets are regulated in Singapore, and which are unregulated?</w:t>
            </w:r>
          </w:p>
        </w:tc>
      </w:tr>
    </w:tbl>
    <w:p>
      <w:pPr>
        <w:spacing w:after="120"/>
      </w:pPr>
    </w:p>
    <w:p>
      <w:pPr>
        <w:spacing w:after="100"/>
      </w:pPr>
      <w:r>
        <w:rPr>
          <w:rFonts w:ascii="Arial" w:cs="Arial" w:eastAsia="Arial" w:hAnsi="Arial"/>
          <w:color w:val="1A1A2E"/>
          <w:sz w:val="20"/>
          <w:szCs w:val="20"/>
        </w:rPr>
        <w:t xml:space="preserve">The MAS Guide (para 2.2) clarifies that MAS examines the </w:t>
      </w:r>
      <w:r>
        <w:rPr>
          <w:rFonts w:ascii="Arial" w:cs="Arial" w:eastAsia="Arial" w:hAnsi="Arial"/>
          <w:b/>
          <w:bCs/>
          <w:color w:val="1A1A2E"/>
          <w:sz w:val="20"/>
          <w:szCs w:val="20"/>
        </w:rPr>
        <w:t xml:space="preserve">structure, characteristics, and rights</w:t>
      </w:r>
      <w:r>
        <w:rPr>
          <w:rFonts w:ascii="Arial" w:cs="Arial" w:eastAsia="Arial" w:hAnsi="Arial"/>
          <w:color w:val="1A1A2E"/>
          <w:sz w:val="20"/>
          <w:szCs w:val="20"/>
        </w:rPr>
        <w:t xml:space="preserve"> attached to a digital token — not its label — to determine whether it constitutes a capital markets product. This section maps CFG's proposed instruments against this framework.</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A. Regulated as Capital Markets Products Under the SFA</w:t>
      </w:r>
    </w:p>
    <w:p>
      <w:pPr>
        <w:spacing w:after="100"/>
      </w:pPr>
      <w:r>
        <w:rPr>
          <w:rFonts w:ascii="Arial" w:cs="Arial" w:eastAsia="Arial" w:hAnsi="Arial"/>
          <w:b/>
          <w:bCs/>
          <w:color w:val="1A1A2E"/>
          <w:sz w:val="20"/>
          <w:szCs w:val="20"/>
        </w:rPr>
        <w:t xml:space="preserve">Key provision: SFA section 2(1) — "capital markets products"</w:t>
      </w:r>
      <w:r>
        <w:rPr>
          <w:rFonts w:ascii="Arial" w:cs="Arial" w:eastAsia="Arial" w:hAnsi="Arial"/>
          <w:color w:val="1A1A2E"/>
          <w:sz w:val="20"/>
          <w:szCs w:val="20"/>
        </w:rPr>
        <w:t xml:space="preserve"> includes securities (shares, debentures, units in a business trust), units in a CIS, derivatives contracts, and spot forex contracts for leveraged trading.</w:t>
      </w:r>
    </w:p>
    <w:p>
      <w:pPr>
        <w:spacing w:after="80"/>
      </w:pPr>
    </w:p>
    <w:p>
      <w:pPr>
        <w:pStyle w:val="Heading3"/>
        <w:spacing w:after="80" w:before="180"/>
      </w:pPr>
      <w:r>
        <w:rPr>
          <w:rFonts w:ascii="Arial" w:cs="Arial" w:eastAsia="Arial" w:hAnsi="Arial"/>
          <w:b/>
          <w:bCs/>
          <w:color w:val="19376D"/>
          <w:sz w:val="22"/>
          <w:szCs w:val="22"/>
        </w:rPr>
        <w:t xml:space="preserve">(i) Securities — Shares (MAS Guide para 2.3.1 | Case Study 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2
(Token B)</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Token B was structured to represent a share in Company B — conferring ownership interest in a corporation. Held to be securities under SFA. Prospectus Requirements apply unless exempted. Financial advice on Token B requires an FA licence under FAA.</w:t>
            </w:r>
          </w:p>
        </w:tc>
      </w:tr>
    </w:tbl>
    <w:p>
      <w:pPr>
        <w:spacing w:after="60"/>
      </w:pPr>
    </w:p>
    <w:p>
      <w:pPr>
        <w:spacing w:after="100"/>
      </w:pPr>
      <w:r>
        <w:rPr>
          <w:rFonts w:ascii="Arial" w:cs="Arial" w:eastAsia="Arial" w:hAnsi="Arial"/>
          <w:color w:val="1A1A2E"/>
          <w:sz w:val="20"/>
          <w:szCs w:val="20"/>
        </w:rPr>
        <w:t xml:space="preserve">A digital token constitutes a share where it confers or represents ownership interest in a corporation, represents the holder's liability in the corporation, and reflects mutual covenants with other token holders.</w:t>
      </w:r>
    </w:p>
    <w:p>
      <w:pPr>
        <w:spacing w:after="80"/>
      </w:pPr>
    </w:p>
    <w:p>
      <w:pPr>
        <w:pStyle w:val="Heading3"/>
        <w:spacing w:after="80" w:before="180"/>
      </w:pPr>
      <w:r>
        <w:rPr>
          <w:rFonts w:ascii="Arial" w:cs="Arial" w:eastAsia="Arial" w:hAnsi="Arial"/>
          <w:b/>
          <w:bCs/>
          <w:color w:val="19376D"/>
          <w:sz w:val="22"/>
          <w:szCs w:val="22"/>
        </w:rPr>
        <w:t xml:space="preserve">(ii) Securities — Debentures (MAS Guide para 2.3.2 | Case Studies 5, 10, 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Studies
5, 10, 11</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Token E (Case 5): right of investor as creditor — debenture. Token J (Case 10): buy-back obligation may constitute debenture. Token K (Case 11): US$1 buy-back obligation — potential debenture or e-money under PSA.</w:t>
            </w:r>
          </w:p>
        </w:tc>
      </w:tr>
    </w:tbl>
    <w:p>
      <w:pPr>
        <w:spacing w:after="60"/>
      </w:pPr>
    </w:p>
    <w:p>
      <w:pPr>
        <w:spacing w:after="100"/>
      </w:pPr>
      <w:r>
        <w:rPr>
          <w:rFonts w:ascii="Arial" w:cs="Arial" w:eastAsia="Arial" w:hAnsi="Arial"/>
          <w:b/>
          <w:bCs/>
          <w:color w:val="1A1A2E"/>
          <w:sz w:val="20"/>
          <w:szCs w:val="20"/>
        </w:rPr>
        <w:t xml:space="preserve">Critical for CFG's stablecoin initiative:</w:t>
      </w:r>
      <w:r>
        <w:rPr>
          <w:rFonts w:ascii="Arial" w:cs="Arial" w:eastAsia="Arial" w:hAnsi="Arial"/>
          <w:color w:val="1A1A2E"/>
          <w:sz w:val="20"/>
          <w:szCs w:val="20"/>
        </w:rPr>
        <w:t xml:space="preserve"> If CFG's stablecoin carries a par-value redemption obligation, it may constitute a debenture, triggering Prospectus Requirements. Separately, it may also be classified as e-money under the PSA (Case Study 11).</w:t>
      </w:r>
    </w:p>
    <w:p>
      <w:pPr>
        <w:spacing w:after="80"/>
      </w:pPr>
    </w:p>
    <w:p>
      <w:pPr>
        <w:pStyle w:val="Heading3"/>
        <w:spacing w:after="80" w:before="180"/>
      </w:pPr>
      <w:r>
        <w:rPr>
          <w:rFonts w:ascii="Arial" w:cs="Arial" w:eastAsia="Arial" w:hAnsi="Arial"/>
          <w:b/>
          <w:bCs/>
          <w:color w:val="19376D"/>
          <w:sz w:val="22"/>
          <w:szCs w:val="22"/>
        </w:rPr>
        <w:t xml:space="preserve">(iii) Units in a Collective Investment Scheme — CIS (MAS Guide para 2.3.5 | Case Study 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3
(Token C)</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Company C pooled funds to invest in a portfolio of FinTech start-ups. Profits distributed to holders. Token C held to be a unit in a CIS — CMS licence for fund management required; CIS must be authorised or recognised by MAS.</w:t>
            </w:r>
          </w:p>
        </w:tc>
      </w:tr>
    </w:tbl>
    <w:p>
      <w:pPr>
        <w:spacing w:after="60"/>
      </w:pPr>
    </w:p>
    <w:p>
      <w:pPr>
        <w:pStyle w:val="ListParagraph"/>
        <w:numPr>
          <w:ilvl w:val="0"/>
          <w:numId w:val="2"/>
        </w:numPr>
        <w:spacing w:after="60"/>
      </w:pPr>
      <w:r>
        <w:rPr>
          <w:rFonts w:ascii="Arial" w:cs="Arial" w:eastAsia="Arial" w:hAnsi="Arial"/>
          <w:color w:val="1A1A2E"/>
          <w:sz w:val="20"/>
          <w:szCs w:val="20"/>
        </w:rPr>
        <w:t xml:space="preserve">A CIS arrangement exists where: participants lack day-to-day management control; property is managed as a whole by a manager; and contributions/profits are pooled</w:t>
      </w:r>
    </w:p>
    <w:p>
      <w:pPr>
        <w:pStyle w:val="ListParagraph"/>
        <w:numPr>
          <w:ilvl w:val="0"/>
          <w:numId w:val="2"/>
        </w:numPr>
        <w:spacing w:after="60"/>
      </w:pPr>
      <w:r>
        <w:rPr>
          <w:rFonts w:ascii="Arial" w:cs="Arial" w:eastAsia="Arial" w:hAnsi="Arial"/>
          <w:color w:val="1A1A2E"/>
          <w:sz w:val="20"/>
          <w:szCs w:val="20"/>
        </w:rPr>
        <w:t xml:space="preserve">If CFG's tokenized deposit structure pools customer funds and generates returns, it may inadvertently constitute a CIS, requiring authorisation under section 286 or recognition under section 287 of the SFA</w:t>
      </w:r>
    </w:p>
    <w:p>
      <w:pPr>
        <w:spacing w:after="100"/>
      </w:pPr>
    </w:p>
    <w:p>
      <w:pPr>
        <w:pStyle w:val="Heading2"/>
        <w:pBdr>
          <w:bottom w:val="single" w:color="576CBC" w:sz="4" w:space="1"/>
        </w:pBdr>
        <w:spacing w:after="100" w:before="240"/>
      </w:pPr>
      <w:r>
        <w:rPr>
          <w:rFonts w:ascii="Arial" w:cs="Arial" w:eastAsia="Arial" w:hAnsi="Arial"/>
          <w:b/>
          <w:bCs/>
          <w:color w:val="0B2447"/>
          <w:sz w:val="26"/>
          <w:szCs w:val="26"/>
        </w:rPr>
        <w:t xml:space="preserve">B. Regulated Under the PSA (DPT Services)</w:t>
      </w:r>
    </w:p>
    <w:p>
      <w:pPr>
        <w:spacing w:after="100"/>
      </w:pPr>
      <w:r>
        <w:rPr>
          <w:rFonts w:ascii="Arial" w:cs="Arial" w:eastAsia="Arial" w:hAnsi="Arial"/>
          <w:color w:val="1A1A2E"/>
          <w:sz w:val="20"/>
          <w:szCs w:val="20"/>
        </w:rPr>
        <w:t xml:space="preserve">The PSA (now incorporating the Payment Services Amendment Act 2021) regulates </w:t>
      </w:r>
      <w:r>
        <w:rPr>
          <w:rFonts w:ascii="Arial" w:cs="Arial" w:eastAsia="Arial" w:hAnsi="Arial"/>
          <w:b/>
          <w:bCs/>
          <w:color w:val="1A1A2E"/>
          <w:sz w:val="20"/>
          <w:szCs w:val="20"/>
        </w:rPr>
        <w:t xml:space="preserve">Digital Payment Tokens (DPTs)</w:t>
      </w:r>
      <w:r>
        <w:rPr>
          <w:rFonts w:ascii="Arial" w:cs="Arial" w:eastAsia="Arial" w:hAnsi="Arial"/>
          <w:color w:val="1A1A2E"/>
          <w:sz w:val="20"/>
          <w:szCs w:val="20"/>
        </w:rPr>
        <w:t xml:space="preserve"> — digital representations of value not denominated in or pegged to any currency, accepted as a medium of exchange.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6
(Company F)</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Company F operated a DPT exchange platform allowing users to exchange Bitcoin for fiat. While the SFA did not apply (no securities traded), the PSB (now PSA) regulated the activity for AML/CFT purposes — requiring a licence.</w:t>
            </w:r>
          </w:p>
        </w:tc>
      </w:tr>
    </w:tbl>
    <w:p>
      <w:pPr>
        <w:spacing w:after="60"/>
      </w:pPr>
    </w:p>
    <w:p>
      <w:pPr>
        <w:spacing w:after="100"/>
      </w:pPr>
      <w:r>
        <w:rPr>
          <w:rFonts w:ascii="Arial" w:cs="Arial" w:eastAsia="Arial" w:hAnsi="Arial"/>
          <w:color w:val="1A1A2E"/>
          <w:sz w:val="20"/>
          <w:szCs w:val="20"/>
        </w:rPr>
        <w:t xml:space="preserve">From April 2024, the expanded PSA covers DPT custodial services, DPT transfer services (including stablecoin remittances), and activities by Singapore-based entities serving overseas customers.</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C. Regulated Stablecoins — MAS Stablecoin Framework (August 2023)</w:t>
      </w:r>
    </w:p>
    <w:p>
      <w:pPr>
        <w:pStyle w:val="ListParagraph"/>
        <w:numPr>
          <w:ilvl w:val="0"/>
          <w:numId w:val="2"/>
        </w:numPr>
        <w:spacing w:after="60"/>
      </w:pPr>
      <w:r>
        <w:rPr>
          <w:rFonts w:ascii="Arial" w:cs="Arial" w:eastAsia="Arial" w:hAnsi="Arial"/>
          <w:color w:val="1A1A2E"/>
          <w:sz w:val="20"/>
          <w:szCs w:val="20"/>
        </w:rPr>
        <w:t xml:space="preserve">Single-currency stablecoins (SCS) pegged to SGD or G10 currencies, issued in Singapore, with circulation above SGD 5 million are regulated</w:t>
      </w:r>
    </w:p>
    <w:p>
      <w:pPr>
        <w:pStyle w:val="ListParagraph"/>
        <w:numPr>
          <w:ilvl w:val="0"/>
          <w:numId w:val="2"/>
        </w:numPr>
        <w:spacing w:after="60"/>
      </w:pPr>
      <w:r>
        <w:rPr>
          <w:rFonts w:ascii="Arial" w:cs="Arial" w:eastAsia="Arial" w:hAnsi="Arial"/>
          <w:color w:val="1A1A2E"/>
          <w:sz w:val="20"/>
          <w:szCs w:val="20"/>
        </w:rPr>
        <w:t xml:space="preserve">Issuers must maintain 100% reserve backing, minimum capital requirements, and par-value redemption within 5 business days</w:t>
      </w:r>
    </w:p>
    <w:p>
      <w:pPr>
        <w:pStyle w:val="ListParagraph"/>
        <w:numPr>
          <w:ilvl w:val="0"/>
          <w:numId w:val="2"/>
        </w:numPr>
        <w:spacing w:after="60"/>
      </w:pPr>
      <w:r>
        <w:rPr>
          <w:rFonts w:ascii="Arial" w:cs="Arial" w:eastAsia="Arial" w:hAnsi="Arial"/>
          <w:color w:val="1A1A2E"/>
          <w:sz w:val="20"/>
          <w:szCs w:val="20"/>
        </w:rPr>
        <w:t xml:space="preserve">MAS-regulated stablecoins may carry the "MAS-regulated stablecoin" label — a quality mark CFG should require of any stablecoin integrated into its remittance rails</w:t>
      </w:r>
    </w:p>
    <w:p>
      <w:pPr>
        <w:pStyle w:val="ListParagraph"/>
        <w:numPr>
          <w:ilvl w:val="0"/>
          <w:numId w:val="2"/>
        </w:numPr>
        <w:spacing w:after="60"/>
      </w:pPr>
      <w:r>
        <w:rPr>
          <w:rFonts w:ascii="Arial" w:cs="Arial" w:eastAsia="Arial" w:hAnsi="Arial"/>
          <w:color w:val="1A1A2E"/>
          <w:sz w:val="20"/>
          <w:szCs w:val="20"/>
        </w:rPr>
        <w:t xml:space="preserve">Note: Case Study 11 pre-dates the 2023 Stablecoin Framework but remains relevant — it demonstrates that buy-back/redemption obligations can trigger SFA debenture classification in addition to PSA e-money treatment</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D. Generally Unregulated Digital Assets — With Important Caveats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2320"/>
      </w:tblGrid>
      <w:tr>
        <w:trPr>
          <w:tblHeader/>
        </w:trPr>
        <w:tc>
          <w:tcPr>
            <w:tcW w:type="dxa" w:w="20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Asset Type</w:t>
            </w:r>
          </w:p>
        </w:tc>
        <w:tc>
          <w:tcPr>
            <w:tcW w:type="dxa" w:w="20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MAS Position</w:t>
            </w:r>
          </w:p>
        </w:tc>
        <w:tc>
          <w:tcPr>
            <w:tcW w:type="dxa" w:w="34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MAS Guide Reference</w:t>
            </w:r>
          </w:p>
        </w:tc>
        <w:tc>
          <w:tcPr>
            <w:tcW w:type="dxa" w:w="232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CFG Risk Note</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Utility Tokens</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Generally Unregulated</w:t>
            </w:r>
          </w:p>
        </w:tc>
        <w:tc>
          <w:tcPr>
            <w:tcW w:type="dxa" w:w="3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1 (Token A) — access rights to platform only; no financial rights attached</w:t>
            </w:r>
          </w:p>
        </w:tc>
        <w:tc>
          <w:tcPr>
            <w:tcW w:type="dxa" w:w="2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Low — unless CFG attaches monetary redemption rights</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Governance / Voting Tokens</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Generally Unregulated</w:t>
            </w:r>
          </w:p>
        </w:tc>
        <w:tc>
          <w:tcPr>
            <w:tcW w:type="dxa" w:w="3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8 (Token H) — voting rights only; no profit claim or debt obligation</w:t>
            </w:r>
          </w:p>
        </w:tc>
        <w:tc>
          <w:tcPr>
            <w:tcW w:type="dxa" w:w="2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Low — but substance-over-form test applies</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Advisory Service Tokens</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Generally Unregulated</w:t>
            </w:r>
          </w:p>
        </w:tc>
        <w:tc>
          <w:tcPr>
            <w:tcW w:type="dxa" w:w="3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9 (Token I) — operational services only; no financial advice given</w:t>
            </w:r>
          </w:p>
        </w:tc>
        <w:tc>
          <w:tcPr>
            <w:tcW w:type="dxa" w:w="2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Low</w:t>
            </w:r>
          </w:p>
        </w:tc>
      </w:tr>
      <w:tr>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NFTs (general)</w:t>
            </w:r>
          </w:p>
        </w:tc>
        <w:tc>
          <w:tcPr>
            <w:tcW w:type="dxa" w:w="20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Largely Unregulated</w:t>
            </w:r>
          </w:p>
        </w:tc>
        <w:tc>
          <w:tcPr>
            <w:tcW w:type="dxa" w:w="3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Not directly addressed; MAS substance-over-form approach (para 4.2) applies</w:t>
            </w:r>
          </w:p>
        </w:tc>
        <w:tc>
          <w:tcPr>
            <w:tcW w:type="dxa" w:w="23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HIGH — classification risk for CFG's loyalty program</w:t>
            </w:r>
          </w:p>
        </w:tc>
      </w:tr>
      <w:tr>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In-game / Closed-loop Tokens</w:t>
            </w:r>
          </w:p>
        </w:tc>
        <w:tc>
          <w:tcPr>
            <w:tcW w:type="dxa" w:w="20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Unregulated</w:t>
            </w:r>
          </w:p>
        </w:tc>
        <w:tc>
          <w:tcPr>
            <w:tcW w:type="dxa" w:w="3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Not convertible to fiat or DPTs</w:t>
            </w:r>
          </w:p>
        </w:tc>
        <w:tc>
          <w:tcPr>
            <w:tcW w:type="dxa" w:w="23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N/A</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D8EE" w:sz="1"/>
              <w:left w:val="single" w:color="D97706" w:sz="18"/>
              <w:bottom w:val="single" w:color="C8D8EE" w:sz="1"/>
              <w:right w:val="single" w:color="C8D8EE" w:sz="1"/>
            </w:tcBorders>
            <w:shd w:fill="FFFBEB" w:val="clear"/>
            <w:tcMar>
              <w:top w:type="dxa" w:w="120"/>
              <w:left w:type="dxa" w:w="200"/>
              <w:bottom w:type="dxa" w:w="120"/>
              <w:right w:type="dxa" w:w="200"/>
            </w:tcMar>
          </w:tcPr>
          <w:p>
            <w:pPr>
              <w:spacing w:after="60"/>
            </w:pPr>
            <w:r>
              <w:rPr>
                <w:rFonts w:ascii="Arial" w:cs="Arial" w:eastAsia="Arial" w:hAnsi="Arial"/>
                <w:b/>
                <w:bCs/>
                <w:color w:val="92400E"/>
                <w:sz w:val="19"/>
                <w:szCs w:val="19"/>
              </w:rPr>
              <w:t xml:space="preserve">⚠  Critical Warning — MAS Substance-Over-Form Test (MAS Guide para 4.2)</w:t>
            </w:r>
          </w:p>
          <w:p>
            <w:r>
              <w:rPr>
                <w:rFonts w:ascii="Arial" w:cs="Arial" w:eastAsia="Arial" w:hAnsi="Arial"/>
                <w:color w:val="78350F"/>
                <w:sz w:val="19"/>
                <w:szCs w:val="19"/>
              </w:rPr>
              <w:t xml:space="preserve">MAS explicitly warns: "When applying the law to your case, you and your legal advisers should look beyond labels and examine the features and characteristics of each token." CFG's NFT loyalty tokens — if tradeable on secondary markets for monetary value, or structured to confer profit participation — may be reclassified as securities under the SFA or DPTs under the PSA. A formal token classification assessment and independent legal opinion are mandatory before launch. MAS Guide Appendix 1 Critical Questions should be completed as a self-assessment first step.</w:t>
            </w:r>
          </w:p>
        </w:tc>
      </w:tr>
    </w:tbl>
    <w:p>
      <w:pPr>
        <w:spacing w:after="100"/>
      </w:pPr>
    </w:p>
    <w:p>
      <w:pPr>
        <w:pStyle w:val="Heading2"/>
        <w:pBdr>
          <w:bottom w:val="single" w:color="576CBC" w:sz="4" w:space="1"/>
        </w:pBdr>
        <w:spacing w:after="100" w:before="240"/>
      </w:pPr>
      <w:r>
        <w:rPr>
          <w:rFonts w:ascii="Arial" w:cs="Arial" w:eastAsia="Arial" w:hAnsi="Arial"/>
          <w:b/>
          <w:bCs/>
          <w:color w:val="0B2447"/>
          <w:sz w:val="26"/>
          <w:szCs w:val="26"/>
        </w:rPr>
        <w:t xml:space="preserve">E. Extra-Territorial Reach of Singapore's Securities Laws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Guide
paras 2.12–2.13</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Section 339 of the SFA may apply extra-territorially where CFG operates a primary or trading platform partly outside Singapore. Case Study 7 (Token G) demonstrates that a US "investment contract" under the Howey Test is not the same as a capital markets product under the SFA — CFG must conduct its own Singapore law analysis independently.</w:t>
            </w:r>
          </w:p>
        </w:tc>
      </w:tr>
    </w:tbl>
    <w:p>
      <w:pPr>
        <w:spacing w:after="60"/>
      </w:pPr>
    </w:p>
    <w:p>
      <w:pPr>
        <w:spacing w:after="100"/>
      </w:pPr>
      <w:r>
        <w:rPr>
          <w:rFonts w:ascii="Arial" w:cs="Arial" w:eastAsia="Arial" w:hAnsi="Arial"/>
          <w:color w:val="1A1A2E"/>
          <w:sz w:val="20"/>
          <w:szCs w:val="20"/>
        </w:rPr>
        <w:t xml:space="preserve">Separately, any overseas person inducing Singapore users to use financial advisory services is deemed to be acting as a financial adviser in Singapore under section 6(2) of the FAA (MAS Guide para 2.13).</w:t>
      </w:r>
    </w:p>
    <w:p>
      <w:pPr>
        <w:spacing w:after="20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19376D" w:sz="1"/>
              <w:left w:val="single" w:color="19376D" w:sz="1"/>
              <w:bottom w:val="single" w:color="19376D" w:sz="1"/>
              <w:right w:val="single" w:color="19376D" w:sz="1"/>
            </w:tcBorders>
            <w:shd w:fill="19376D"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Q4</w:t>
            </w:r>
          </w:p>
        </w:tc>
        <w:tc>
          <w:tcPr>
            <w:tcW w:type="dxa" w:w="8920"/>
            <w:tcBorders>
              <w:top w:val="single" w:color="19376D" w:sz="1"/>
              <w:left w:val="single" w:color="19376D" w:sz="1"/>
              <w:bottom w:val="single" w:color="19376D" w:sz="1"/>
              <w:right w:val="single" w:color="19376D" w:sz="1"/>
            </w:tcBorders>
            <w:shd w:fill="0B2447" w:val="clear"/>
            <w:tcMar>
              <w:top w:type="dxa" w:w="120"/>
              <w:left w:type="dxa" w:w="180"/>
              <w:bottom w:type="dxa" w:w="120"/>
              <w:right w:type="dxa" w:w="120"/>
            </w:tcMar>
            <w:vAlign w:val="center"/>
          </w:tcPr>
          <w:p>
            <w:r>
              <w:rPr>
                <w:rFonts w:ascii="Arial" w:cs="Arial" w:eastAsia="Arial" w:hAnsi="Arial"/>
                <w:b/>
                <w:bCs/>
                <w:color w:val="FFFFFF"/>
                <w:sz w:val="22"/>
                <w:szCs w:val="22"/>
              </w:rPr>
              <w:t xml:space="preserve">What activities involving digital assets constitute regulated activity requiring licensing?</w:t>
            </w:r>
          </w:p>
        </w:tc>
      </w:tr>
    </w:tbl>
    <w:p>
      <w:pPr>
        <w:spacing w:after="120"/>
      </w:pPr>
    </w:p>
    <w:p>
      <w:pPr>
        <w:spacing w:after="100"/>
      </w:pPr>
      <w:r>
        <w:rPr>
          <w:rFonts w:ascii="Arial" w:cs="Arial" w:eastAsia="Arial" w:hAnsi="Arial"/>
          <w:color w:val="1A1A2E"/>
          <w:sz w:val="20"/>
          <w:szCs w:val="20"/>
        </w:rPr>
        <w:t xml:space="preserve">The MAS Guide (paras 2.8–2.11) identifies three key categories of intermediaries who may require licensing when facilitating digital token activities. CFG's proposed initiatives must be mapped against each category.</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A. Category 1: Primary Platform Operators (MAS Guide para 2.9)</w:t>
      </w:r>
    </w:p>
    <w:p>
      <w:pPr>
        <w:spacing w:after="100"/>
      </w:pPr>
      <w:r>
        <w:rPr>
          <w:rFonts w:ascii="Arial" w:cs="Arial" w:eastAsia="Arial" w:hAnsi="Arial"/>
          <w:color w:val="1A1A2E"/>
          <w:sz w:val="20"/>
          <w:szCs w:val="20"/>
        </w:rPr>
        <w:t xml:space="preserve">A person operating a </w:t>
      </w:r>
      <w:r>
        <w:rPr>
          <w:rFonts w:ascii="Arial" w:cs="Arial" w:eastAsia="Arial" w:hAnsi="Arial"/>
          <w:b/>
          <w:bCs/>
          <w:color w:val="1A1A2E"/>
          <w:sz w:val="20"/>
          <w:szCs w:val="20"/>
        </w:rPr>
        <w:t xml:space="preserve">primary platform</w:t>
      </w:r>
      <w:r>
        <w:rPr>
          <w:rFonts w:ascii="Arial" w:cs="Arial" w:eastAsia="Arial" w:hAnsi="Arial"/>
          <w:color w:val="1A1A2E"/>
          <w:sz w:val="20"/>
          <w:szCs w:val="20"/>
        </w:rPr>
        <w:t xml:space="preserve"> in Singapore (enabling offerors to make primary offers/issues of digital tokens constituting capital markets products) may be carrying on a regulated activity under the SFA, requiring a </w:t>
      </w:r>
      <w:r>
        <w:rPr>
          <w:rFonts w:ascii="Arial" w:cs="Arial" w:eastAsia="Arial" w:hAnsi="Arial"/>
          <w:b/>
          <w:bCs/>
          <w:color w:val="1A1A2E"/>
          <w:sz w:val="20"/>
          <w:szCs w:val="20"/>
        </w:rPr>
        <w:t xml:space="preserve">Capital Markets Services (CMS) licence</w:t>
      </w:r>
      <w:r>
        <w:rPr>
          <w:rFonts w:ascii="Arial" w:cs="Arial" w:eastAsia="Arial" w:hAnsi="Arial"/>
          <w:color w:val="1A1A2E"/>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5
(Company E)</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Company E operated a platform enabling start-ups to raise funds via digital token offerings (Token E — debentures). Held to require a CMS licence for dealing in capital markets products that are securities, and approval as a Recognised Market Operator for secondary trading.</w:t>
            </w:r>
          </w:p>
        </w:tc>
      </w:tr>
    </w:tbl>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B. Category 2: Financial Advisers (MAS Guide para 2.10)</w:t>
      </w:r>
    </w:p>
    <w:p>
      <w:pPr>
        <w:spacing w:after="100"/>
      </w:pPr>
      <w:r>
        <w:rPr>
          <w:rFonts w:ascii="Arial" w:cs="Arial" w:eastAsia="Arial" w:hAnsi="Arial"/>
          <w:color w:val="1A1A2E"/>
          <w:sz w:val="20"/>
          <w:szCs w:val="20"/>
        </w:rPr>
        <w:t xml:space="preserve">A person providing </w:t>
      </w:r>
      <w:r>
        <w:rPr>
          <w:rFonts w:ascii="Arial" w:cs="Arial" w:eastAsia="Arial" w:hAnsi="Arial"/>
          <w:b/>
          <w:bCs/>
          <w:color w:val="1A1A2E"/>
          <w:sz w:val="20"/>
          <w:szCs w:val="20"/>
        </w:rPr>
        <w:t xml:space="preserve">financial advice on any digital token that is an investment product</w:t>
      </w:r>
      <w:r>
        <w:rPr>
          <w:rFonts w:ascii="Arial" w:cs="Arial" w:eastAsia="Arial" w:hAnsi="Arial"/>
          <w:color w:val="1A1A2E"/>
          <w:sz w:val="20"/>
          <w:szCs w:val="20"/>
        </w:rPr>
        <w:t xml:space="preserve"> must hold a Financial Adviser's licence under the FAA, or qualify as an exempt financial adviser.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2
(Company B)</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Company B provided financial advice in relation to its offer of Token B (a share). Required to be a licensed financial adviser under FAA — or rely on an applicable exemption (e.g., if it already holds a CMS licence for dealing in securities).</w:t>
            </w:r>
          </w:p>
        </w:tc>
      </w:tr>
    </w:tbl>
    <w:p>
      <w:pPr>
        <w:spacing w:after="60"/>
      </w:pPr>
    </w:p>
    <w:p>
      <w:pPr>
        <w:spacing w:after="100"/>
      </w:pPr>
      <w:r>
        <w:rPr>
          <w:rFonts w:ascii="Arial" w:cs="Arial" w:eastAsia="Arial" w:hAnsi="Arial"/>
          <w:b/>
          <w:bCs/>
          <w:color w:val="1A1A2E"/>
          <w:sz w:val="20"/>
          <w:szCs w:val="20"/>
        </w:rPr>
        <w:t xml:space="preserve">Note for CFG: </w:t>
      </w:r>
      <w:r>
        <w:rPr>
          <w:rFonts w:ascii="Arial" w:cs="Arial" w:eastAsia="Arial" w:hAnsi="Arial"/>
          <w:color w:val="1A1A2E"/>
          <w:sz w:val="20"/>
          <w:szCs w:val="20"/>
        </w:rPr>
        <w:t xml:space="preserve">If CFG provides any investment advice to clients regarding stablecoins, tokenized deposits, or security tokens, it must hold the appropriate FA or CMS licence. The distinction between providing information and providing financial advice is critical and must be assessed with legal counsel.</w:t>
      </w:r>
    </w:p>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C. Category 3: Trading Platform Operators / Organised Markets (MAS Guide para 2.11)</w:t>
      </w:r>
    </w:p>
    <w:p>
      <w:pPr>
        <w:spacing w:after="100"/>
      </w:pPr>
      <w:r>
        <w:rPr>
          <w:rFonts w:ascii="Arial" w:cs="Arial" w:eastAsia="Arial" w:hAnsi="Arial"/>
          <w:color w:val="1A1A2E"/>
          <w:sz w:val="20"/>
          <w:szCs w:val="20"/>
        </w:rPr>
        <w:t xml:space="preserve">A person establishing or operating a </w:t>
      </w:r>
      <w:r>
        <w:rPr>
          <w:rFonts w:ascii="Arial" w:cs="Arial" w:eastAsia="Arial" w:hAnsi="Arial"/>
          <w:b/>
          <w:bCs/>
          <w:color w:val="1A1A2E"/>
          <w:sz w:val="20"/>
          <w:szCs w:val="20"/>
        </w:rPr>
        <w:t xml:space="preserve">trading platform for digital tokens that constitute securities, derivatives contracts, or CIS units</w:t>
      </w:r>
      <w:r>
        <w:rPr>
          <w:rFonts w:ascii="Arial" w:cs="Arial" w:eastAsia="Arial" w:hAnsi="Arial"/>
          <w:color w:val="1A1A2E"/>
          <w:sz w:val="20"/>
          <w:szCs w:val="20"/>
        </w:rPr>
        <w:t xml:space="preserve"> is operating an organised market and must be approved by MAS as an </w:t>
      </w:r>
      <w:r>
        <w:rPr>
          <w:rFonts w:ascii="Arial" w:cs="Arial" w:eastAsia="Arial" w:hAnsi="Arial"/>
          <w:b/>
          <w:bCs/>
          <w:color w:val="1A1A2E"/>
          <w:sz w:val="20"/>
          <w:szCs w:val="20"/>
        </w:rPr>
        <w:t xml:space="preserve">Approved Exchange</w:t>
      </w:r>
      <w:r>
        <w:rPr>
          <w:rFonts w:ascii="Arial" w:cs="Arial" w:eastAsia="Arial" w:hAnsi="Arial"/>
          <w:color w:val="1A1A2E"/>
          <w:sz w:val="20"/>
          <w:szCs w:val="20"/>
        </w:rPr>
        <w:t xml:space="preserve"> or recognised as a </w:t>
      </w:r>
      <w:r>
        <w:rPr>
          <w:rFonts w:ascii="Arial" w:cs="Arial" w:eastAsia="Arial" w:hAnsi="Arial"/>
          <w:b/>
          <w:bCs/>
          <w:color w:val="1A1A2E"/>
          <w:sz w:val="20"/>
          <w:szCs w:val="20"/>
        </w:rPr>
        <w:t xml:space="preserve">Recognised Market Operator (RMO)</w:t>
      </w:r>
      <w:r>
        <w:rPr>
          <w:rFonts w:ascii="Arial" w:cs="Arial" w:eastAsia="Arial" w:hAnsi="Arial"/>
          <w:color w:val="1A1A2E"/>
          <w:sz w:val="20"/>
          <w:szCs w:val="20"/>
        </w:rPr>
        <w:t xml:space="preserve"> under the SFA.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19376D" w:sz="1"/>
              <w:left w:val="single" w:color="19376D" w:sz="1"/>
              <w:bottom w:val="single" w:color="19376D" w:sz="1"/>
              <w:right w:val="single" w:color="19376D" w:sz="1"/>
            </w:tcBorders>
            <w:shd w:fill="19376D" w:val="clear"/>
            <w:tcMar>
              <w:top w:type="dxa" w:w="80"/>
              <w:left w:type="dxa" w:w="120"/>
              <w:bottom w:type="dxa" w:w="80"/>
              <w:right w:type="dxa" w:w="100"/>
            </w:tcMar>
            <w:vAlign w:val="center"/>
          </w:tcPr>
          <w:p>
            <w:pPr>
              <w:jc w:val="center"/>
            </w:pPr>
            <w:r>
              <w:rPr>
                <w:rFonts w:ascii="Arial" w:cs="Arial" w:eastAsia="Arial" w:hAnsi="Arial"/>
                <w:b/>
                <w:bCs/>
                <w:color w:val="A5D7E8"/>
                <w:sz w:val="17"/>
                <w:szCs w:val="17"/>
              </w:rPr>
              <w:t xml:space="preserve">MAS Case Study 5
(Company E)</w:t>
            </w:r>
          </w:p>
        </w:tc>
        <w:tc>
          <w:tcPr>
            <w:tcW w:type="dxa" w:w="8120"/>
            <w:tcBorders>
              <w:top w:val="single" w:color="C8D8EE" w:sz="1"/>
              <w:left w:val="single" w:color="C8D8EE" w:sz="1"/>
              <w:bottom w:val="single" w:color="C8D8EE" w:sz="1"/>
              <w:right w:val="single" w:color="C8D8EE" w:sz="1"/>
            </w:tcBorders>
            <w:shd w:fill="EEF4FB" w:val="clear"/>
            <w:tcMar>
              <w:top w:type="dxa" w:w="80"/>
              <w:left w:type="dxa" w:w="140"/>
              <w:bottom w:type="dxa" w:w="80"/>
              <w:right w:type="dxa" w:w="100"/>
            </w:tcMar>
          </w:tcPr>
          <w:p>
            <w:r>
              <w:rPr>
                <w:rFonts w:ascii="Arial" w:cs="Arial" w:eastAsia="Arial" w:hAnsi="Arial"/>
                <w:color w:val="1A1A2E"/>
                <w:sz w:val="18"/>
                <w:szCs w:val="18"/>
              </w:rPr>
              <w:t xml:space="preserve">Company E's platform facilitated secondary trading of Token E (debentures). Held to be operating an organised market — requiring approval as an Approved Exchange or recognition as an RMO.</w:t>
            </w:r>
          </w:p>
        </w:tc>
      </w:tr>
    </w:tbl>
    <w:p>
      <w:pPr>
        <w:spacing w:after="80"/>
      </w:pPr>
    </w:p>
    <w:p>
      <w:pPr>
        <w:pStyle w:val="Heading2"/>
        <w:pBdr>
          <w:bottom w:val="single" w:color="576CBC" w:sz="4" w:space="1"/>
        </w:pBdr>
        <w:spacing w:after="100" w:before="240"/>
      </w:pPr>
      <w:r>
        <w:rPr>
          <w:rFonts w:ascii="Arial" w:cs="Arial" w:eastAsia="Arial" w:hAnsi="Arial"/>
          <w:b/>
          <w:bCs/>
          <w:color w:val="0B2447"/>
          <w:sz w:val="26"/>
          <w:szCs w:val="26"/>
        </w:rPr>
        <w:t xml:space="preserve">D. Regulated vs Unregulated Activities — Full PSA/SFA Matrix</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120"/>
      </w:tblGrid>
      <w:tr>
        <w:trPr>
          <w:tblHeader/>
        </w:trPr>
        <w:tc>
          <w:tcPr>
            <w:tcW w:type="dxa" w:w="38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Activity</w:t>
            </w:r>
          </w:p>
        </w:tc>
        <w:tc>
          <w:tcPr>
            <w:tcW w:type="dxa" w:w="18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Regulated?</w:t>
            </w:r>
          </w:p>
        </w:tc>
        <w:tc>
          <w:tcPr>
            <w:tcW w:type="dxa" w:w="412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Authority / Licence Required</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Buying/selling DPTs against fiat (OTC or exchange)</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MPI/SPI Licence (PSA) — DPT Exchange Service</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Operating a platform for DPT trades between third parties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MPI Licence (PSA) — DPT Exchange Service</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Transmitting DPTs on behalf of customers (stablecoin remittances)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MPI Licence (PSA) — DPT Transfer Service</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Custody of customer DPTs (holding private keys)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MPI Licence (PSA) — DPT Custodial Service (from 2024)</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Offering digital tokens that are securities (shares, debentures)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Prospectus Requirements under SFA Part XIII — CMS Licence</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Dealing in security tokens for customers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CMS Licence — Dealing in Capital Markets Products (SFA)</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Financial advice on digital tokens as investment products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Financial Adviser's Licence (FAA) or CMS Licence (SFA)</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Fund management involving digital securities / CIS tokens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CMS Licence — Fund Management (SFA)</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Operating a secondary trading platform for security tokens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Approved Exchange or RMO (SFA) — MAS Guide para 2.11</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Safe custody of security tokens for customers</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SFA and MAS Notice on Custody</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Tokenized deposit issuance</w:t>
            </w:r>
          </w:p>
        </w:tc>
        <w:tc>
          <w:tcPr>
            <w:tcW w:type="dxa" w:w="1800"/>
            <w:tcBorders>
              <w:top w:val="single" w:color="C8D8EE" w:sz="1"/>
              <w:left w:val="single" w:color="C8D8EE" w:sz="1"/>
              <w:bottom w:val="single" w:color="C8D8EE" w:sz="1"/>
              <w:right w:val="single" w:color="C8D8EE" w:sz="1"/>
            </w:tcBorders>
            <w:shd w:fill="EAF6EE" w:val="clear"/>
            <w:tcMar>
              <w:top w:type="dxa" w:w="70"/>
              <w:left w:type="dxa" w:w="120"/>
              <w:bottom w:type="dxa" w:w="70"/>
              <w:right w:type="dxa" w:w="80"/>
            </w:tcMar>
          </w:tcPr>
          <w:p>
            <w:r>
              <w:rPr>
                <w:rFonts w:ascii="Arial" w:cs="Arial" w:eastAsia="Arial" w:hAnsi="Arial"/>
                <w:b/>
                <w:bCs/>
                <w:color w:val="1B7A3E"/>
                <w:sz w:val="18"/>
                <w:szCs w:val="18"/>
              </w:rPr>
              <w:t xml:space="preserve">✓ Yes — 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Banking Act — Banking Licence + MAS Engagement</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Internal blockchain use for settlement (no customer DPT dealings)</w:t>
            </w:r>
          </w:p>
        </w:tc>
        <w:tc>
          <w:tcPr>
            <w:tcW w:type="dxa" w:w="1800"/>
            <w:tcBorders>
              <w:top w:val="single" w:color="C8D8EE" w:sz="1"/>
              <w:left w:val="single" w:color="C8D8EE" w:sz="1"/>
              <w:bottom w:val="single" w:color="C8D8EE" w:sz="1"/>
              <w:right w:val="single" w:color="C8D8EE" w:sz="1"/>
            </w:tcBorders>
            <w:shd w:fill="FEF2F2" w:val="clear"/>
            <w:tcMar>
              <w:top w:type="dxa" w:w="70"/>
              <w:left w:type="dxa" w:w="120"/>
              <w:bottom w:type="dxa" w:w="70"/>
              <w:right w:type="dxa" w:w="80"/>
            </w:tcMar>
          </w:tcPr>
          <w:p>
            <w:r>
              <w:rPr>
                <w:rFonts w:ascii="Arial" w:cs="Arial" w:eastAsia="Arial" w:hAnsi="Arial"/>
                <w:b/>
                <w:bCs/>
                <w:color w:val="B91C1C"/>
                <w:sz w:val="18"/>
                <w:szCs w:val="18"/>
              </w:rPr>
              <w:t xml:space="preserve">✗ No — Unregulated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Not a regulated DPT service — Phase 1 DLT pilot structure</w:t>
            </w:r>
          </w:p>
        </w:tc>
      </w:tr>
      <w:tr>
        <w:tc>
          <w:tcPr>
            <w:tcW w:type="dxa" w:w="3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Utility token offering — platform access rights only</w:t>
            </w:r>
          </w:p>
        </w:tc>
        <w:tc>
          <w:tcPr>
            <w:tcW w:type="dxa" w:w="1800"/>
            <w:tcBorders>
              <w:top w:val="single" w:color="C8D8EE" w:sz="1"/>
              <w:left w:val="single" w:color="C8D8EE" w:sz="1"/>
              <w:bottom w:val="single" w:color="C8D8EE" w:sz="1"/>
              <w:right w:val="single" w:color="C8D8EE" w:sz="1"/>
            </w:tcBorders>
            <w:shd w:fill="FEF2F2" w:val="clear"/>
            <w:tcMar>
              <w:top w:type="dxa" w:w="70"/>
              <w:left w:type="dxa" w:w="120"/>
              <w:bottom w:type="dxa" w:w="70"/>
              <w:right w:type="dxa" w:w="80"/>
            </w:tcMar>
          </w:tcPr>
          <w:p>
            <w:r>
              <w:rPr>
                <w:rFonts w:ascii="Arial" w:cs="Arial" w:eastAsia="Arial" w:hAnsi="Arial"/>
                <w:b/>
                <w:bCs/>
                <w:color w:val="B91C1C"/>
                <w:sz w:val="18"/>
                <w:szCs w:val="18"/>
              </w:rPr>
              <w:t xml:space="preserve">✗ No — Unregulated</w:t>
            </w:r>
          </w:p>
        </w:tc>
        <w:tc>
          <w:tcPr>
            <w:tcW w:type="dxa" w:w="4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MAS Guide Case Study 1 — No SFA/FAA requirements; CDSA/TSOFA still apply</w:t>
            </w:r>
          </w:p>
        </w:tc>
      </w:tr>
      <w:tr>
        <w:tc>
          <w:tcPr>
            <w:tcW w:type="dxa" w:w="3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Advisory operational services only — no financial advice given</w:t>
            </w:r>
          </w:p>
        </w:tc>
        <w:tc>
          <w:tcPr>
            <w:tcW w:type="dxa" w:w="1800"/>
            <w:tcBorders>
              <w:top w:val="single" w:color="C8D8EE" w:sz="1"/>
              <w:left w:val="single" w:color="C8D8EE" w:sz="1"/>
              <w:bottom w:val="single" w:color="C8D8EE" w:sz="1"/>
              <w:right w:val="single" w:color="C8D8EE" w:sz="1"/>
            </w:tcBorders>
            <w:shd w:fill="FEF2F2" w:val="clear"/>
            <w:tcMar>
              <w:top w:type="dxa" w:w="70"/>
              <w:left w:type="dxa" w:w="120"/>
              <w:bottom w:type="dxa" w:w="70"/>
              <w:right w:type="dxa" w:w="80"/>
            </w:tcMar>
          </w:tcPr>
          <w:p>
            <w:r>
              <w:rPr>
                <w:rFonts w:ascii="Arial" w:cs="Arial" w:eastAsia="Arial" w:hAnsi="Arial"/>
                <w:b/>
                <w:bCs/>
                <w:color w:val="B91C1C"/>
                <w:sz w:val="18"/>
                <w:szCs w:val="18"/>
              </w:rPr>
              <w:t xml:space="preserve">✗ No — Unregulated</w:t>
            </w:r>
          </w:p>
        </w:tc>
        <w:tc>
          <w:tcPr>
            <w:tcW w:type="dxa" w:w="4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MAS Guide Case Study 9 — operational services not regulated activity</w:t>
            </w:r>
          </w:p>
        </w:tc>
      </w:tr>
    </w:tbl>
    <w:p>
      <w:pPr>
        <w:spacing w:after="120"/>
      </w:pPr>
    </w:p>
    <w:p>
      <w:pPr>
        <w:pStyle w:val="Heading2"/>
        <w:pBdr>
          <w:bottom w:val="single" w:color="576CBC" w:sz="4" w:space="1"/>
        </w:pBdr>
        <w:spacing w:after="100" w:before="240"/>
      </w:pPr>
      <w:r>
        <w:rPr>
          <w:rFonts w:ascii="Arial" w:cs="Arial" w:eastAsia="Arial" w:hAnsi="Arial"/>
          <w:b/>
          <w:bCs/>
          <w:color w:val="0B2447"/>
          <w:sz w:val="26"/>
          <w:szCs w:val="26"/>
        </w:rPr>
        <w:t xml:space="preserve">E. Licensing Summary for CFG's Proposed Initiatives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120"/>
      </w:tblGrid>
      <w:tr>
        <w:trPr>
          <w:tblHeader/>
        </w:trPr>
        <w:tc>
          <w:tcPr>
            <w:tcW w:type="dxa" w:w="24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CFG Initiative</w:t>
            </w:r>
          </w:p>
        </w:tc>
        <w:tc>
          <w:tcPr>
            <w:tcW w:type="dxa" w:w="28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MAS Guide Analogue</w:t>
            </w:r>
          </w:p>
        </w:tc>
        <w:tc>
          <w:tcPr>
            <w:tcW w:type="dxa" w:w="240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Classification</w:t>
            </w:r>
          </w:p>
        </w:tc>
        <w:tc>
          <w:tcPr>
            <w:tcW w:type="dxa" w:w="2120"/>
            <w:tcBorders>
              <w:top w:val="single" w:color="19376D" w:sz="1"/>
              <w:left w:val="single" w:color="19376D" w:sz="1"/>
              <w:bottom w:val="single" w:color="19376D" w:sz="1"/>
              <w:right w:val="single" w:color="19376D" w:sz="1"/>
            </w:tcBorders>
            <w:shd w:fill="0B2447" w:val="clear"/>
            <w:tcMar>
              <w:top w:type="dxa" w:w="80"/>
              <w:left w:type="dxa" w:w="120"/>
              <w:bottom w:type="dxa" w:w="80"/>
              <w:right w:type="dxa" w:w="80"/>
            </w:tcMar>
          </w:tcPr>
          <w:p>
            <w:r>
              <w:rPr>
                <w:rFonts w:ascii="Arial" w:cs="Arial" w:eastAsia="Arial" w:hAnsi="Arial"/>
                <w:b/>
                <w:bCs/>
                <w:color w:val="FFFFFF"/>
                <w:sz w:val="18"/>
                <w:szCs w:val="18"/>
              </w:rPr>
              <w:t xml:space="preserve">Licence Required</w:t>
            </w:r>
          </w:p>
        </w:tc>
      </w:tr>
      <w:tr>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Stablecoin Remittances</w:t>
            </w:r>
          </w:p>
        </w:tc>
        <w:tc>
          <w:tcPr>
            <w:tcW w:type="dxa" w:w="2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11 (Token K) — e-money / potential debenture</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DPT Transfer Service / SCS (Stablecoin Framework)</w:t>
            </w:r>
          </w:p>
        </w:tc>
        <w:tc>
          <w:tcPr>
            <w:tcW w:type="dxa" w:w="2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MPI Licence (PSA)</w:t>
            </w:r>
          </w:p>
        </w:tc>
      </w:tr>
      <w:tr>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Tokenized Deposits</w:t>
            </w:r>
          </w:p>
        </w:tc>
        <w:tc>
          <w:tcPr>
            <w:tcW w:type="dxa" w:w="2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Not in Guide — MAS engagement required</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Deposit-taking under Banking Act</w:t>
            </w:r>
          </w:p>
        </w:tc>
        <w:tc>
          <w:tcPr>
            <w:tcW w:type="dxa" w:w="2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Banking Licence + MAS Sandbox recommended</w:t>
            </w:r>
          </w:p>
        </w:tc>
      </w:tr>
      <w:tr>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NFT Loyalty Program</w:t>
            </w:r>
          </w:p>
        </w:tc>
        <w:tc>
          <w:tcPr>
            <w:tcW w:type="dxa" w:w="2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8 (Token H) — if purely voting/access rights only</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Unregulated (if loyalty-only) → subject to classification</w:t>
            </w:r>
          </w:p>
        </w:tc>
        <w:tc>
          <w:tcPr>
            <w:tcW w:type="dxa" w:w="2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Halt pending legal opinion — possible SFA/PSA</w:t>
            </w:r>
          </w:p>
        </w:tc>
      </w:tr>
      <w:tr>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Custody of Customer DPTs</w:t>
            </w:r>
          </w:p>
        </w:tc>
        <w:tc>
          <w:tcPr>
            <w:tcW w:type="dxa" w:w="2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6 — DPT exchange AML/CFT obligations</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DPT Custodial Service (PSA from 2024)</w:t>
            </w:r>
          </w:p>
        </w:tc>
        <w:tc>
          <w:tcPr>
            <w:tcW w:type="dxa" w:w="2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MPI Licence (PSA)</w:t>
            </w:r>
          </w:p>
        </w:tc>
      </w:tr>
      <w:tr>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Advisory on Security Tokens</w:t>
            </w:r>
          </w:p>
        </w:tc>
        <w:tc>
          <w:tcPr>
            <w:tcW w:type="dxa" w:w="28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2 (Company B) — FA licence required</w:t>
            </w:r>
          </w:p>
        </w:tc>
        <w:tc>
          <w:tcPr>
            <w:tcW w:type="dxa" w:w="240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Capital Markets Advisory / Financial Advisory</w:t>
            </w:r>
          </w:p>
        </w:tc>
        <w:tc>
          <w:tcPr>
            <w:tcW w:type="dxa" w:w="2120"/>
            <w:tcBorders>
              <w:top w:val="single" w:color="C8D8EE" w:sz="1"/>
              <w:left w:val="single" w:color="C8D8EE" w:sz="1"/>
              <w:bottom w:val="single" w:color="C8D8EE" w:sz="1"/>
              <w:right w:val="single" w:color="C8D8EE" w:sz="1"/>
            </w:tcBorders>
            <w:shd w:fill="FFFFFF" w:val="clear"/>
            <w:tcMar>
              <w:top w:type="dxa" w:w="70"/>
              <w:left w:type="dxa" w:w="120"/>
              <w:bottom w:type="dxa" w:w="70"/>
              <w:right w:type="dxa" w:w="80"/>
            </w:tcMar>
          </w:tcPr>
          <w:p>
            <w:r>
              <w:rPr>
                <w:rFonts w:ascii="Arial" w:cs="Arial" w:eastAsia="Arial" w:hAnsi="Arial"/>
                <w:b w:val="false"/>
                <w:bCs w:val="false"/>
                <w:color w:val="1A1A2E"/>
                <w:sz w:val="18"/>
                <w:szCs w:val="18"/>
              </w:rPr>
              <w:t xml:space="preserve">CMS Licence (SFA) or FA Licence (FAA)</w:t>
            </w:r>
          </w:p>
        </w:tc>
      </w:tr>
      <w:tr>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Operating a Token Trading Platform</w:t>
            </w:r>
          </w:p>
        </w:tc>
        <w:tc>
          <w:tcPr>
            <w:tcW w:type="dxa" w:w="28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Case Study 5 (Company E) — organised market</w:t>
            </w:r>
          </w:p>
        </w:tc>
        <w:tc>
          <w:tcPr>
            <w:tcW w:type="dxa" w:w="240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Approved Exchange or RMO</w:t>
            </w:r>
          </w:p>
        </w:tc>
        <w:tc>
          <w:tcPr>
            <w:tcW w:type="dxa" w:w="2120"/>
            <w:tcBorders>
              <w:top w:val="single" w:color="C8D8EE" w:sz="1"/>
              <w:left w:val="single" w:color="C8D8EE" w:sz="1"/>
              <w:bottom w:val="single" w:color="C8D8EE" w:sz="1"/>
              <w:right w:val="single" w:color="C8D8EE" w:sz="1"/>
            </w:tcBorders>
            <w:shd w:fill="EEF4FB" w:val="clear"/>
            <w:tcMar>
              <w:top w:type="dxa" w:w="70"/>
              <w:left w:type="dxa" w:w="120"/>
              <w:bottom w:type="dxa" w:w="70"/>
              <w:right w:type="dxa" w:w="80"/>
            </w:tcMar>
          </w:tcPr>
          <w:p>
            <w:r>
              <w:rPr>
                <w:rFonts w:ascii="Arial" w:cs="Arial" w:eastAsia="Arial" w:hAnsi="Arial"/>
                <w:b w:val="false"/>
                <w:bCs w:val="false"/>
                <w:color w:val="1A1A2E"/>
                <w:sz w:val="18"/>
                <w:szCs w:val="18"/>
              </w:rPr>
              <w:t xml:space="preserve">MAS Approval as AE or RMO (SFA)</w:t>
            </w:r>
          </w:p>
        </w:tc>
      </w:tr>
    </w:tbl>
    <w:p>
      <w:pPr>
        <w:spacing w:after="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B2447" w:sz="1"/>
              <w:left w:val="single" w:color="0B2447" w:sz="1"/>
              <w:bottom w:val="single" w:color="0B2447" w:sz="1"/>
              <w:right w:val="single" w:color="0B2447" w:sz="1"/>
            </w:tcBorders>
            <w:shd w:fill="0B2447" w:val="clear"/>
            <w:tcMar>
              <w:top w:type="dxa" w:w="320"/>
              <w:left w:type="dxa" w:w="400"/>
              <w:bottom w:type="dxa" w:w="320"/>
              <w:right w:type="dxa" w:w="400"/>
            </w:tcMar>
          </w:tcPr>
          <w:p>
            <w:pPr>
              <w:spacing w:after="40"/>
              <w:jc w:val="center"/>
            </w:pPr>
            <w:r>
              <w:rPr>
                <w:rFonts w:ascii="Arial" w:cs="Arial" w:eastAsia="Arial" w:hAnsi="Arial"/>
                <w:b/>
                <w:bCs/>
                <w:color w:val="FFFFFF"/>
                <w:sz w:val="30"/>
                <w:szCs w:val="30"/>
              </w:rPr>
              <w:t xml:space="preserve">Advisory Conclusion — Recommendations to CFG's Board</w:t>
            </w:r>
          </w:p>
          <w:p>
            <w:pPr>
              <w:spacing w:after="200"/>
              <w:jc w:val="center"/>
            </w:pPr>
            <w:r>
              <w:rPr>
                <w:rFonts w:ascii="Arial" w:cs="Arial" w:eastAsia="Arial" w:hAnsi="Arial"/>
                <w:i/>
                <w:iCs/>
                <w:color w:val="A5D7E8"/>
                <w:sz w:val="18"/>
                <w:szCs w:val="18"/>
              </w:rPr>
              <w:t xml:space="preserve">Informed by MAS Guide to Digital Token Offerings (November 2018)</w:t>
            </w:r>
          </w:p>
          <w:p>
            <w:pPr>
              <w:spacing w:after="120"/>
            </w:pPr>
            <w:r>
              <w:rPr>
                <w:rFonts w:ascii="Arial" w:cs="Arial" w:eastAsia="Arial" w:hAnsi="Arial"/>
                <w:b/>
                <w:bCs/>
                <w:color w:val="A5D7E8"/>
                <w:sz w:val="20"/>
                <w:szCs w:val="20"/>
              </w:rPr>
              <w:t xml:space="preserve">1.  Engage MAS Early via Regulatory Sandbox: </w:t>
            </w:r>
            <w:r>
              <w:rPr>
                <w:rFonts w:ascii="Arial" w:cs="Arial" w:eastAsia="Arial" w:hAnsi="Arial"/>
                <w:color w:val="C8D8EE"/>
                <w:sz w:val="20"/>
                <w:szCs w:val="20"/>
              </w:rPr>
              <w:t xml:space="preserve">Apply for the FinTech Regulatory Sandbox (MAS Guide Section 5) for tokenized deposits and novel stablecoin structures before full commercial launch. MAS expects laboratory testing and regulatory knowledge prior to submission.</w:t>
            </w:r>
          </w:p>
          <w:p>
            <w:pPr>
              <w:spacing w:after="120"/>
            </w:pPr>
            <w:r>
              <w:rPr>
                <w:rFonts w:ascii="Arial" w:cs="Arial" w:eastAsia="Arial" w:hAnsi="Arial"/>
                <w:b/>
                <w:bCs/>
                <w:color w:val="A5D7E8"/>
                <w:sz w:val="20"/>
                <w:szCs w:val="20"/>
              </w:rPr>
              <w:t xml:space="preserve">2.  Formal Token Classification Exercise: </w:t>
            </w:r>
            <w:r>
              <w:rPr>
                <w:rFonts w:ascii="Arial" w:cs="Arial" w:eastAsia="Arial" w:hAnsi="Arial"/>
                <w:color w:val="C8D8EE"/>
                <w:sz w:val="20"/>
                <w:szCs w:val="20"/>
              </w:rPr>
              <w:t xml:space="preserve">Apply the PSA/SFA taxonomy and MAS Guide substance-over-form test (para 4.2) — completing Appendix 1 Critical Questions — to every proposed digital asset initiative. Obtain independent legal opinion from a Singapore-qualified lawyer.</w:t>
            </w:r>
          </w:p>
          <w:p>
            <w:pPr>
              <w:spacing w:after="120"/>
            </w:pPr>
            <w:r>
              <w:rPr>
                <w:rFonts w:ascii="Arial" w:cs="Arial" w:eastAsia="Arial" w:hAnsi="Arial"/>
                <w:b/>
                <w:bCs/>
                <w:color w:val="A5D7E8"/>
                <w:sz w:val="20"/>
                <w:szCs w:val="20"/>
              </w:rPr>
              <w:t xml:space="preserve">3.  Apply for MPI Licence (PSA): </w:t>
            </w:r>
            <w:r>
              <w:rPr>
                <w:rFonts w:ascii="Arial" w:cs="Arial" w:eastAsia="Arial" w:hAnsi="Arial"/>
                <w:color w:val="C8D8EE"/>
                <w:sz w:val="20"/>
                <w:szCs w:val="20"/>
              </w:rPr>
              <w:t xml:space="preserve">This is the foundational regulatory step. Stablecoin remittances and DPT custody services are squarely within PSA scope. Without this licence, CFG cannot lawfully conduct these activities.</w:t>
            </w:r>
          </w:p>
          <w:p>
            <w:pPr>
              <w:spacing w:after="120"/>
            </w:pPr>
            <w:r>
              <w:rPr>
                <w:rFonts w:ascii="Arial" w:cs="Arial" w:eastAsia="Arial" w:hAnsi="Arial"/>
                <w:b/>
                <w:bCs/>
                <w:color w:val="A5D7E8"/>
                <w:sz w:val="20"/>
                <w:szCs w:val="20"/>
              </w:rPr>
              <w:t xml:space="preserve">4.  Implement Comprehensive AML/CFT Framework: </w:t>
            </w:r>
            <w:r>
              <w:rPr>
                <w:rFonts w:ascii="Arial" w:cs="Arial" w:eastAsia="Arial" w:hAnsi="Arial"/>
                <w:color w:val="C8D8EE"/>
                <w:sz w:val="20"/>
                <w:szCs w:val="20"/>
              </w:rPr>
              <w:t xml:space="preserve">Comply fully with MAS Guide Section 3 obligations: ML/TF risk assessment, CDD, transaction monitoring, CDSA STR filing, TSOFA/UN Regulations compliance, and MAS Notice PSN02 Travel Rule requirements.</w:t>
            </w:r>
          </w:p>
          <w:p>
            <w:pPr>
              <w:spacing w:after="120"/>
            </w:pPr>
            <w:r>
              <w:rPr>
                <w:rFonts w:ascii="Arial" w:cs="Arial" w:eastAsia="Arial" w:hAnsi="Arial"/>
                <w:b/>
                <w:bCs/>
                <w:color w:val="A5D7E8"/>
                <w:sz w:val="20"/>
                <w:szCs w:val="20"/>
              </w:rPr>
              <w:t xml:space="preserve">5.  Segregate Customer Digital Assets: </w:t>
            </w:r>
            <w:r>
              <w:rPr>
                <w:rFonts w:ascii="Arial" w:cs="Arial" w:eastAsia="Arial" w:hAnsi="Arial"/>
                <w:color w:val="C8D8EE"/>
                <w:sz w:val="20"/>
                <w:szCs w:val="20"/>
              </w:rPr>
              <w:t xml:space="preserve">Maintain strict separation of customer digital assets from CFG proprietary holdings at all times — both a regulatory obligation and a critical consumer protection measure.</w:t>
            </w:r>
          </w:p>
          <w:p>
            <w:pPr>
              <w:spacing w:after="120"/>
            </w:pPr>
            <w:r>
              <w:rPr>
                <w:rFonts w:ascii="Arial" w:cs="Arial" w:eastAsia="Arial" w:hAnsi="Arial"/>
                <w:b/>
                <w:bCs/>
                <w:color w:val="A5D7E8"/>
                <w:sz w:val="20"/>
                <w:szCs w:val="20"/>
              </w:rPr>
              <w:t xml:space="preserve">6.  Halt NFT Loyalty Program Pending Legal Opinion: </w:t>
            </w:r>
            <w:r>
              <w:rPr>
                <w:rFonts w:ascii="Arial" w:cs="Arial" w:eastAsia="Arial" w:hAnsi="Arial"/>
                <w:color w:val="C8D8EE"/>
                <w:sz w:val="20"/>
                <w:szCs w:val="20"/>
              </w:rPr>
              <w:t xml:space="preserve">Do not launch without a definitive legal assessment applying MAS Guide para 4.2 and Appendix 1 Critical Questions. The substance-over-form risk of reclassification as securities or DPTs is material.</w:t>
            </w:r>
          </w:p>
          <w:p>
            <w:pPr>
              <w:spacing w:after="60" w:before="160"/>
            </w:pPr>
            <w:r>
              <w:rPr>
                <w:rFonts w:ascii="Arial" w:cs="Arial" w:eastAsia="Arial" w:hAnsi="Arial"/>
                <w:i/>
                <w:iCs/>
                <w:color w:val="A5D7E8"/>
                <w:sz w:val="20"/>
                <w:szCs w:val="20"/>
              </w:rPr>
              <w:t xml:space="preserve">"Innovation without compliance is a liability. CFG's competitive advantage lies not just in adopting digital assets, but in doing so within a robust regulatory perimeter — grounded in MAS guidance — that builds lasting trust with customers and regulators alike."</w:t>
            </w:r>
          </w:p>
          <w:p>
            <w:pPr>
              <w:spacing w:after="0"/>
              <w:jc w:val="right"/>
            </w:pPr>
            <w:r>
              <w:rPr>
                <w:rFonts w:ascii="Arial" w:cs="Arial" w:eastAsia="Arial" w:hAnsi="Arial"/>
                <w:color w:val="8099BB"/>
                <w:sz w:val="18"/>
                <w:szCs w:val="18"/>
              </w:rPr>
              <w:t xml:space="preserve">— FinCrest Advisory, Phase 2: Digital Assets &amp; Tokenization Advisory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76CBC" w:sz="4" w:space="1"/>
      </w:pBdr>
      <w:spacing w:before="60"/>
      <w:jc w:val="center"/>
    </w:pPr>
    <w:r>
      <w:rPr>
        <w:rFonts w:ascii="Arial" w:cs="Arial" w:eastAsia="Arial" w:hAnsi="Arial"/>
        <w:color w:val="5A6A85"/>
        <w:sz w:val="16"/>
        <w:szCs w:val="16"/>
      </w:rPr>
      <w:t xml:space="preserve">Page </w:t>
    </w:r>
    <w:r>
      <w:rPr>
        <w:rFonts w:ascii="Arial" w:cs="Arial" w:eastAsia="Arial" w:hAnsi="Arial"/>
        <w:color w:val="5A6A85"/>
        <w:sz w:val="16"/>
        <w:szCs w:val="16"/>
      </w:rPr>
      <w:fldChar w:fldCharType="begin"/>
      <w:instrText xml:space="preserve">PAGE</w:instrText>
      <w:fldChar w:fldCharType="separate"/>
      <w:fldChar w:fldCharType="end"/>
    </w:r>
    <w:r>
      <w:rPr>
        <w:rFonts w:ascii="Arial" w:cs="Arial" w:eastAsia="Arial" w:hAnsi="Arial"/>
        <w:color w:val="5A6A85"/>
        <w:sz w:val="16"/>
        <w:szCs w:val="16"/>
      </w:rPr>
      <w:t xml:space="preserve">  |  FinCrest Advisory — CrossLink Financial Group (CFG), Singapore  |  Ref: MAS Guide to Digital Token Offerings (Nov 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single" w:color="576CBC" w:sz="4"/>
            <w:right w:val="none" w:color="FFFFFF" w:sz="0"/>
          </w:tcBorders>
          <w:tcMar>
            <w:top w:type="dxa" w:w="0"/>
            <w:left w:type="dxa" w:w="0"/>
            <w:bottom w:type="dxa" w:w="60"/>
            <w:right w:type="dxa" w:w="0"/>
          </w:tcMar>
        </w:tcPr>
        <w:p>
          <w:pPr>
            <w:spacing w:after="100"/>
          </w:pPr>
          <w:r>
            <w:rPr>
              <w:rFonts w:ascii="Arial" w:cs="Arial" w:eastAsia="Arial" w:hAnsi="Arial"/>
              <w:b/>
              <w:bCs/>
              <w:color w:val="19376D"/>
              <w:sz w:val="16"/>
              <w:szCs w:val="16"/>
            </w:rPr>
            <w:t xml:space="preserve">Project CrossLink — Phase 2: Digital Assets &amp; Tokenization</w:t>
          </w:r>
        </w:p>
      </w:tc>
      <w:tc>
        <w:tcPr>
          <w:tcW w:type="dxa" w:w="3240"/>
          <w:tcBorders>
            <w:top w:val="none" w:color="FFFFFF" w:sz="0"/>
            <w:left w:val="none" w:color="FFFFFF" w:sz="0"/>
            <w:bottom w:val="single" w:color="576CBC" w:sz="4"/>
            <w:right w:val="none" w:color="FFFFFF" w:sz="0"/>
          </w:tcBorders>
          <w:tcMar>
            <w:top w:type="dxa" w:w="0"/>
            <w:left w:type="dxa" w:w="0"/>
            <w:bottom w:type="dxa" w:w="60"/>
            <w:right w:type="dxa" w:w="0"/>
          </w:tcMar>
        </w:tcPr>
        <w:p>
          <w:pPr>
            <w:spacing w:after="100"/>
            <w:jc w:val="right"/>
          </w:pPr>
          <w:r>
            <w:rPr>
              <w:rFonts w:ascii="Arial" w:cs="Arial" w:eastAsia="Arial" w:hAnsi="Arial"/>
              <w:color w:val="5A6A85"/>
              <w:sz w:val="16"/>
              <w:szCs w:val="16"/>
            </w:rPr>
            <w:t xml:space="preserve">FinCrest Advisory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244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937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2026-05-15T05:35:03.298Z</dcterms:created>
  <dcterms:modified xsi:type="dcterms:W3CDTF">2026-05-15T05:35:03.312Z</dcterms:modified>
</cp:coreProperties>
</file>

<file path=docProps/custom.xml><?xml version="1.0" encoding="utf-8"?>
<Properties xmlns="http://schemas.openxmlformats.org/officeDocument/2006/custom-properties" xmlns:vt="http://schemas.openxmlformats.org/officeDocument/2006/docPropsVTypes"/>
</file>