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rPr>
          <w:rFonts w:ascii="Arial" w:hAnsi="Arial"/>
          <w:color w:val="000000"/>
        </w:rPr>
        <w:t>Olist Ecommerce Project Problem and Analysis</w:t>
      </w:r>
    </w:p>
    <w:p>
      <w:pPr>
        <w:pStyle w:val="Subtitle"/>
        <w:keepNext/>
      </w:pPr>
      <w:r>
        <w:rPr>
          <w:rFonts w:ascii="Arial" w:hAnsi="Arial"/>
          <w:color w:val="000000"/>
        </w:rPr>
        <w:t>Concise explanation of the project question findings and corrections</w:t>
      </w:r>
    </w:p>
    <w:p>
      <w:r>
        <w:rPr>
          <w:rFonts w:ascii="Arial" w:hAnsi="Arial"/>
          <w:b/>
          <w:color w:val="000000"/>
        </w:rPr>
        <w:t xml:space="preserve">Overall status. </w:t>
      </w:r>
      <w:r>
        <w:rPr>
          <w:rFonts w:ascii="Arial" w:hAnsi="Arial"/>
          <w:color w:val="000000"/>
        </w:rPr>
        <w:t>The project has a strong and meaningful core analysis. Delivery reliability is the clearest link to customer satisfaction. The work is almost ready, but several calculation and dashboard issues should be corrected before final submission.</w:t>
      </w:r>
    </w:p>
    <w:p>
      <w:pPr>
        <w:pStyle w:val="Heading1"/>
        <w:keepNext/>
      </w:pPr>
      <w:r>
        <w:rPr>
          <w:rFonts w:ascii="Arial" w:hAnsi="Arial"/>
          <w:color w:val="000000"/>
        </w:rPr>
        <w:t>1 Project Problem</w:t>
      </w:r>
    </w:p>
    <w:p>
      <w:pPr>
        <w:pStyle w:val="ListBullet"/>
      </w:pPr>
      <w:r>
        <w:rPr>
          <w:rFonts w:ascii="Arial" w:hAnsi="Arial"/>
          <w:color w:val="000000"/>
        </w:rPr>
        <w:t>Olist operates a marketplace connecting customers, sellers, products, payments and delivery partners.</w:t>
      </w:r>
    </w:p>
    <w:p>
      <w:pPr>
        <w:pStyle w:val="ListBullet"/>
      </w:pPr>
      <w:r>
        <w:rPr>
          <w:rFonts w:ascii="Arial" w:hAnsi="Arial"/>
          <w:color w:val="000000"/>
        </w:rPr>
        <w:t>Marketplace growth can create delivery and service problems.</w:t>
      </w:r>
    </w:p>
    <w:p>
      <w:pPr>
        <w:pStyle w:val="ListBullet"/>
      </w:pPr>
      <w:r>
        <w:rPr>
          <w:rFonts w:ascii="Arial" w:hAnsi="Arial"/>
          <w:color w:val="000000"/>
        </w:rPr>
        <w:t>Poor delivery can reduce review scores and customer trust.</w:t>
      </w:r>
    </w:p>
    <w:p>
      <w:pPr>
        <w:pStyle w:val="ListBullet"/>
      </w:pPr>
      <w:r>
        <w:rPr>
          <w:rFonts w:ascii="Arial" w:hAnsi="Arial"/>
          <w:color w:val="000000"/>
        </w:rPr>
        <w:t>A small number of sellers and categories generate a large share of sales.</w:t>
      </w:r>
    </w:p>
    <w:p>
      <w:pPr>
        <w:pStyle w:val="ListBullet"/>
      </w:pPr>
      <w:r>
        <w:rPr>
          <w:rFonts w:ascii="Arial" w:hAnsi="Arial"/>
          <w:color w:val="000000"/>
        </w:rPr>
        <w:t>The project must identify where growth and customer-experience risk overlap.</w:t>
      </w:r>
    </w:p>
    <w:p>
      <w:pPr>
        <w:pStyle w:val="ListBullet"/>
      </w:pPr>
      <w:r>
        <w:rPr>
          <w:rFonts w:ascii="Arial" w:hAnsi="Arial"/>
          <w:color w:val="000000"/>
        </w:rPr>
        <w:t>The analysis should produce useful business actions, not only charts.</w:t>
      </w:r>
    </w:p>
    <w:p>
      <w:pPr>
        <w:pStyle w:val="Heading1"/>
        <w:keepNext/>
      </w:pPr>
      <w:r>
        <w:rPr>
          <w:rFonts w:ascii="Arial" w:hAnsi="Arial"/>
          <w:color w:val="000000"/>
        </w:rPr>
        <w:t>2 Main Business Objective</w:t>
      </w:r>
    </w:p>
    <w:p>
      <w:r>
        <w:rPr>
          <w:rFonts w:ascii="Arial" w:hAnsi="Arial"/>
          <w:b/>
          <w:color w:val="000000"/>
        </w:rPr>
        <w:t xml:space="preserve">Main objective. </w:t>
      </w:r>
      <w:r>
        <w:rPr>
          <w:rFonts w:ascii="Arial" w:hAnsi="Arial"/>
          <w:color w:val="000000"/>
        </w:rPr>
        <w:t>Find where Olist can grow without damaging the customer experience.</w:t>
      </w:r>
    </w:p>
    <w:p>
      <w:pPr>
        <w:pStyle w:val="ListBullet"/>
      </w:pPr>
      <w:r>
        <w:rPr>
          <w:rFonts w:ascii="Arial" w:hAnsi="Arial"/>
          <w:color w:val="000000"/>
        </w:rPr>
        <w:t>Measure marketplace size and commercial activity.</w:t>
      </w:r>
    </w:p>
    <w:p>
      <w:pPr>
        <w:pStyle w:val="ListBullet"/>
      </w:pPr>
      <w:r>
        <w:rPr>
          <w:rFonts w:ascii="Arial" w:hAnsi="Arial"/>
          <w:color w:val="000000"/>
        </w:rPr>
        <w:t>Identify the main sales categories and sellers.</w:t>
      </w:r>
    </w:p>
    <w:p>
      <w:pPr>
        <w:pStyle w:val="ListBullet"/>
      </w:pPr>
      <w:r>
        <w:rPr>
          <w:rFonts w:ascii="Arial" w:hAnsi="Arial"/>
          <w:color w:val="000000"/>
        </w:rPr>
        <w:t>Understand customer value and repeat purchasing.</w:t>
      </w:r>
    </w:p>
    <w:p>
      <w:pPr>
        <w:pStyle w:val="ListBullet"/>
      </w:pPr>
      <w:r>
        <w:rPr>
          <w:rFonts w:ascii="Arial" w:hAnsi="Arial"/>
          <w:color w:val="000000"/>
        </w:rPr>
        <w:t>Measure delivery speed and delivery reliability.</w:t>
      </w:r>
    </w:p>
    <w:p>
      <w:pPr>
        <w:pStyle w:val="ListBullet"/>
      </w:pPr>
      <w:r>
        <w:rPr>
          <w:rFonts w:ascii="Arial" w:hAnsi="Arial"/>
          <w:color w:val="000000"/>
        </w:rPr>
        <w:t>Test the relationship between delivery and review scores.</w:t>
      </w:r>
    </w:p>
    <w:p>
      <w:pPr>
        <w:pStyle w:val="ListBullet"/>
      </w:pPr>
      <w:r>
        <w:rPr>
          <w:rFonts w:ascii="Arial" w:hAnsi="Arial"/>
          <w:color w:val="000000"/>
        </w:rPr>
        <w:t>Find high-value customers or sellers with poor outcomes.</w:t>
      </w:r>
    </w:p>
    <w:p>
      <w:pPr>
        <w:pStyle w:val="ListBullet"/>
      </w:pPr>
      <w:r>
        <w:rPr>
          <w:rFonts w:ascii="Arial" w:hAnsi="Arial"/>
          <w:color w:val="000000"/>
        </w:rPr>
        <w:t>Compare results across states, categories and seller groups.</w:t>
      </w:r>
    </w:p>
    <w:p>
      <w:pPr>
        <w:pStyle w:val="ListBullet"/>
      </w:pPr>
      <w:r>
        <w:rPr>
          <w:rFonts w:ascii="Arial" w:hAnsi="Arial"/>
          <w:color w:val="000000"/>
        </w:rPr>
        <w:t>Present the important findings in a simple dashboard.</w:t>
      </w:r>
    </w:p>
    <w:p>
      <w:pPr>
        <w:pStyle w:val="Heading1"/>
        <w:keepNext/>
      </w:pPr>
      <w:r>
        <w:rPr>
          <w:rFonts w:ascii="Arial" w:hAnsi="Arial"/>
          <w:color w:val="000000"/>
        </w:rPr>
        <w:t>3 Dataset and Analysis Grain</w:t>
      </w:r>
    </w:p>
    <w:p>
      <w:r>
        <w:rPr>
          <w:rFonts w:ascii="Arial" w:hAnsi="Arial"/>
          <w:color w:val="000000"/>
        </w:rPr>
        <w:t>Each table represents a different unit of analysis. Keeping these grains separate prevents double counting.</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31"/>
        <w:gridCol w:w="3331"/>
        <w:gridCol w:w="3331"/>
      </w:tblGrid>
      <w:tr>
        <w:trPr>
          <w:tblHeader w:val="true"/>
        </w:trPr>
        <w:tc>
          <w:tcPr>
            <w:tcW w:type="dxa" w:w="3240"/>
            <w:vAlign w:val="center"/>
            <w:shd w:fill="1F4E78"/>
            <w:tcMar>
              <w:top w:w="100" w:type="dxa"/>
              <w:start w:w="120" w:type="dxa"/>
              <w:bottom w:w="100" w:type="dxa"/>
              <w:end w:w="120" w:type="dxa"/>
            </w:tcMar>
          </w:tcPr>
          <w:p>
            <w:pPr>
              <w:spacing w:after="0"/>
              <w:jc w:val="center"/>
            </w:pPr>
            <w:r>
              <w:rPr>
                <w:rFonts w:ascii="Arial" w:hAnsi="Arial"/>
                <w:b/>
                <w:color w:val="FFFFFF"/>
                <w:sz w:val="19"/>
              </w:rPr>
              <w:t>Analytical view</w:t>
            </w:r>
          </w:p>
        </w:tc>
        <w:tc>
          <w:tcPr>
            <w:tcW w:type="dxa" w:w="4824"/>
            <w:vAlign w:val="center"/>
            <w:shd w:fill="1F4E78"/>
            <w:tcMar>
              <w:top w:w="100" w:type="dxa"/>
              <w:start w:w="120" w:type="dxa"/>
              <w:bottom w:w="100" w:type="dxa"/>
              <w:end w:w="120" w:type="dxa"/>
            </w:tcMar>
          </w:tcPr>
          <w:p>
            <w:pPr>
              <w:spacing w:after="0"/>
              <w:jc w:val="center"/>
            </w:pPr>
            <w:r>
              <w:rPr>
                <w:rFonts w:ascii="Arial" w:hAnsi="Arial"/>
                <w:b/>
                <w:color w:val="FFFFFF"/>
                <w:sz w:val="19"/>
              </w:rPr>
              <w:t>Row meaning</w:t>
            </w:r>
          </w:p>
        </w:tc>
        <w:tc>
          <w:tcPr>
            <w:tcW w:type="dxa" w:w="1656"/>
            <w:vAlign w:val="center"/>
            <w:shd w:fill="1F4E78"/>
            <w:tcMar>
              <w:top w:w="100" w:type="dxa"/>
              <w:start w:w="120" w:type="dxa"/>
              <w:bottom w:w="100" w:type="dxa"/>
              <w:end w:w="120" w:type="dxa"/>
            </w:tcMar>
          </w:tcPr>
          <w:p>
            <w:pPr>
              <w:spacing w:after="0"/>
              <w:jc w:val="center"/>
            </w:pPr>
            <w:r>
              <w:rPr>
                <w:rFonts w:ascii="Arial" w:hAnsi="Arial"/>
                <w:b/>
                <w:color w:val="FFFFFF"/>
                <w:sz w:val="19"/>
              </w:rPr>
              <w:t>Rows</w:t>
            </w:r>
          </w:p>
        </w:tc>
      </w:tr>
      <w:tr>
        <w:tc>
          <w:tcPr>
            <w:tcW w:type="dxa" w:w="3240"/>
            <w:vAlign w:val="center"/>
            <w:tcMar>
              <w:top w:w="100" w:type="dxa"/>
              <w:start w:w="120" w:type="dxa"/>
              <w:bottom w:w="100" w:type="dxa"/>
              <w:end w:w="120" w:type="dxa"/>
            </w:tcMar>
          </w:tcPr>
          <w:p>
            <w:pPr>
              <w:spacing w:after="0" w:line="252" w:lineRule="auto"/>
            </w:pPr>
            <w:r>
              <w:rPr>
                <w:rFonts w:ascii="Arial" w:hAnsi="Arial"/>
                <w:color w:val="000000"/>
                <w:sz w:val="19"/>
              </w:rPr>
              <w:t>Raw orders</w:t>
            </w:r>
          </w:p>
        </w:tc>
        <w:tc>
          <w:tcPr>
            <w:tcW w:type="dxa" w:w="4824"/>
            <w:vAlign w:val="center"/>
            <w:tcMar>
              <w:top w:w="100" w:type="dxa"/>
              <w:start w:w="120" w:type="dxa"/>
              <w:bottom w:w="100" w:type="dxa"/>
              <w:end w:w="120" w:type="dxa"/>
            </w:tcMar>
          </w:tcPr>
          <w:p>
            <w:pPr>
              <w:spacing w:after="0" w:line="252" w:lineRule="auto"/>
            </w:pPr>
            <w:r>
              <w:rPr>
                <w:rFonts w:ascii="Arial" w:hAnsi="Arial"/>
                <w:color w:val="000000"/>
                <w:sz w:val="19"/>
              </w:rPr>
              <w:t>One row per order</w:t>
            </w:r>
          </w:p>
        </w:tc>
        <w:tc>
          <w:tcPr>
            <w:tcW w:type="dxa" w:w="1656"/>
            <w:vAlign w:val="center"/>
            <w:tcMar>
              <w:top w:w="100" w:type="dxa"/>
              <w:start w:w="120" w:type="dxa"/>
              <w:bottom w:w="100" w:type="dxa"/>
              <w:end w:w="120" w:type="dxa"/>
            </w:tcMar>
          </w:tcPr>
          <w:p>
            <w:pPr>
              <w:spacing w:after="0" w:line="252" w:lineRule="auto"/>
            </w:pPr>
            <w:r>
              <w:rPr>
                <w:rFonts w:ascii="Arial" w:hAnsi="Arial"/>
                <w:color w:val="000000"/>
                <w:sz w:val="19"/>
              </w:rPr>
              <w:t>99,441</w:t>
            </w:r>
          </w:p>
        </w:tc>
      </w:tr>
      <w:tr>
        <w:tc>
          <w:tcPr>
            <w:tcW w:type="dxa" w:w="3240"/>
            <w:vAlign w:val="center"/>
            <w:tcMar>
              <w:top w:w="100" w:type="dxa"/>
              <w:start w:w="120" w:type="dxa"/>
              <w:bottom w:w="100" w:type="dxa"/>
              <w:end w:w="120" w:type="dxa"/>
            </w:tcMar>
            <w:shd w:fill="EAF2F8"/>
          </w:tcPr>
          <w:p>
            <w:pPr>
              <w:spacing w:after="0" w:line="252" w:lineRule="auto"/>
            </w:pPr>
            <w:r>
              <w:rPr>
                <w:rFonts w:ascii="Arial" w:hAnsi="Arial"/>
                <w:color w:val="000000"/>
                <w:sz w:val="19"/>
              </w:rPr>
              <w:t>Main cleaned orders</w:t>
            </w:r>
          </w:p>
        </w:tc>
        <w:tc>
          <w:tcPr>
            <w:tcW w:type="dxa" w:w="4824"/>
            <w:vAlign w:val="center"/>
            <w:tcMar>
              <w:top w:w="100" w:type="dxa"/>
              <w:start w:w="120" w:type="dxa"/>
              <w:bottom w:w="100" w:type="dxa"/>
              <w:end w:w="120" w:type="dxa"/>
            </w:tcMar>
            <w:shd w:fill="EAF2F8"/>
          </w:tcPr>
          <w:p>
            <w:pPr>
              <w:spacing w:after="0" w:line="252" w:lineRule="auto"/>
            </w:pPr>
            <w:r>
              <w:rPr>
                <w:rFonts w:ascii="Arial" w:hAnsi="Arial"/>
                <w:color w:val="000000"/>
                <w:sz w:val="19"/>
              </w:rPr>
              <w:t>One reviewed and delivered order</w:t>
            </w:r>
          </w:p>
        </w:tc>
        <w:tc>
          <w:tcPr>
            <w:tcW w:type="dxa" w:w="1656"/>
            <w:vAlign w:val="center"/>
            <w:tcMar>
              <w:top w:w="100" w:type="dxa"/>
              <w:start w:w="120" w:type="dxa"/>
              <w:bottom w:w="100" w:type="dxa"/>
              <w:end w:w="120" w:type="dxa"/>
            </w:tcMar>
            <w:shd w:fill="EAF2F8"/>
          </w:tcPr>
          <w:p>
            <w:pPr>
              <w:spacing w:after="0" w:line="252" w:lineRule="auto"/>
            </w:pPr>
            <w:r>
              <w:rPr>
                <w:rFonts w:ascii="Arial" w:hAnsi="Arial"/>
                <w:color w:val="000000"/>
                <w:sz w:val="19"/>
              </w:rPr>
              <w:t>95,830</w:t>
            </w:r>
          </w:p>
        </w:tc>
      </w:tr>
      <w:tr>
        <w:tc>
          <w:tcPr>
            <w:tcW w:type="dxa" w:w="3240"/>
            <w:vAlign w:val="center"/>
            <w:tcMar>
              <w:top w:w="100" w:type="dxa"/>
              <w:start w:w="120" w:type="dxa"/>
              <w:bottom w:w="100" w:type="dxa"/>
              <w:end w:w="120" w:type="dxa"/>
            </w:tcMar>
          </w:tcPr>
          <w:p>
            <w:pPr>
              <w:spacing w:after="0" w:line="252" w:lineRule="auto"/>
            </w:pPr>
            <w:r>
              <w:rPr>
                <w:rFonts w:ascii="Arial" w:hAnsi="Arial"/>
                <w:color w:val="000000"/>
                <w:sz w:val="19"/>
              </w:rPr>
              <w:t>Customers</w:t>
            </w:r>
          </w:p>
        </w:tc>
        <w:tc>
          <w:tcPr>
            <w:tcW w:type="dxa" w:w="4824"/>
            <w:vAlign w:val="center"/>
            <w:tcMar>
              <w:top w:w="100" w:type="dxa"/>
              <w:start w:w="120" w:type="dxa"/>
              <w:bottom w:w="100" w:type="dxa"/>
              <w:end w:w="120" w:type="dxa"/>
            </w:tcMar>
          </w:tcPr>
          <w:p>
            <w:pPr>
              <w:spacing w:after="0" w:line="252" w:lineRule="auto"/>
            </w:pPr>
            <w:r>
              <w:rPr>
                <w:rFonts w:ascii="Arial" w:hAnsi="Arial"/>
                <w:color w:val="000000"/>
                <w:sz w:val="19"/>
              </w:rPr>
              <w:t>One unique customer</w:t>
            </w:r>
          </w:p>
        </w:tc>
        <w:tc>
          <w:tcPr>
            <w:tcW w:type="dxa" w:w="1656"/>
            <w:vAlign w:val="center"/>
            <w:tcMar>
              <w:top w:w="100" w:type="dxa"/>
              <w:start w:w="120" w:type="dxa"/>
              <w:bottom w:w="100" w:type="dxa"/>
              <w:end w:w="120" w:type="dxa"/>
            </w:tcMar>
          </w:tcPr>
          <w:p>
            <w:pPr>
              <w:spacing w:after="0" w:line="252" w:lineRule="auto"/>
            </w:pPr>
            <w:r>
              <w:rPr>
                <w:rFonts w:ascii="Arial" w:hAnsi="Arial"/>
                <w:color w:val="000000"/>
                <w:sz w:val="19"/>
              </w:rPr>
              <w:t>96,096</w:t>
            </w:r>
          </w:p>
        </w:tc>
      </w:tr>
      <w:tr>
        <w:tc>
          <w:tcPr>
            <w:tcW w:type="dxa" w:w="3240"/>
            <w:vAlign w:val="center"/>
            <w:tcMar>
              <w:top w:w="100" w:type="dxa"/>
              <w:start w:w="120" w:type="dxa"/>
              <w:bottom w:w="100" w:type="dxa"/>
              <w:end w:w="120" w:type="dxa"/>
            </w:tcMar>
            <w:shd w:fill="EAF2F8"/>
          </w:tcPr>
          <w:p>
            <w:pPr>
              <w:spacing w:after="0" w:line="252" w:lineRule="auto"/>
            </w:pPr>
            <w:r>
              <w:rPr>
                <w:rFonts w:ascii="Arial" w:hAnsi="Arial"/>
                <w:color w:val="000000"/>
                <w:sz w:val="19"/>
              </w:rPr>
              <w:t>Sellers</w:t>
            </w:r>
          </w:p>
        </w:tc>
        <w:tc>
          <w:tcPr>
            <w:tcW w:type="dxa" w:w="4824"/>
            <w:vAlign w:val="center"/>
            <w:tcMar>
              <w:top w:w="100" w:type="dxa"/>
              <w:start w:w="120" w:type="dxa"/>
              <w:bottom w:w="100" w:type="dxa"/>
              <w:end w:w="120" w:type="dxa"/>
            </w:tcMar>
            <w:shd w:fill="EAF2F8"/>
          </w:tcPr>
          <w:p>
            <w:pPr>
              <w:spacing w:after="0" w:line="252" w:lineRule="auto"/>
            </w:pPr>
            <w:r>
              <w:rPr>
                <w:rFonts w:ascii="Arial" w:hAnsi="Arial"/>
                <w:color w:val="000000"/>
                <w:sz w:val="19"/>
              </w:rPr>
              <w:t>One seller</w:t>
            </w:r>
          </w:p>
        </w:tc>
        <w:tc>
          <w:tcPr>
            <w:tcW w:type="dxa" w:w="1656"/>
            <w:vAlign w:val="center"/>
            <w:tcMar>
              <w:top w:w="100" w:type="dxa"/>
              <w:start w:w="120" w:type="dxa"/>
              <w:bottom w:w="100" w:type="dxa"/>
              <w:end w:w="120" w:type="dxa"/>
            </w:tcMar>
            <w:shd w:fill="EAF2F8"/>
          </w:tcPr>
          <w:p>
            <w:pPr>
              <w:spacing w:after="0" w:line="252" w:lineRule="auto"/>
            </w:pPr>
            <w:r>
              <w:rPr>
                <w:rFonts w:ascii="Arial" w:hAnsi="Arial"/>
                <w:color w:val="000000"/>
                <w:sz w:val="19"/>
              </w:rPr>
              <w:t>3,095</w:t>
            </w:r>
          </w:p>
        </w:tc>
      </w:tr>
      <w:tr>
        <w:tc>
          <w:tcPr>
            <w:tcW w:type="dxa" w:w="3240"/>
            <w:vAlign w:val="center"/>
            <w:tcMar>
              <w:top w:w="100" w:type="dxa"/>
              <w:start w:w="120" w:type="dxa"/>
              <w:bottom w:w="100" w:type="dxa"/>
              <w:end w:w="120" w:type="dxa"/>
            </w:tcMar>
          </w:tcPr>
          <w:p>
            <w:pPr>
              <w:spacing w:after="0" w:line="252" w:lineRule="auto"/>
            </w:pPr>
            <w:r>
              <w:rPr>
                <w:rFonts w:ascii="Arial" w:hAnsi="Arial"/>
                <w:color w:val="000000"/>
                <w:sz w:val="19"/>
              </w:rPr>
              <w:t>Categories</w:t>
            </w:r>
          </w:p>
        </w:tc>
        <w:tc>
          <w:tcPr>
            <w:tcW w:type="dxa" w:w="4824"/>
            <w:vAlign w:val="center"/>
            <w:tcMar>
              <w:top w:w="100" w:type="dxa"/>
              <w:start w:w="120" w:type="dxa"/>
              <w:bottom w:w="100" w:type="dxa"/>
              <w:end w:w="120" w:type="dxa"/>
            </w:tcMar>
          </w:tcPr>
          <w:p>
            <w:pPr>
              <w:spacing w:after="0" w:line="252" w:lineRule="auto"/>
            </w:pPr>
            <w:r>
              <w:rPr>
                <w:rFonts w:ascii="Arial" w:hAnsi="Arial"/>
                <w:color w:val="000000"/>
                <w:sz w:val="19"/>
              </w:rPr>
              <w:t>One product category</w:t>
            </w:r>
          </w:p>
        </w:tc>
        <w:tc>
          <w:tcPr>
            <w:tcW w:type="dxa" w:w="1656"/>
            <w:vAlign w:val="center"/>
            <w:tcMar>
              <w:top w:w="100" w:type="dxa"/>
              <w:start w:w="120" w:type="dxa"/>
              <w:bottom w:w="100" w:type="dxa"/>
              <w:end w:w="120" w:type="dxa"/>
            </w:tcMar>
          </w:tcPr>
          <w:p>
            <w:pPr>
              <w:spacing w:after="0" w:line="252" w:lineRule="auto"/>
            </w:pPr>
            <w:r>
              <w:rPr>
                <w:rFonts w:ascii="Arial" w:hAnsi="Arial"/>
                <w:color w:val="000000"/>
                <w:sz w:val="19"/>
              </w:rPr>
              <w:t>73</w:t>
            </w:r>
          </w:p>
        </w:tc>
      </w:tr>
      <w:tr>
        <w:tc>
          <w:tcPr>
            <w:tcW w:type="dxa" w:w="3240"/>
            <w:vAlign w:val="center"/>
            <w:tcMar>
              <w:top w:w="100" w:type="dxa"/>
              <w:start w:w="120" w:type="dxa"/>
              <w:bottom w:w="100" w:type="dxa"/>
              <w:end w:w="120" w:type="dxa"/>
            </w:tcMar>
            <w:shd w:fill="EAF2F8"/>
          </w:tcPr>
          <w:p>
            <w:pPr>
              <w:spacing w:after="0" w:line="252" w:lineRule="auto"/>
            </w:pPr>
            <w:r>
              <w:rPr>
                <w:rFonts w:ascii="Arial" w:hAnsi="Arial"/>
                <w:color w:val="000000"/>
                <w:sz w:val="19"/>
              </w:rPr>
              <w:t>Marketing funnel</w:t>
            </w:r>
          </w:p>
        </w:tc>
        <w:tc>
          <w:tcPr>
            <w:tcW w:type="dxa" w:w="4824"/>
            <w:vAlign w:val="center"/>
            <w:tcMar>
              <w:top w:w="100" w:type="dxa"/>
              <w:start w:w="120" w:type="dxa"/>
              <w:bottom w:w="100" w:type="dxa"/>
              <w:end w:w="120" w:type="dxa"/>
            </w:tcMar>
            <w:shd w:fill="EAF2F8"/>
          </w:tcPr>
          <w:p>
            <w:pPr>
              <w:spacing w:after="0" w:line="252" w:lineRule="auto"/>
            </w:pPr>
            <w:r>
              <w:rPr>
                <w:rFonts w:ascii="Arial" w:hAnsi="Arial"/>
                <w:color w:val="000000"/>
                <w:sz w:val="19"/>
              </w:rPr>
              <w:t>One qualified lead</w:t>
            </w:r>
          </w:p>
        </w:tc>
        <w:tc>
          <w:tcPr>
            <w:tcW w:type="dxa" w:w="1656"/>
            <w:vAlign w:val="center"/>
            <w:tcMar>
              <w:top w:w="100" w:type="dxa"/>
              <w:start w:w="120" w:type="dxa"/>
              <w:bottom w:w="100" w:type="dxa"/>
              <w:end w:w="120" w:type="dxa"/>
            </w:tcMar>
            <w:shd w:fill="EAF2F8"/>
          </w:tcPr>
          <w:p>
            <w:pPr>
              <w:spacing w:after="0" w:line="252" w:lineRule="auto"/>
            </w:pPr>
            <w:r>
              <w:rPr>
                <w:rFonts w:ascii="Arial" w:hAnsi="Arial"/>
                <w:color w:val="000000"/>
                <w:sz w:val="19"/>
              </w:rPr>
              <w:t>8,000</w:t>
            </w:r>
          </w:p>
        </w:tc>
      </w:tr>
    </w:tbl>
    <w:p/>
    <w:p>
      <w:pPr>
        <w:pStyle w:val="ListBullet"/>
      </w:pPr>
      <w:r>
        <w:rPr>
          <w:rFonts w:ascii="Arial" w:hAnsi="Arial"/>
          <w:color w:val="000000"/>
        </w:rPr>
        <w:t>The raw order table covers every recorded order status.</w:t>
      </w:r>
    </w:p>
    <w:p>
      <w:pPr>
        <w:pStyle w:val="ListBullet"/>
      </w:pPr>
      <w:r>
        <w:rPr>
          <w:rFonts w:ascii="Arial" w:hAnsi="Arial"/>
          <w:color w:val="000000"/>
        </w:rPr>
        <w:t>The main order EDA keeps orders with both a review and a delivery date.</w:t>
      </w:r>
    </w:p>
    <w:p>
      <w:pPr>
        <w:pStyle w:val="ListBullet"/>
      </w:pPr>
      <w:r>
        <w:rPr>
          <w:rFonts w:ascii="Arial" w:hAnsi="Arial"/>
          <w:color w:val="000000"/>
        </w:rPr>
        <w:t>Results from the cleaned subset must be labelled as reviewed and delivered orders.</w:t>
      </w:r>
    </w:p>
    <w:p>
      <w:pPr>
        <w:pStyle w:val="ListBullet"/>
      </w:pPr>
      <w:r>
        <w:rPr>
          <w:rFonts w:ascii="Arial" w:hAnsi="Arial"/>
          <w:color w:val="000000"/>
        </w:rPr>
        <w:t>Customer counts use customer_unique_id because customer_id is created at the order level.</w:t>
      </w:r>
    </w:p>
    <w:p>
      <w:pPr>
        <w:pStyle w:val="Heading1"/>
        <w:keepNext/>
      </w:pPr>
      <w:r>
        <w:rPr>
          <w:rFonts w:ascii="Arial" w:hAnsi="Arial"/>
          <w:color w:val="000000"/>
        </w:rPr>
        <w:t>4 Analysis Process</w:t>
      </w:r>
    </w:p>
    <w:p>
      <w:pPr>
        <w:pStyle w:val="ListNumber"/>
      </w:pPr>
      <w:r>
        <w:rPr>
          <w:rFonts w:ascii="Arial" w:hAnsi="Arial"/>
          <w:color w:val="000000"/>
        </w:rPr>
        <w:t>Load the raw order, customer, item, payment, review, product and seller tables.</w:t>
      </w:r>
    </w:p>
    <w:p>
      <w:pPr>
        <w:pStyle w:val="ListNumber"/>
      </w:pPr>
      <w:r>
        <w:rPr>
          <w:rFonts w:ascii="Arial" w:hAnsi="Arial"/>
          <w:color w:val="000000"/>
        </w:rPr>
        <w:t>Aggregate order items and payments to one row per order.</w:t>
      </w:r>
    </w:p>
    <w:p>
      <w:pPr>
        <w:pStyle w:val="ListNumber"/>
      </w:pPr>
      <w:r>
        <w:rPr>
          <w:rFonts w:ascii="Arial" w:hAnsi="Arial"/>
          <w:color w:val="000000"/>
        </w:rPr>
        <w:t>Join customer information and one selected review to each order.</w:t>
      </w:r>
    </w:p>
    <w:p>
      <w:pPr>
        <w:pStyle w:val="ListNumber"/>
      </w:pPr>
      <w:r>
        <w:rPr>
          <w:rFonts w:ascii="Arial" w:hAnsi="Arial"/>
          <w:color w:val="000000"/>
        </w:rPr>
        <w:t>Calculate item value, freight, order size, delivery days, delay and review risk.</w:t>
      </w:r>
    </w:p>
    <w:p>
      <w:pPr>
        <w:pStyle w:val="ListNumber"/>
      </w:pPr>
      <w:r>
        <w:rPr>
          <w:rFonts w:ascii="Arial" w:hAnsi="Arial"/>
          <w:color w:val="000000"/>
        </w:rPr>
        <w:t>Create separate customer, seller and category summary tables.</w:t>
      </w:r>
    </w:p>
    <w:p>
      <w:pPr>
        <w:pStyle w:val="ListNumber"/>
      </w:pPr>
      <w:r>
        <w:rPr>
          <w:rFonts w:ascii="Arial" w:hAnsi="Arial"/>
          <w:color w:val="000000"/>
        </w:rPr>
        <w:t>Check missing values, duplicate identifiers, outliers and distributions.</w:t>
      </w:r>
    </w:p>
    <w:p>
      <w:pPr>
        <w:pStyle w:val="ListNumber"/>
      </w:pPr>
      <w:r>
        <w:rPr>
          <w:rFonts w:ascii="Arial" w:hAnsi="Arial"/>
          <w:color w:val="000000"/>
        </w:rPr>
        <w:t>Compare sales, delivery, reviews, geography and customer behaviour.</w:t>
      </w:r>
    </w:p>
    <w:p>
      <w:pPr>
        <w:pStyle w:val="ListNumber"/>
      </w:pPr>
      <w:r>
        <w:rPr>
          <w:rFonts w:ascii="Arial" w:hAnsi="Arial"/>
          <w:color w:val="000000"/>
        </w:rPr>
        <w:t>Prepare small summary files for the interactive dashboard.</w:t>
      </w:r>
    </w:p>
    <w:p>
      <w:pPr>
        <w:pStyle w:val="Heading1"/>
        <w:keepNext/>
      </w:pPr>
      <w:r>
        <w:rPr>
          <w:rFonts w:ascii="Arial" w:hAnsi="Arial"/>
          <w:color w:val="000000"/>
        </w:rPr>
        <w:t>5 Main Analysis Findings</w:t>
      </w:r>
    </w:p>
    <w:p>
      <w:pPr>
        <w:pStyle w:val="Heading2"/>
        <w:keepNext/>
      </w:pPr>
      <w:r>
        <w:rPr>
          <w:rFonts w:ascii="Arial" w:hAnsi="Arial"/>
          <w:color w:val="000000"/>
        </w:rPr>
        <w:t>Sales and Marketplace Size</w:t>
      </w:r>
    </w:p>
    <w:p>
      <w:pPr>
        <w:pStyle w:val="ListBullet"/>
      </w:pPr>
      <w:r>
        <w:rPr>
          <w:rFonts w:ascii="Arial" w:hAnsi="Arial"/>
          <w:color w:val="000000"/>
        </w:rPr>
        <w:t>Raw item sales value is about R$13.59 million.</w:t>
      </w:r>
    </w:p>
    <w:p>
      <w:pPr>
        <w:pStyle w:val="ListBullet"/>
      </w:pPr>
      <w:r>
        <w:rPr>
          <w:rFonts w:ascii="Arial" w:hAnsi="Arial"/>
          <w:color w:val="000000"/>
        </w:rPr>
        <w:t>Raw payment value is about R$16.01 million.</w:t>
      </w:r>
    </w:p>
    <w:p>
      <w:pPr>
        <w:pStyle w:val="ListBullet"/>
      </w:pPr>
      <w:r>
        <w:rPr>
          <w:rFonts w:ascii="Arial" w:hAnsi="Arial"/>
          <w:color w:val="000000"/>
        </w:rPr>
        <w:t>The reviewed and delivered order subset contains about R$13.11 million in item value.</w:t>
      </w:r>
    </w:p>
    <w:p>
      <w:pPr>
        <w:pStyle w:val="ListBullet"/>
      </w:pPr>
      <w:r>
        <w:rPr>
          <w:rFonts w:ascii="Arial" w:hAnsi="Arial"/>
          <w:color w:val="000000"/>
        </w:rPr>
        <w:t>The top 10 percent of sellers generate about 67.5 percent of seller sales value.</w:t>
      </w:r>
    </w:p>
    <w:p>
      <w:pPr>
        <w:pStyle w:val="ListBullet"/>
      </w:pPr>
      <w:r>
        <w:rPr>
          <w:rFonts w:ascii="Arial" w:hAnsi="Arial"/>
          <w:color w:val="000000"/>
        </w:rPr>
        <w:t>The top 10 categories generate about 63.2 percent of known-category sales value.</w:t>
      </w:r>
    </w:p>
    <w:p>
      <w:pPr>
        <w:pStyle w:val="ListBullet"/>
      </w:pPr>
      <w:r>
        <w:rPr>
          <w:rFonts w:ascii="Arial" w:hAnsi="Arial"/>
          <w:color w:val="000000"/>
        </w:rPr>
        <w:t>Sales are concentrated, so a small number of sellers and categories matter greatly.</w:t>
      </w:r>
    </w:p>
    <w:p>
      <w:pPr>
        <w:pStyle w:val="Heading2"/>
        <w:keepNext/>
      </w:pPr>
      <w:r>
        <w:rPr>
          <w:rFonts w:ascii="Arial" w:hAnsi="Arial"/>
          <w:color w:val="000000"/>
        </w:rPr>
        <w:t>Customers</w:t>
      </w:r>
    </w:p>
    <w:p>
      <w:pPr>
        <w:pStyle w:val="ListBullet"/>
      </w:pPr>
      <w:r>
        <w:rPr>
          <w:rFonts w:ascii="Arial" w:hAnsi="Arial"/>
          <w:color w:val="000000"/>
        </w:rPr>
        <w:t>Only about 3.1 percent of customers place more than one order in the observed period.</w:t>
      </w:r>
    </w:p>
    <w:p>
      <w:pPr>
        <w:pStyle w:val="ListBullet"/>
      </w:pPr>
      <w:r>
        <w:rPr>
          <w:rFonts w:ascii="Arial" w:hAnsi="Arial"/>
          <w:color w:val="000000"/>
        </w:rPr>
        <w:t>Repeat customers spend about twice as much as one-time customers on average.</w:t>
      </w:r>
    </w:p>
    <w:p>
      <w:pPr>
        <w:pStyle w:val="ListBullet"/>
      </w:pPr>
      <w:r>
        <w:rPr>
          <w:rFonts w:ascii="Arial" w:hAnsi="Arial"/>
          <w:color w:val="000000"/>
        </w:rPr>
        <w:t>The top 20 percent of customers generate about 53.8 percent of payment value.</w:t>
      </w:r>
    </w:p>
    <w:p>
      <w:pPr>
        <w:pStyle w:val="ListBullet"/>
      </w:pPr>
      <w:r>
        <w:rPr>
          <w:rFonts w:ascii="Arial" w:hAnsi="Arial"/>
          <w:color w:val="000000"/>
        </w:rPr>
        <w:t>About 4,200 customers are both high value and unhappy.</w:t>
      </w:r>
    </w:p>
    <w:p>
      <w:pPr>
        <w:pStyle w:val="ListBullet"/>
      </w:pPr>
      <w:r>
        <w:rPr>
          <w:rFonts w:ascii="Arial" w:hAnsi="Arial"/>
          <w:color w:val="000000"/>
        </w:rPr>
        <w:t>This group represents about 11.3 percent of observed payment value.</w:t>
      </w:r>
    </w:p>
    <w:p>
      <w:pPr>
        <w:pStyle w:val="ListBullet"/>
      </w:pPr>
      <w:r>
        <w:rPr>
          <w:rFonts w:ascii="Arial" w:hAnsi="Arial"/>
          <w:color w:val="000000"/>
        </w:rPr>
        <w:t>Its average late-delivery rate is about 26 percent, compared with about 3 percent for high-value happy customers.</w:t>
      </w:r>
    </w:p>
    <w:p>
      <w:pPr>
        <w:pStyle w:val="ListBullet"/>
      </w:pPr>
      <w:r>
        <w:rPr>
          <w:rFonts w:ascii="Arial" w:hAnsi="Arial"/>
          <w:color w:val="000000"/>
        </w:rPr>
        <w:t>The repeat rate is affected by the observation window and should not be treated as a pure loyalty measure.</w:t>
      </w:r>
    </w:p>
    <w:p>
      <w:pPr>
        <w:pStyle w:val="Heading2"/>
        <w:keepNext/>
      </w:pPr>
      <w:r>
        <w:rPr>
          <w:rFonts w:ascii="Arial" w:hAnsi="Arial"/>
          <w:color w:val="000000"/>
        </w:rPr>
        <w:t>Delivery and Customer Satisfaction</w:t>
      </w:r>
    </w:p>
    <w:p>
      <w:pPr>
        <w:pStyle w:val="ListBullet"/>
      </w:pPr>
      <w:r>
        <w:rPr>
          <w:rFonts w:ascii="Arial" w:hAnsi="Arial"/>
          <w:color w:val="000000"/>
        </w:rPr>
        <w:t>Using the order master definition, about 6.66 percent of reviewed and delivered orders are late.</w:t>
      </w:r>
    </w:p>
    <w:p>
      <w:pPr>
        <w:pStyle w:val="ListBullet"/>
      </w:pPr>
      <w:r>
        <w:rPr>
          <w:rFonts w:ascii="Arial" w:hAnsi="Arial"/>
          <w:color w:val="000000"/>
        </w:rPr>
        <w:t>On-time orders average about 4.29 out of 5 in review score.</w:t>
      </w:r>
    </w:p>
    <w:p>
      <w:pPr>
        <w:pStyle w:val="ListBullet"/>
      </w:pPr>
      <w:r>
        <w:rPr>
          <w:rFonts w:ascii="Arial" w:hAnsi="Arial"/>
          <w:color w:val="000000"/>
        </w:rPr>
        <w:t>Late orders average about 2.27 out of 5.</w:t>
      </w:r>
    </w:p>
    <w:p>
      <w:pPr>
        <w:pStyle w:val="ListBullet"/>
      </w:pPr>
      <w:r>
        <w:rPr>
          <w:rFonts w:ascii="Arial" w:hAnsi="Arial"/>
          <w:color w:val="000000"/>
        </w:rPr>
        <w:t>One-star reviews are much more common among late orders.</w:t>
      </w:r>
    </w:p>
    <w:p>
      <w:pPr>
        <w:pStyle w:val="ListBullet"/>
      </w:pPr>
      <w:r>
        <w:rPr>
          <w:rFonts w:ascii="Arial" w:hAnsi="Arial"/>
          <w:color w:val="000000"/>
        </w:rPr>
        <w:t>Review scores decline further as delivery delay increases.</w:t>
      </w:r>
    </w:p>
    <w:p>
      <w:pPr>
        <w:pStyle w:val="ListBullet"/>
      </w:pPr>
      <w:r>
        <w:rPr>
          <w:rFonts w:ascii="Arial" w:hAnsi="Arial"/>
          <w:color w:val="000000"/>
        </w:rPr>
        <w:t>Delivery performance is the strongest and most consistent satisfaction signal in the project.</w:t>
      </w:r>
    </w:p>
    <w:p>
      <w:pPr>
        <w:pStyle w:val="ListBullet"/>
      </w:pPr>
      <w:r>
        <w:rPr>
          <w:rFonts w:ascii="Arial" w:hAnsi="Arial"/>
          <w:color w:val="000000"/>
        </w:rPr>
        <w:t>The relationship is an association. The data does not prove causation by itself.</w:t>
      </w:r>
    </w:p>
    <w:p>
      <w:pPr>
        <w:pStyle w:val="Heading2"/>
        <w:keepNext/>
      </w:pPr>
      <w:r>
        <w:rPr>
          <w:rFonts w:ascii="Arial" w:hAnsi="Arial"/>
          <w:color w:val="000000"/>
        </w:rPr>
        <w:t>Reviews</w:t>
      </w:r>
    </w:p>
    <w:p>
      <w:pPr>
        <w:pStyle w:val="ListBullet"/>
      </w:pPr>
      <w:r>
        <w:rPr>
          <w:rFonts w:ascii="Arial" w:hAnsi="Arial"/>
          <w:color w:val="000000"/>
        </w:rPr>
        <w:t>Average review score in the main order subset is about 4.16 out of 5.</w:t>
      </w:r>
    </w:p>
    <w:p>
      <w:pPr>
        <w:pStyle w:val="ListBullet"/>
      </w:pPr>
      <w:r>
        <w:rPr>
          <w:rFonts w:ascii="Arial" w:hAnsi="Arial"/>
          <w:color w:val="000000"/>
        </w:rPr>
        <w:t>About 78.9 percent of reviews are four or five stars.</w:t>
      </w:r>
    </w:p>
    <w:p>
      <w:pPr>
        <w:pStyle w:val="ListBullet"/>
      </w:pPr>
      <w:r>
        <w:rPr>
          <w:rFonts w:ascii="Arial" w:hAnsi="Arial"/>
          <w:color w:val="000000"/>
        </w:rPr>
        <w:t>About 9.8 percent are one-star reviews.</w:t>
      </w:r>
    </w:p>
    <w:p>
      <w:pPr>
        <w:pStyle w:val="ListBullet"/>
      </w:pPr>
      <w:r>
        <w:rPr>
          <w:rFonts w:ascii="Arial" w:hAnsi="Arial"/>
          <w:color w:val="000000"/>
        </w:rPr>
        <w:t>The overall marketplace looks healthy, but low reviews are concentrated in identifiable risk groups.</w:t>
      </w:r>
    </w:p>
    <w:p>
      <w:pPr>
        <w:pStyle w:val="Heading2"/>
        <w:keepNext/>
      </w:pPr>
      <w:r>
        <w:rPr>
          <w:rFonts w:ascii="Arial" w:hAnsi="Arial"/>
          <w:color w:val="000000"/>
        </w:rPr>
        <w:t>Sellers</w:t>
      </w:r>
    </w:p>
    <w:p>
      <w:pPr>
        <w:pStyle w:val="ListBullet"/>
      </w:pPr>
      <w:r>
        <w:rPr>
          <w:rFonts w:ascii="Arial" w:hAnsi="Arial"/>
          <w:color w:val="000000"/>
        </w:rPr>
        <w:t>The dataset contains 3,095 sellers across 23 states.</w:t>
      </w:r>
    </w:p>
    <w:p>
      <w:pPr>
        <w:pStyle w:val="ListBullet"/>
      </w:pPr>
      <w:r>
        <w:rPr>
          <w:rFonts w:ascii="Arial" w:hAnsi="Arial"/>
          <w:color w:val="000000"/>
        </w:rPr>
        <w:t>Sao Paulo contains 1,849 sellers, about 60 percent of the seller base.</w:t>
      </w:r>
    </w:p>
    <w:p>
      <w:pPr>
        <w:pStyle w:val="ListBullet"/>
      </w:pPr>
      <w:r>
        <w:rPr>
          <w:rFonts w:ascii="Arial" w:hAnsi="Arial"/>
          <w:color w:val="000000"/>
        </w:rPr>
        <w:t>High late-delivery rates are associated with lower seller review scores.</w:t>
      </w:r>
    </w:p>
    <w:p>
      <w:pPr>
        <w:pStyle w:val="ListBullet"/>
      </w:pPr>
      <w:r>
        <w:rPr>
          <w:rFonts w:ascii="Arial" w:hAnsi="Arial"/>
          <w:color w:val="000000"/>
        </w:rPr>
        <w:t>The current seller risk flag identifies 208 sellers whose average review score is 2 or lower.</w:t>
      </w:r>
    </w:p>
    <w:p>
      <w:pPr>
        <w:pStyle w:val="ListBullet"/>
      </w:pPr>
      <w:r>
        <w:rPr>
          <w:rFonts w:ascii="Arial" w:hAnsi="Arial"/>
          <w:color w:val="000000"/>
        </w:rPr>
        <w:t>Only five sellers in the top sales quartile meet that strict risk definition.</w:t>
      </w:r>
    </w:p>
    <w:p>
      <w:pPr>
        <w:pStyle w:val="ListBullet"/>
      </w:pPr>
      <w:r>
        <w:rPr>
          <w:rFonts w:ascii="Arial" w:hAnsi="Arial"/>
          <w:color w:val="000000"/>
        </w:rPr>
        <w:t>Seller tenure has little relationship with review score or late-delivery rate.</w:t>
      </w:r>
    </w:p>
    <w:p>
      <w:pPr>
        <w:pStyle w:val="ListBullet"/>
      </w:pPr>
      <w:r>
        <w:rPr>
          <w:rFonts w:ascii="Arial" w:hAnsi="Arial"/>
          <w:color w:val="000000"/>
        </w:rPr>
        <w:t>The active-seller field cannot identify current activity because it is true for every seller.</w:t>
      </w:r>
    </w:p>
    <w:p>
      <w:pPr>
        <w:pStyle w:val="Heading2"/>
        <w:keepNext/>
      </w:pPr>
      <w:r>
        <w:rPr>
          <w:rFonts w:ascii="Arial" w:hAnsi="Arial"/>
          <w:color w:val="000000"/>
        </w:rPr>
        <w:t>Products and Categories</w:t>
      </w:r>
    </w:p>
    <w:p>
      <w:pPr>
        <w:pStyle w:val="ListBullet"/>
      </w:pPr>
      <w:r>
        <w:rPr>
          <w:rFonts w:ascii="Arial" w:hAnsi="Arial"/>
          <w:color w:val="000000"/>
        </w:rPr>
        <w:t>Health and beauty is the largest category by item sales value.</w:t>
      </w:r>
    </w:p>
    <w:p>
      <w:pPr>
        <w:pStyle w:val="ListBullet"/>
      </w:pPr>
      <w:r>
        <w:rPr>
          <w:rFonts w:ascii="Arial" w:hAnsi="Arial"/>
          <w:color w:val="000000"/>
        </w:rPr>
        <w:t>Large categories do not automatically receive better reviews.</w:t>
      </w:r>
    </w:p>
    <w:p>
      <w:pPr>
        <w:pStyle w:val="ListBullet"/>
      </w:pPr>
      <w:r>
        <w:rPr>
          <w:rFonts w:ascii="Arial" w:hAnsi="Arial"/>
          <w:color w:val="000000"/>
        </w:rPr>
        <w:t>Office furniture combines meaningful sales volume with below-average satisfaction.</w:t>
      </w:r>
    </w:p>
    <w:p>
      <w:pPr>
        <w:pStyle w:val="ListBullet"/>
      </w:pPr>
      <w:r>
        <w:rPr>
          <w:rFonts w:ascii="Arial" w:hAnsi="Arial"/>
          <w:color w:val="000000"/>
        </w:rPr>
        <w:t>Category review rankings are preliminary because the current calculation weights orders by item count.</w:t>
      </w:r>
    </w:p>
    <w:p>
      <w:pPr>
        <w:pStyle w:val="ListBullet"/>
      </w:pPr>
      <w:r>
        <w:rPr>
          <w:rFonts w:ascii="Arial" w:hAnsi="Arial"/>
          <w:color w:val="000000"/>
        </w:rPr>
        <w:t>Best and worst category charts need a minimum reviewed-order threshold.</w:t>
      </w:r>
    </w:p>
    <w:p>
      <w:pPr>
        <w:pStyle w:val="Heading2"/>
        <w:keepNext/>
      </w:pPr>
      <w:r>
        <w:rPr>
          <w:rFonts w:ascii="Arial" w:hAnsi="Arial"/>
          <w:color w:val="000000"/>
        </w:rPr>
        <w:t>Geography</w:t>
      </w:r>
    </w:p>
    <w:p>
      <w:pPr>
        <w:pStyle w:val="ListBullet"/>
      </w:pPr>
      <w:r>
        <w:rPr>
          <w:rFonts w:ascii="Arial" w:hAnsi="Arial"/>
          <w:color w:val="000000"/>
        </w:rPr>
        <w:t>Customers and sellers are strongly concentrated in the Southeast, especially Sao Paulo.</w:t>
      </w:r>
    </w:p>
    <w:p>
      <w:pPr>
        <w:pStyle w:val="ListBullet"/>
      </w:pPr>
      <w:r>
        <w:rPr>
          <w:rFonts w:ascii="Arial" w:hAnsi="Arial"/>
          <w:color w:val="000000"/>
        </w:rPr>
        <w:t>Rio de Janeiro is a large customer market with meaningful review and delivery risk.</w:t>
      </w:r>
    </w:p>
    <w:p>
      <w:pPr>
        <w:pStyle w:val="ListBullet"/>
      </w:pPr>
      <w:r>
        <w:rPr>
          <w:rFonts w:ascii="Arial" w:hAnsi="Arial"/>
          <w:color w:val="000000"/>
        </w:rPr>
        <w:t>Several North and Northeast states show weaker delivery and review outcomes.</w:t>
      </w:r>
    </w:p>
    <w:p>
      <w:pPr>
        <w:pStyle w:val="ListBullet"/>
      </w:pPr>
      <w:r>
        <w:rPr>
          <w:rFonts w:ascii="Arial" w:hAnsi="Arial"/>
          <w:color w:val="000000"/>
        </w:rPr>
        <w:t>Regional differences support a logistics investigation, but they do not prove that distance is the only cause.</w:t>
      </w:r>
    </w:p>
    <w:p>
      <w:pPr>
        <w:pStyle w:val="Heading2"/>
        <w:keepNext/>
      </w:pPr>
      <w:r>
        <w:rPr>
          <w:rFonts w:ascii="Arial" w:hAnsi="Arial"/>
          <w:color w:val="000000"/>
        </w:rPr>
        <w:t>Payments</w:t>
      </w:r>
    </w:p>
    <w:p>
      <w:pPr>
        <w:pStyle w:val="ListBullet"/>
      </w:pPr>
      <w:r>
        <w:rPr>
          <w:rFonts w:ascii="Arial" w:hAnsi="Arial"/>
          <w:color w:val="000000"/>
        </w:rPr>
        <w:t>Customers using more installments generally have larger purchase values.</w:t>
      </w:r>
    </w:p>
    <w:p>
      <w:pPr>
        <w:pStyle w:val="ListBullet"/>
      </w:pPr>
      <w:r>
        <w:rPr>
          <w:rFonts w:ascii="Arial" w:hAnsi="Arial"/>
          <w:color w:val="000000"/>
        </w:rPr>
        <w:t>Review scores decline only slightly as installment use increases.</w:t>
      </w:r>
    </w:p>
    <w:p>
      <w:pPr>
        <w:pStyle w:val="ListBullet"/>
      </w:pPr>
      <w:r>
        <w:rPr>
          <w:rFonts w:ascii="Arial" w:hAnsi="Arial"/>
          <w:color w:val="000000"/>
        </w:rPr>
        <w:t>Payment behaviour appears less important than delivery performance for satisfaction.</w:t>
      </w:r>
    </w:p>
    <w:p>
      <w:pPr>
        <w:pStyle w:val="ListBullet"/>
      </w:pPr>
      <w:r>
        <w:rPr>
          <w:rFonts w:ascii="Arial" w:hAnsi="Arial"/>
          <w:color w:val="000000"/>
        </w:rPr>
        <w:t>About 99.57 percent of order payment totals reconcile with item value plus freight within one cent.</w:t>
      </w:r>
    </w:p>
    <w:p>
      <w:pPr>
        <w:pStyle w:val="Heading2"/>
        <w:keepNext/>
      </w:pPr>
      <w:r>
        <w:rPr>
          <w:rFonts w:ascii="Arial" w:hAnsi="Arial"/>
          <w:color w:val="000000"/>
        </w:rPr>
        <w:t>Marketing Funnel</w:t>
      </w:r>
    </w:p>
    <w:p>
      <w:pPr>
        <w:pStyle w:val="ListBullet"/>
      </w:pPr>
      <w:r>
        <w:rPr>
          <w:rFonts w:ascii="Arial" w:hAnsi="Arial"/>
          <w:color w:val="000000"/>
        </w:rPr>
        <w:t>The funnel contains 8,000 qualified leads and 842 converted sellers.</w:t>
      </w:r>
    </w:p>
    <w:p>
      <w:pPr>
        <w:pStyle w:val="ListBullet"/>
      </w:pPr>
      <w:r>
        <w:rPr>
          <w:rFonts w:ascii="Arial" w:hAnsi="Arial"/>
          <w:color w:val="000000"/>
        </w:rPr>
        <w:t>The overall conversion rate is about 10.5 percent.</w:t>
      </w:r>
    </w:p>
    <w:p>
      <w:pPr>
        <w:pStyle w:val="ListBullet"/>
      </w:pPr>
      <w:r>
        <w:rPr>
          <w:rFonts w:ascii="Arial" w:hAnsi="Arial"/>
          <w:color w:val="000000"/>
        </w:rPr>
        <w:t>Organic search and paid search generate the most lead volume.</w:t>
      </w:r>
    </w:p>
    <w:p>
      <w:pPr>
        <w:pStyle w:val="ListBullet"/>
      </w:pPr>
      <w:r>
        <w:rPr>
          <w:rFonts w:ascii="Arial" w:hAnsi="Arial"/>
          <w:color w:val="000000"/>
        </w:rPr>
        <w:t>Social and email produce meaningful volume but weaker conversion rates.</w:t>
      </w:r>
    </w:p>
    <w:p>
      <w:pPr>
        <w:pStyle w:val="ListBullet"/>
      </w:pPr>
      <w:r>
        <w:rPr>
          <w:rFonts w:ascii="Arial" w:hAnsi="Arial"/>
          <w:color w:val="000000"/>
        </w:rPr>
        <w:t>Median time to win is about two weeks, with a long tail of slow deals.</w:t>
      </w:r>
    </w:p>
    <w:p>
      <w:pPr>
        <w:pStyle w:val="ListBullet"/>
      </w:pPr>
      <w:r>
        <w:rPr>
          <w:rFonts w:ascii="Arial" w:hAnsi="Arial"/>
          <w:color w:val="000000"/>
        </w:rPr>
        <w:t>Declared revenue is usable for only 45 converted deals, so revenue-based lead comparisons are not reliable.</w:t>
      </w:r>
    </w:p>
    <w:p>
      <w:pPr>
        <w:pStyle w:val="Heading1"/>
        <w:keepNext/>
      </w:pPr>
      <w:r>
        <w:rPr>
          <w:rFonts w:ascii="Arial" w:hAnsi="Arial"/>
          <w:color w:val="000000"/>
        </w:rPr>
        <w:t>6 Dashboard Explanation</w:t>
      </w:r>
    </w:p>
    <w:p>
      <w:pPr>
        <w:pStyle w:val="ListBullet"/>
      </w:pPr>
      <w:r>
        <w:rPr>
          <w:rFonts w:ascii="Arial" w:hAnsi="Arial"/>
          <w:color w:val="000000"/>
        </w:rPr>
        <w:t>The dashboard reads small pre-aggregated files instead of loading the full datasets.</w:t>
      </w:r>
    </w:p>
    <w:p>
      <w:pPr>
        <w:pStyle w:val="ListBullet"/>
      </w:pPr>
      <w:r>
        <w:rPr>
          <w:rFonts w:ascii="Arial" w:hAnsi="Arial"/>
          <w:color w:val="000000"/>
        </w:rPr>
        <w:t>The Category tab compares sales, reviews and delivery risk by category.</w:t>
      </w:r>
    </w:p>
    <w:p>
      <w:pPr>
        <w:pStyle w:val="ListBullet"/>
      </w:pPr>
      <w:r>
        <w:rPr>
          <w:rFonts w:ascii="Arial" w:hAnsi="Arial"/>
          <w:color w:val="000000"/>
        </w:rPr>
        <w:t>The Seller tab shows seller sales concentration and risk groups.</w:t>
      </w:r>
    </w:p>
    <w:p>
      <w:pPr>
        <w:pStyle w:val="ListBullet"/>
      </w:pPr>
      <w:r>
        <w:rPr>
          <w:rFonts w:ascii="Arial" w:hAnsi="Arial"/>
          <w:color w:val="000000"/>
        </w:rPr>
        <w:t>The Region tab compares review and delivery outcomes by state.</w:t>
      </w:r>
    </w:p>
    <w:p>
      <w:pPr>
        <w:pStyle w:val="ListBullet"/>
      </w:pPr>
      <w:r>
        <w:rPr>
          <w:rFonts w:ascii="Arial" w:hAnsi="Arial"/>
          <w:color w:val="000000"/>
        </w:rPr>
        <w:t>The Delivery tab shows review outcomes by delay band and over time.</w:t>
      </w:r>
    </w:p>
    <w:p>
      <w:pPr>
        <w:pStyle w:val="ListBullet"/>
      </w:pPr>
      <w:r>
        <w:rPr>
          <w:rFonts w:ascii="Arial" w:hAnsi="Arial"/>
          <w:color w:val="000000"/>
        </w:rPr>
        <w:t>Seller state, value tier and review-risk filters control the seller views and KPI cards.</w:t>
      </w:r>
    </w:p>
    <w:p>
      <w:pPr>
        <w:pStyle w:val="ListBullet"/>
      </w:pPr>
      <w:r>
        <w:rPr>
          <w:rFonts w:ascii="Arial" w:hAnsi="Arial"/>
          <w:color w:val="000000"/>
        </w:rPr>
        <w:t>The page currently states that filters affect every chart, but this is not true for category, region and delivery charts.</w:t>
      </w:r>
    </w:p>
    <w:p>
      <w:pPr>
        <w:pStyle w:val="Heading1"/>
        <w:keepNext/>
      </w:pPr>
      <w:r>
        <w:rPr>
          <w:rFonts w:ascii="Arial" w:hAnsi="Arial"/>
          <w:color w:val="000000"/>
        </w:rPr>
        <w:t>7 What the Project Does Well</w:t>
      </w:r>
    </w:p>
    <w:p>
      <w:pPr>
        <w:pStyle w:val="ListBullet"/>
      </w:pPr>
      <w:r>
        <w:rPr>
          <w:rFonts w:ascii="Arial" w:hAnsi="Arial"/>
          <w:color w:val="000000"/>
        </w:rPr>
        <w:t>It has one clear business theme instead of many unrelated charts.</w:t>
      </w:r>
    </w:p>
    <w:p>
      <w:pPr>
        <w:pStyle w:val="ListBullet"/>
      </w:pPr>
      <w:r>
        <w:rPr>
          <w:rFonts w:ascii="Arial" w:hAnsi="Arial"/>
          <w:color w:val="000000"/>
        </w:rPr>
        <w:t>It uses customer_unique_id for real customer and repeat-purchase analysis.</w:t>
      </w:r>
    </w:p>
    <w:p>
      <w:pPr>
        <w:pStyle w:val="ListBullet"/>
      </w:pPr>
      <w:r>
        <w:rPr>
          <w:rFonts w:ascii="Arial" w:hAnsi="Arial"/>
          <w:color w:val="000000"/>
        </w:rPr>
        <w:t>It aggregates item and payment tables before joining them to orders.</w:t>
      </w:r>
    </w:p>
    <w:p>
      <w:pPr>
        <w:pStyle w:val="ListBullet"/>
      </w:pPr>
      <w:r>
        <w:rPr>
          <w:rFonts w:ascii="Arial" w:hAnsi="Arial"/>
          <w:color w:val="000000"/>
        </w:rPr>
        <w:t>It compares patterns across orders, customers and sellers.</w:t>
      </w:r>
    </w:p>
    <w:p>
      <w:pPr>
        <w:pStyle w:val="ListBullet"/>
      </w:pPr>
      <w:r>
        <w:rPr>
          <w:rFonts w:ascii="Arial" w:hAnsi="Arial"/>
          <w:color w:val="000000"/>
        </w:rPr>
        <w:t>It quantifies major findings instead of relying only on visual impressions.</w:t>
      </w:r>
    </w:p>
    <w:p>
      <w:pPr>
        <w:pStyle w:val="ListBullet"/>
      </w:pPr>
      <w:r>
        <w:rPr>
          <w:rFonts w:ascii="Arial" w:hAnsi="Arial"/>
          <w:color w:val="000000"/>
        </w:rPr>
        <w:t>It usually separates association from causation.</w:t>
      </w:r>
    </w:p>
    <w:p>
      <w:pPr>
        <w:pStyle w:val="ListBullet"/>
      </w:pPr>
      <w:r>
        <w:rPr>
          <w:rFonts w:ascii="Arial" w:hAnsi="Arial"/>
          <w:color w:val="000000"/>
        </w:rPr>
        <w:t>It records several missing-data limitations.</w:t>
      </w:r>
    </w:p>
    <w:p>
      <w:pPr>
        <w:pStyle w:val="ListBullet"/>
      </w:pPr>
      <w:r>
        <w:rPr>
          <w:rFonts w:ascii="Arial" w:hAnsi="Arial"/>
          <w:color w:val="000000"/>
        </w:rPr>
        <w:t>Its dashboard structure is simple enough for a course project.</w:t>
      </w:r>
    </w:p>
    <w:p>
      <w:pPr>
        <w:pStyle w:val="Heading1"/>
        <w:keepNext/>
      </w:pPr>
      <w:r>
        <w:rPr>
          <w:rFonts w:ascii="Arial" w:hAnsi="Arial"/>
          <w:color w:val="000000"/>
        </w:rPr>
        <w:t>8 Problems to Correct Before Submission</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31"/>
        <w:gridCol w:w="3331"/>
        <w:gridCol w:w="3331"/>
      </w:tblGrid>
      <w:tr>
        <w:trPr>
          <w:tblHeader w:val="true"/>
        </w:trPr>
        <w:tc>
          <w:tcPr>
            <w:tcW w:type="dxa" w:w="1152"/>
            <w:vAlign w:val="center"/>
            <w:shd w:fill="1F4E78"/>
            <w:tcMar>
              <w:top w:w="100" w:type="dxa"/>
              <w:start w:w="120" w:type="dxa"/>
              <w:bottom w:w="100" w:type="dxa"/>
              <w:end w:w="120" w:type="dxa"/>
            </w:tcMar>
          </w:tcPr>
          <w:p>
            <w:pPr>
              <w:spacing w:after="0"/>
              <w:jc w:val="center"/>
            </w:pPr>
            <w:r>
              <w:rPr>
                <w:rFonts w:ascii="Arial" w:hAnsi="Arial"/>
                <w:b/>
                <w:color w:val="FFFFFF"/>
                <w:sz w:val="19"/>
              </w:rPr>
              <w:t>Priority</w:t>
            </w:r>
          </w:p>
        </w:tc>
        <w:tc>
          <w:tcPr>
            <w:tcW w:type="dxa" w:w="3384"/>
            <w:vAlign w:val="center"/>
            <w:shd w:fill="1F4E78"/>
            <w:tcMar>
              <w:top w:w="100" w:type="dxa"/>
              <w:start w:w="120" w:type="dxa"/>
              <w:bottom w:w="100" w:type="dxa"/>
              <w:end w:w="120" w:type="dxa"/>
            </w:tcMar>
          </w:tcPr>
          <w:p>
            <w:pPr>
              <w:spacing w:after="0"/>
              <w:jc w:val="center"/>
            </w:pPr>
            <w:r>
              <w:rPr>
                <w:rFonts w:ascii="Arial" w:hAnsi="Arial"/>
                <w:b/>
                <w:color w:val="FFFFFF"/>
                <w:sz w:val="19"/>
              </w:rPr>
              <w:t>Problem</w:t>
            </w:r>
          </w:p>
        </w:tc>
        <w:tc>
          <w:tcPr>
            <w:tcW w:type="dxa" w:w="5184"/>
            <w:vAlign w:val="center"/>
            <w:shd w:fill="1F4E78"/>
            <w:tcMar>
              <w:top w:w="100" w:type="dxa"/>
              <w:start w:w="120" w:type="dxa"/>
              <w:bottom w:w="100" w:type="dxa"/>
              <w:end w:w="120" w:type="dxa"/>
            </w:tcMar>
          </w:tcPr>
          <w:p>
            <w:pPr>
              <w:spacing w:after="0"/>
              <w:jc w:val="center"/>
            </w:pPr>
            <w:r>
              <w:rPr>
                <w:rFonts w:ascii="Arial" w:hAnsi="Arial"/>
                <w:b/>
                <w:color w:val="FFFFFF"/>
                <w:sz w:val="19"/>
              </w:rPr>
              <w:t>Required correction</w:t>
            </w:r>
          </w:p>
        </w:tc>
      </w:tr>
      <w:tr>
        <w:tc>
          <w:tcPr>
            <w:tcW w:type="dxa" w:w="1152"/>
            <w:vAlign w:val="center"/>
            <w:tcMar>
              <w:top w:w="100" w:type="dxa"/>
              <w:start w:w="120" w:type="dxa"/>
              <w:bottom w:w="100" w:type="dxa"/>
              <w:end w:w="120" w:type="dxa"/>
            </w:tcMar>
          </w:tcPr>
          <w:p>
            <w:pPr>
              <w:spacing w:after="0" w:line="252" w:lineRule="auto"/>
            </w:pPr>
            <w:r>
              <w:rPr>
                <w:rFonts w:ascii="Arial" w:hAnsi="Arial"/>
                <w:color w:val="000000"/>
                <w:sz w:val="19"/>
              </w:rPr>
              <w:t>High</w:t>
            </w:r>
          </w:p>
        </w:tc>
        <w:tc>
          <w:tcPr>
            <w:tcW w:type="dxa" w:w="3384"/>
            <w:vAlign w:val="center"/>
            <w:tcMar>
              <w:top w:w="100" w:type="dxa"/>
              <w:start w:w="120" w:type="dxa"/>
              <w:bottom w:w="100" w:type="dxa"/>
              <w:end w:w="120" w:type="dxa"/>
            </w:tcMar>
          </w:tcPr>
          <w:p>
            <w:pPr>
              <w:spacing w:after="0" w:line="252" w:lineRule="auto"/>
            </w:pPr>
            <w:r>
              <w:rPr>
                <w:rFonts w:ascii="Arial" w:hAnsi="Arial"/>
                <w:color w:val="000000"/>
                <w:sz w:val="19"/>
              </w:rPr>
              <w:t>Two definitions of late delivery</w:t>
            </w:r>
          </w:p>
        </w:tc>
        <w:tc>
          <w:tcPr>
            <w:tcW w:type="dxa" w:w="5184"/>
            <w:vAlign w:val="center"/>
            <w:tcMar>
              <w:top w:w="100" w:type="dxa"/>
              <w:start w:w="120" w:type="dxa"/>
              <w:bottom w:w="100" w:type="dxa"/>
              <w:end w:w="120" w:type="dxa"/>
            </w:tcMar>
          </w:tcPr>
          <w:p>
            <w:pPr>
              <w:spacing w:after="0" w:line="252" w:lineRule="auto"/>
            </w:pPr>
            <w:r>
              <w:rPr>
                <w:rFonts w:ascii="Arial" w:hAnsi="Arial"/>
                <w:color w:val="000000"/>
                <w:sz w:val="19"/>
              </w:rPr>
              <w:t>Choose one definition and use it in every notebook and dashboard file.</w:t>
            </w:r>
          </w:p>
        </w:tc>
      </w:tr>
      <w:tr>
        <w:tc>
          <w:tcPr>
            <w:tcW w:type="dxa" w:w="1152"/>
            <w:vAlign w:val="center"/>
            <w:tcMar>
              <w:top w:w="100" w:type="dxa"/>
              <w:start w:w="120" w:type="dxa"/>
              <w:bottom w:w="100" w:type="dxa"/>
              <w:end w:w="120" w:type="dxa"/>
            </w:tcMar>
            <w:shd w:fill="EAF2F8"/>
          </w:tcPr>
          <w:p>
            <w:pPr>
              <w:spacing w:after="0" w:line="252" w:lineRule="auto"/>
            </w:pPr>
            <w:r>
              <w:rPr>
                <w:rFonts w:ascii="Arial" w:hAnsi="Arial"/>
                <w:color w:val="000000"/>
                <w:sz w:val="19"/>
              </w:rPr>
              <w:t>High</w:t>
            </w:r>
          </w:p>
        </w:tc>
        <w:tc>
          <w:tcPr>
            <w:tcW w:type="dxa" w:w="3384"/>
            <w:vAlign w:val="center"/>
            <w:tcMar>
              <w:top w:w="100" w:type="dxa"/>
              <w:start w:w="120" w:type="dxa"/>
              <w:bottom w:w="100" w:type="dxa"/>
              <w:end w:w="120" w:type="dxa"/>
            </w:tcMar>
            <w:shd w:fill="EAF2F8"/>
          </w:tcPr>
          <w:p>
            <w:pPr>
              <w:spacing w:after="0" w:line="252" w:lineRule="auto"/>
            </w:pPr>
            <w:r>
              <w:rPr>
                <w:rFonts w:ascii="Arial" w:hAnsi="Arial"/>
                <w:color w:val="000000"/>
                <w:sz w:val="19"/>
              </w:rPr>
              <w:t>Category reviews are item weighted</w:t>
            </w:r>
          </w:p>
        </w:tc>
        <w:tc>
          <w:tcPr>
            <w:tcW w:type="dxa" w:w="5184"/>
            <w:vAlign w:val="center"/>
            <w:tcMar>
              <w:top w:w="100" w:type="dxa"/>
              <w:start w:w="120" w:type="dxa"/>
              <w:bottom w:w="100" w:type="dxa"/>
              <w:end w:w="120" w:type="dxa"/>
            </w:tcMar>
            <w:shd w:fill="EAF2F8"/>
          </w:tcPr>
          <w:p>
            <w:pPr>
              <w:spacing w:after="0" w:line="252" w:lineRule="auto"/>
            </w:pPr>
            <w:r>
              <w:rPr>
                <w:rFonts w:ascii="Arial" w:hAnsi="Arial"/>
                <w:color w:val="000000"/>
                <w:sz w:val="19"/>
              </w:rPr>
              <w:t>Aggregate to one row per order and category before review or delivery averages.</w:t>
            </w:r>
          </w:p>
        </w:tc>
      </w:tr>
      <w:tr>
        <w:tc>
          <w:tcPr>
            <w:tcW w:type="dxa" w:w="1152"/>
            <w:vAlign w:val="center"/>
            <w:tcMar>
              <w:top w:w="100" w:type="dxa"/>
              <w:start w:w="120" w:type="dxa"/>
              <w:bottom w:w="100" w:type="dxa"/>
              <w:end w:w="120" w:type="dxa"/>
            </w:tcMar>
          </w:tcPr>
          <w:p>
            <w:pPr>
              <w:spacing w:after="0" w:line="252" w:lineRule="auto"/>
            </w:pPr>
            <w:r>
              <w:rPr>
                <w:rFonts w:ascii="Arial" w:hAnsi="Arial"/>
                <w:color w:val="000000"/>
                <w:sz w:val="19"/>
              </w:rPr>
              <w:t>High</w:t>
            </w:r>
          </w:p>
        </w:tc>
        <w:tc>
          <w:tcPr>
            <w:tcW w:type="dxa" w:w="3384"/>
            <w:vAlign w:val="center"/>
            <w:tcMar>
              <w:top w:w="100" w:type="dxa"/>
              <w:start w:w="120" w:type="dxa"/>
              <w:bottom w:w="100" w:type="dxa"/>
              <w:end w:w="120" w:type="dxa"/>
            </w:tcMar>
          </w:tcPr>
          <w:p>
            <w:pPr>
              <w:spacing w:after="0" w:line="252" w:lineRule="auto"/>
            </w:pPr>
            <w:r>
              <w:rPr>
                <w:rFonts w:ascii="Arial" w:hAnsi="Arial"/>
                <w:color w:val="000000"/>
                <w:sz w:val="19"/>
              </w:rPr>
              <w:t>Seller rate denominators include ineligible orders</w:t>
            </w:r>
          </w:p>
        </w:tc>
        <w:tc>
          <w:tcPr>
            <w:tcW w:type="dxa" w:w="5184"/>
            <w:vAlign w:val="center"/>
            <w:tcMar>
              <w:top w:w="100" w:type="dxa"/>
              <w:start w:w="120" w:type="dxa"/>
              <w:bottom w:w="100" w:type="dxa"/>
              <w:end w:w="120" w:type="dxa"/>
            </w:tcMar>
          </w:tcPr>
          <w:p>
            <w:pPr>
              <w:spacing w:after="0" w:line="252" w:lineRule="auto"/>
            </w:pPr>
            <w:r>
              <w:rPr>
                <w:rFonts w:ascii="Arial" w:hAnsi="Arial"/>
                <w:color w:val="000000"/>
                <w:sz w:val="19"/>
              </w:rPr>
              <w:t>Use delivered orders for late rates and reviewed orders for review-risk rates.</w:t>
            </w:r>
          </w:p>
        </w:tc>
      </w:tr>
      <w:tr>
        <w:tc>
          <w:tcPr>
            <w:tcW w:type="dxa" w:w="1152"/>
            <w:vAlign w:val="center"/>
            <w:tcMar>
              <w:top w:w="100" w:type="dxa"/>
              <w:start w:w="120" w:type="dxa"/>
              <w:bottom w:w="100" w:type="dxa"/>
              <w:end w:w="120" w:type="dxa"/>
            </w:tcMar>
            <w:shd w:fill="EAF2F8"/>
          </w:tcPr>
          <w:p>
            <w:pPr>
              <w:spacing w:after="0" w:line="252" w:lineRule="auto"/>
            </w:pPr>
            <w:r>
              <w:rPr>
                <w:rFonts w:ascii="Arial" w:hAnsi="Arial"/>
                <w:color w:val="000000"/>
                <w:sz w:val="19"/>
              </w:rPr>
              <w:t>High</w:t>
            </w:r>
          </w:p>
        </w:tc>
        <w:tc>
          <w:tcPr>
            <w:tcW w:type="dxa" w:w="3384"/>
            <w:vAlign w:val="center"/>
            <w:tcMar>
              <w:top w:w="100" w:type="dxa"/>
              <w:start w:w="120" w:type="dxa"/>
              <w:bottom w:w="100" w:type="dxa"/>
              <w:end w:w="120" w:type="dxa"/>
            </w:tcMar>
            <w:shd w:fill="EAF2F8"/>
          </w:tcPr>
          <w:p>
            <w:pPr>
              <w:spacing w:after="0" w:line="252" w:lineRule="auto"/>
            </w:pPr>
            <w:r>
              <w:rPr>
                <w:rFonts w:ascii="Arial" w:hAnsi="Arial"/>
                <w:color w:val="000000"/>
                <w:sz w:val="19"/>
              </w:rPr>
              <w:t>Seller flag labels are inaccurate</w:t>
            </w:r>
          </w:p>
        </w:tc>
        <w:tc>
          <w:tcPr>
            <w:tcW w:type="dxa" w:w="5184"/>
            <w:vAlign w:val="center"/>
            <w:tcMar>
              <w:top w:w="100" w:type="dxa"/>
              <w:start w:w="120" w:type="dxa"/>
              <w:bottom w:w="100" w:type="dxa"/>
              <w:end w:w="120" w:type="dxa"/>
            </w:tcMar>
            <w:shd w:fill="EAF2F8"/>
          </w:tcPr>
          <w:p>
            <w:pPr>
              <w:spacing w:after="0" w:line="252" w:lineRule="auto"/>
            </w:pPr>
            <w:r>
              <w:rPr>
                <w:rFonts w:ascii="Arial" w:hAnsi="Arial"/>
                <w:color w:val="000000"/>
                <w:sz w:val="19"/>
              </w:rPr>
              <w:t>Describe the current flag as average review score of 2 or lower, or redefine the flag.</w:t>
            </w:r>
          </w:p>
        </w:tc>
      </w:tr>
      <w:tr>
        <w:tc>
          <w:tcPr>
            <w:tcW w:type="dxa" w:w="1152"/>
            <w:vAlign w:val="center"/>
            <w:tcMar>
              <w:top w:w="100" w:type="dxa"/>
              <w:start w:w="120" w:type="dxa"/>
              <w:bottom w:w="100" w:type="dxa"/>
              <w:end w:w="120" w:type="dxa"/>
            </w:tcMar>
          </w:tcPr>
          <w:p>
            <w:pPr>
              <w:spacing w:after="0" w:line="252" w:lineRule="auto"/>
            </w:pPr>
            <w:r>
              <w:rPr>
                <w:rFonts w:ascii="Arial" w:hAnsi="Arial"/>
                <w:color w:val="000000"/>
                <w:sz w:val="19"/>
              </w:rPr>
              <w:t>High</w:t>
            </w:r>
          </w:p>
        </w:tc>
        <w:tc>
          <w:tcPr>
            <w:tcW w:type="dxa" w:w="3384"/>
            <w:vAlign w:val="center"/>
            <w:tcMar>
              <w:top w:w="100" w:type="dxa"/>
              <w:start w:w="120" w:type="dxa"/>
              <w:bottom w:w="100" w:type="dxa"/>
              <w:end w:w="120" w:type="dxa"/>
            </w:tcMar>
          </w:tcPr>
          <w:p>
            <w:pPr>
              <w:spacing w:after="0" w:line="252" w:lineRule="auto"/>
            </w:pPr>
            <w:r>
              <w:rPr>
                <w:rFonts w:ascii="Arial" w:hAnsi="Arial"/>
                <w:color w:val="000000"/>
                <w:sz w:val="19"/>
              </w:rPr>
              <w:t>Global filters do not affect every chart</w:t>
            </w:r>
          </w:p>
        </w:tc>
        <w:tc>
          <w:tcPr>
            <w:tcW w:type="dxa" w:w="5184"/>
            <w:vAlign w:val="center"/>
            <w:tcMar>
              <w:top w:w="100" w:type="dxa"/>
              <w:start w:w="120" w:type="dxa"/>
              <w:bottom w:w="100" w:type="dxa"/>
              <w:end w:w="120" w:type="dxa"/>
            </w:tcMar>
          </w:tcPr>
          <w:p>
            <w:pPr>
              <w:spacing w:after="0" w:line="252" w:lineRule="auto"/>
            </w:pPr>
            <w:r>
              <w:rPr>
                <w:rFonts w:ascii="Arial" w:hAnsi="Arial"/>
                <w:color w:val="000000"/>
                <w:sz w:val="19"/>
              </w:rPr>
              <w:t>Move the filters into the Seller tab or connect them to every compatible view.</w:t>
            </w:r>
          </w:p>
        </w:tc>
      </w:tr>
      <w:tr>
        <w:tc>
          <w:tcPr>
            <w:tcW w:type="dxa" w:w="1152"/>
            <w:vAlign w:val="center"/>
            <w:tcMar>
              <w:top w:w="100" w:type="dxa"/>
              <w:start w:w="120" w:type="dxa"/>
              <w:bottom w:w="100" w:type="dxa"/>
              <w:end w:w="120" w:type="dxa"/>
            </w:tcMar>
            <w:shd w:fill="EAF2F8"/>
          </w:tcPr>
          <w:p>
            <w:pPr>
              <w:spacing w:after="0" w:line="252" w:lineRule="auto"/>
            </w:pPr>
            <w:r>
              <w:rPr>
                <w:rFonts w:ascii="Arial" w:hAnsi="Arial"/>
                <w:color w:val="000000"/>
                <w:sz w:val="19"/>
              </w:rPr>
              <w:t>Medium</w:t>
            </w:r>
          </w:p>
        </w:tc>
        <w:tc>
          <w:tcPr>
            <w:tcW w:type="dxa" w:w="3384"/>
            <w:vAlign w:val="center"/>
            <w:tcMar>
              <w:top w:w="100" w:type="dxa"/>
              <w:start w:w="120" w:type="dxa"/>
              <w:bottom w:w="100" w:type="dxa"/>
              <w:end w:w="120" w:type="dxa"/>
            </w:tcMar>
            <w:shd w:fill="EAF2F8"/>
          </w:tcPr>
          <w:p>
            <w:pPr>
              <w:spacing w:after="0" w:line="252" w:lineRule="auto"/>
            </w:pPr>
            <w:r>
              <w:rPr>
                <w:rFonts w:ascii="Arial" w:hAnsi="Arial"/>
                <w:color w:val="000000"/>
                <w:sz w:val="19"/>
              </w:rPr>
              <w:t>Cleaned order status is misinterpreted</w:t>
            </w:r>
          </w:p>
        </w:tc>
        <w:tc>
          <w:tcPr>
            <w:tcW w:type="dxa" w:w="5184"/>
            <w:vAlign w:val="center"/>
            <w:tcMar>
              <w:top w:w="100" w:type="dxa"/>
              <w:start w:w="120" w:type="dxa"/>
              <w:bottom w:w="100" w:type="dxa"/>
              <w:end w:w="120" w:type="dxa"/>
            </w:tcMar>
            <w:shd w:fill="EAF2F8"/>
          </w:tcPr>
          <w:p>
            <w:pPr>
              <w:spacing w:after="0" w:line="252" w:lineRule="auto"/>
            </w:pPr>
            <w:r>
              <w:rPr>
                <w:rFonts w:ascii="Arial" w:hAnsi="Arial"/>
                <w:color w:val="000000"/>
                <w:sz w:val="19"/>
              </w:rPr>
              <w:t>Use raw orders for status analysis or label the restricted population clearly.</w:t>
            </w:r>
          </w:p>
        </w:tc>
      </w:tr>
      <w:tr>
        <w:tc>
          <w:tcPr>
            <w:tcW w:type="dxa" w:w="1152"/>
            <w:vAlign w:val="center"/>
            <w:tcMar>
              <w:top w:w="100" w:type="dxa"/>
              <w:start w:w="120" w:type="dxa"/>
              <w:bottom w:w="100" w:type="dxa"/>
              <w:end w:w="120" w:type="dxa"/>
            </w:tcMar>
          </w:tcPr>
          <w:p>
            <w:pPr>
              <w:spacing w:after="0" w:line="252" w:lineRule="auto"/>
            </w:pPr>
            <w:r>
              <w:rPr>
                <w:rFonts w:ascii="Arial" w:hAnsi="Arial"/>
                <w:color w:val="000000"/>
                <w:sz w:val="19"/>
              </w:rPr>
              <w:t>Medium</w:t>
            </w:r>
          </w:p>
        </w:tc>
        <w:tc>
          <w:tcPr>
            <w:tcW w:type="dxa" w:w="3384"/>
            <w:vAlign w:val="center"/>
            <w:tcMar>
              <w:top w:w="100" w:type="dxa"/>
              <w:start w:w="120" w:type="dxa"/>
              <w:bottom w:w="100" w:type="dxa"/>
              <w:end w:w="120" w:type="dxa"/>
            </w:tcMar>
          </w:tcPr>
          <w:p>
            <w:pPr>
              <w:spacing w:after="0" w:line="252" w:lineRule="auto"/>
            </w:pPr>
            <w:r>
              <w:rPr>
                <w:rFonts w:ascii="Arial" w:hAnsi="Arial"/>
                <w:color w:val="000000"/>
                <w:sz w:val="19"/>
              </w:rPr>
              <w:t>Timestamp anomalies are not resolved</w:t>
            </w:r>
          </w:p>
        </w:tc>
        <w:tc>
          <w:tcPr>
            <w:tcW w:type="dxa" w:w="5184"/>
            <w:vAlign w:val="center"/>
            <w:tcMar>
              <w:top w:w="100" w:type="dxa"/>
              <w:start w:w="120" w:type="dxa"/>
              <w:bottom w:w="100" w:type="dxa"/>
              <w:end w:w="120" w:type="dxa"/>
            </w:tcMar>
          </w:tcPr>
          <w:p>
            <w:pPr>
              <w:spacing w:after="0" w:line="252" w:lineRule="auto"/>
            </w:pPr>
            <w:r>
              <w:rPr>
                <w:rFonts w:ascii="Arial" w:hAnsi="Arial"/>
                <w:color w:val="000000"/>
                <w:sz w:val="19"/>
              </w:rPr>
              <w:t>Investigate carrier-before-approval and delivery-before-carrier records.</w:t>
            </w:r>
          </w:p>
        </w:tc>
      </w:tr>
      <w:tr>
        <w:tc>
          <w:tcPr>
            <w:tcW w:type="dxa" w:w="1152"/>
            <w:vAlign w:val="center"/>
            <w:tcMar>
              <w:top w:w="100" w:type="dxa"/>
              <w:start w:w="120" w:type="dxa"/>
              <w:bottom w:w="100" w:type="dxa"/>
              <w:end w:w="120" w:type="dxa"/>
            </w:tcMar>
            <w:shd w:fill="EAF2F8"/>
          </w:tcPr>
          <w:p>
            <w:pPr>
              <w:spacing w:after="0" w:line="252" w:lineRule="auto"/>
            </w:pPr>
            <w:r>
              <w:rPr>
                <w:rFonts w:ascii="Arial" w:hAnsi="Arial"/>
                <w:color w:val="000000"/>
                <w:sz w:val="19"/>
              </w:rPr>
              <w:t>Medium</w:t>
            </w:r>
          </w:p>
        </w:tc>
        <w:tc>
          <w:tcPr>
            <w:tcW w:type="dxa" w:w="3384"/>
            <w:vAlign w:val="center"/>
            <w:tcMar>
              <w:top w:w="100" w:type="dxa"/>
              <w:start w:w="120" w:type="dxa"/>
              <w:bottom w:w="100" w:type="dxa"/>
              <w:end w:w="120" w:type="dxa"/>
            </w:tcMar>
            <w:shd w:fill="EAF2F8"/>
          </w:tcPr>
          <w:p>
            <w:pPr>
              <w:spacing w:after="0" w:line="252" w:lineRule="auto"/>
            </w:pPr>
            <w:r>
              <w:rPr>
                <w:rFonts w:ascii="Arial" w:hAnsi="Arial"/>
                <w:color w:val="000000"/>
                <w:sz w:val="19"/>
              </w:rPr>
              <w:t>Processing paths are hard coded</w:t>
            </w:r>
          </w:p>
        </w:tc>
        <w:tc>
          <w:tcPr>
            <w:tcW w:type="dxa" w:w="5184"/>
            <w:vAlign w:val="center"/>
            <w:tcMar>
              <w:top w:w="100" w:type="dxa"/>
              <w:start w:w="120" w:type="dxa"/>
              <w:bottom w:w="100" w:type="dxa"/>
              <w:end w:w="120" w:type="dxa"/>
            </w:tcMar>
            <w:shd w:fill="EAF2F8"/>
          </w:tcPr>
          <w:p>
            <w:pPr>
              <w:spacing w:after="0" w:line="252" w:lineRule="auto"/>
            </w:pPr>
            <w:r>
              <w:rPr>
                <w:rFonts w:ascii="Arial" w:hAnsi="Arial"/>
                <w:color w:val="000000"/>
                <w:sz w:val="19"/>
              </w:rPr>
              <w:t>Build paths from the repository location so another person can rerun the project.</w:t>
            </w:r>
          </w:p>
        </w:tc>
      </w:tr>
      <w:tr>
        <w:tc>
          <w:tcPr>
            <w:tcW w:type="dxa" w:w="1152"/>
            <w:vAlign w:val="center"/>
            <w:tcMar>
              <w:top w:w="100" w:type="dxa"/>
              <w:start w:w="120" w:type="dxa"/>
              <w:bottom w:w="100" w:type="dxa"/>
              <w:end w:w="120" w:type="dxa"/>
            </w:tcMar>
          </w:tcPr>
          <w:p>
            <w:pPr>
              <w:spacing w:after="0" w:line="252" w:lineRule="auto"/>
            </w:pPr>
            <w:r>
              <w:rPr>
                <w:rFonts w:ascii="Arial" w:hAnsi="Arial"/>
                <w:color w:val="000000"/>
                <w:sz w:val="19"/>
              </w:rPr>
              <w:t>Medium</w:t>
            </w:r>
          </w:p>
        </w:tc>
        <w:tc>
          <w:tcPr>
            <w:tcW w:type="dxa" w:w="3384"/>
            <w:vAlign w:val="center"/>
            <w:tcMar>
              <w:top w:w="100" w:type="dxa"/>
              <w:start w:w="120" w:type="dxa"/>
              <w:bottom w:w="100" w:type="dxa"/>
              <w:end w:w="120" w:type="dxa"/>
            </w:tcMar>
          </w:tcPr>
          <w:p>
            <w:pPr>
              <w:spacing w:after="0" w:line="252" w:lineRule="auto"/>
            </w:pPr>
            <w:r>
              <w:rPr>
                <w:rFonts w:ascii="Arial" w:hAnsi="Arial"/>
                <w:color w:val="000000"/>
                <w:sz w:val="19"/>
              </w:rPr>
              <w:t>Customer cleaning step is missing</w:t>
            </w:r>
          </w:p>
        </w:tc>
        <w:tc>
          <w:tcPr>
            <w:tcW w:type="dxa" w:w="5184"/>
            <w:vAlign w:val="center"/>
            <w:tcMar>
              <w:top w:w="100" w:type="dxa"/>
              <w:start w:w="120" w:type="dxa"/>
              <w:bottom w:w="100" w:type="dxa"/>
              <w:end w:w="120" w:type="dxa"/>
            </w:tcMar>
          </w:tcPr>
          <w:p>
            <w:pPr>
              <w:spacing w:after="0" w:line="252" w:lineRule="auto"/>
            </w:pPr>
            <w:r>
              <w:rPr>
                <w:rFonts w:ascii="Arial" w:hAnsi="Arial"/>
                <w:color w:val="000000"/>
                <w:sz w:val="19"/>
              </w:rPr>
              <w:t>Check in the code that creates the extra columns in the cleaned customer file.</w:t>
            </w:r>
          </w:p>
        </w:tc>
      </w:tr>
      <w:tr>
        <w:tc>
          <w:tcPr>
            <w:tcW w:type="dxa" w:w="1152"/>
            <w:vAlign w:val="center"/>
            <w:tcMar>
              <w:top w:w="100" w:type="dxa"/>
              <w:start w:w="120" w:type="dxa"/>
              <w:bottom w:w="100" w:type="dxa"/>
              <w:end w:w="120" w:type="dxa"/>
            </w:tcMar>
            <w:shd w:fill="EAF2F8"/>
          </w:tcPr>
          <w:p>
            <w:pPr>
              <w:spacing w:after="0" w:line="252" w:lineRule="auto"/>
            </w:pPr>
            <w:r>
              <w:rPr>
                <w:rFonts w:ascii="Arial" w:hAnsi="Arial"/>
                <w:color w:val="000000"/>
                <w:sz w:val="19"/>
              </w:rPr>
              <w:t>Low</w:t>
            </w:r>
          </w:p>
        </w:tc>
        <w:tc>
          <w:tcPr>
            <w:tcW w:type="dxa" w:w="3384"/>
            <w:vAlign w:val="center"/>
            <w:tcMar>
              <w:top w:w="100" w:type="dxa"/>
              <w:start w:w="120" w:type="dxa"/>
              <w:bottom w:w="100" w:type="dxa"/>
              <w:end w:w="120" w:type="dxa"/>
            </w:tcMar>
            <w:shd w:fill="EAF2F8"/>
          </w:tcPr>
          <w:p>
            <w:pPr>
              <w:spacing w:after="0" w:line="252" w:lineRule="auto"/>
            </w:pPr>
            <w:r>
              <w:rPr>
                <w:rFonts w:ascii="Arial" w:hAnsi="Arial"/>
                <w:color w:val="000000"/>
                <w:sz w:val="19"/>
              </w:rPr>
              <w:t>One CSV contains an index column</w:t>
            </w:r>
          </w:p>
        </w:tc>
        <w:tc>
          <w:tcPr>
            <w:tcW w:type="dxa" w:w="5184"/>
            <w:vAlign w:val="center"/>
            <w:tcMar>
              <w:top w:w="100" w:type="dxa"/>
              <w:start w:w="120" w:type="dxa"/>
              <w:bottom w:w="100" w:type="dxa"/>
              <w:end w:w="120" w:type="dxa"/>
            </w:tcMar>
            <w:shd w:fill="EAF2F8"/>
          </w:tcPr>
          <w:p>
            <w:pPr>
              <w:spacing w:after="0" w:line="252" w:lineRule="auto"/>
            </w:pPr>
            <w:r>
              <w:rPr>
                <w:rFonts w:ascii="Arial" w:hAnsi="Arial"/>
                <w:color w:val="000000"/>
                <w:sz w:val="19"/>
              </w:rPr>
              <w:t>Save cleaned_master_order_table.csv with index set to false.</w:t>
            </w:r>
          </w:p>
        </w:tc>
      </w:tr>
    </w:tbl>
    <w:p>
      <w:pPr>
        <w:pStyle w:val="Heading1"/>
        <w:keepNext/>
      </w:pPr>
      <w:r>
        <w:rPr>
          <w:rFonts w:ascii="Arial" w:hAnsi="Arial"/>
          <w:color w:val="000000"/>
        </w:rPr>
        <w:t>9 Important Data Quality Notes</w:t>
      </w:r>
    </w:p>
    <w:p>
      <w:pPr>
        <w:pStyle w:val="ListBullet"/>
      </w:pPr>
      <w:r>
        <w:rPr>
          <w:rFonts w:ascii="Arial" w:hAnsi="Arial"/>
          <w:color w:val="000000"/>
        </w:rPr>
        <w:t>The raw orders table has 99,441 unique order identifiers and no duplicate order rows.</w:t>
      </w:r>
    </w:p>
    <w:p>
      <w:pPr>
        <w:pStyle w:val="ListBullet"/>
      </w:pPr>
      <w:r>
        <w:rPr>
          <w:rFonts w:ascii="Arial" w:hAnsi="Arial"/>
          <w:color w:val="000000"/>
        </w:rPr>
        <w:t>About 2.98 percent of orders have no delivered-customer date.</w:t>
      </w:r>
    </w:p>
    <w:p>
      <w:pPr>
        <w:pStyle w:val="ListBullet"/>
      </w:pPr>
      <w:r>
        <w:rPr>
          <w:rFonts w:ascii="Arial" w:hAnsi="Arial"/>
          <w:color w:val="000000"/>
        </w:rPr>
        <w:t>The raw data contains 1,359 records where the carrier date is earlier than approval.</w:t>
      </w:r>
    </w:p>
    <w:p>
      <w:pPr>
        <w:pStyle w:val="ListBullet"/>
      </w:pPr>
      <w:r>
        <w:rPr>
          <w:rFonts w:ascii="Arial" w:hAnsi="Arial"/>
          <w:color w:val="000000"/>
        </w:rPr>
        <w:t>The raw data contains 23 records where customer delivery is earlier than the carrier date.</w:t>
      </w:r>
    </w:p>
    <w:p>
      <w:pPr>
        <w:pStyle w:val="ListBullet"/>
      </w:pPr>
      <w:r>
        <w:rPr>
          <w:rFonts w:ascii="Arial" w:hAnsi="Arial"/>
          <w:color w:val="000000"/>
        </w:rPr>
        <w:t>Eight delivered-status orders have no delivered-customer date.</w:t>
      </w:r>
    </w:p>
    <w:p>
      <w:pPr>
        <w:pStyle w:val="ListBullet"/>
      </w:pPr>
      <w:r>
        <w:rPr>
          <w:rFonts w:ascii="Arial" w:hAnsi="Arial"/>
          <w:color w:val="000000"/>
        </w:rPr>
        <w:t>Six non-delivered-status orders contain a delivered-customer date.</w:t>
      </w:r>
    </w:p>
    <w:p>
      <w:pPr>
        <w:pStyle w:val="ListBullet"/>
      </w:pPr>
      <w:r>
        <w:rPr>
          <w:rFonts w:ascii="Arial" w:hAnsi="Arial"/>
          <w:color w:val="000000"/>
        </w:rPr>
        <w:t>The review file contains more than one review record for some orders.</w:t>
      </w:r>
    </w:p>
    <w:p>
      <w:pPr>
        <w:pStyle w:val="ListBullet"/>
      </w:pPr>
      <w:r>
        <w:rPr>
          <w:rFonts w:ascii="Arial" w:hAnsi="Arial"/>
          <w:color w:val="000000"/>
        </w:rPr>
        <w:t>The project keeps the latest review for each order, and this decision should be explained.</w:t>
      </w:r>
    </w:p>
    <w:p>
      <w:pPr>
        <w:pStyle w:val="Heading1"/>
        <w:keepNext/>
      </w:pPr>
      <w:r>
        <w:rPr>
          <w:rFonts w:ascii="Arial" w:hAnsi="Arial"/>
          <w:color w:val="000000"/>
        </w:rPr>
        <w:t>10 Minimum Final Project Scope</w:t>
      </w:r>
    </w:p>
    <w:p>
      <w:r>
        <w:rPr>
          <w:rFonts w:ascii="Arial" w:hAnsi="Arial"/>
          <w:b/>
          <w:color w:val="000000"/>
        </w:rPr>
        <w:t xml:space="preserve">Recommended scope. </w:t>
      </w:r>
      <w:r>
        <w:rPr>
          <w:rFonts w:ascii="Arial" w:hAnsi="Arial"/>
          <w:color w:val="000000"/>
        </w:rPr>
        <w:t>Keep the project simple and correct rather than adding every chart from the guide.</w:t>
      </w:r>
    </w:p>
    <w:p>
      <w:pPr>
        <w:pStyle w:val="ListBullet"/>
      </w:pPr>
      <w:r>
        <w:rPr>
          <w:rFonts w:ascii="Arial" w:hAnsi="Arial"/>
          <w:color w:val="000000"/>
        </w:rPr>
        <w:t>Keep delivery performance versus customer satisfaction as the central story.</w:t>
      </w:r>
    </w:p>
    <w:p>
      <w:pPr>
        <w:pStyle w:val="ListBullet"/>
      </w:pPr>
      <w:r>
        <w:rPr>
          <w:rFonts w:ascii="Arial" w:hAnsi="Arial"/>
          <w:color w:val="000000"/>
        </w:rPr>
        <w:t>Add one small overview with orders, customers, item sales, average order value, review score and on-time rate.</w:t>
      </w:r>
    </w:p>
    <w:p>
      <w:pPr>
        <w:pStyle w:val="ListBullet"/>
      </w:pPr>
      <w:r>
        <w:rPr>
          <w:rFonts w:ascii="Arial" w:hAnsi="Arial"/>
          <w:color w:val="000000"/>
        </w:rPr>
        <w:t>Add monthly order volume and monthly item sales value.</w:t>
      </w:r>
    </w:p>
    <w:p>
      <w:pPr>
        <w:pStyle w:val="ListBullet"/>
      </w:pPr>
      <w:r>
        <w:rPr>
          <w:rFonts w:ascii="Arial" w:hAnsi="Arial"/>
          <w:color w:val="000000"/>
        </w:rPr>
        <w:t>Add payment-method share and installments versus order value.</w:t>
      </w:r>
    </w:p>
    <w:p>
      <w:pPr>
        <w:pStyle w:val="ListBullet"/>
      </w:pPr>
      <w:r>
        <w:rPr>
          <w:rFonts w:ascii="Arial" w:hAnsi="Arial"/>
          <w:color w:val="000000"/>
        </w:rPr>
        <w:t>Correct the category, seller and delivery calculations before polishing visuals.</w:t>
      </w:r>
    </w:p>
    <w:p>
      <w:pPr>
        <w:pStyle w:val="ListBullet"/>
      </w:pPr>
      <w:r>
        <w:rPr>
          <w:rFonts w:ascii="Arial" w:hAnsi="Arial"/>
          <w:color w:val="000000"/>
        </w:rPr>
        <w:t>Use a minimum reviewed-order count for category and seller rankings.</w:t>
      </w:r>
    </w:p>
    <w:p>
      <w:pPr>
        <w:pStyle w:val="ListBullet"/>
      </w:pPr>
      <w:r>
        <w:rPr>
          <w:rFonts w:ascii="Arial" w:hAnsi="Arial"/>
          <w:color w:val="000000"/>
        </w:rPr>
        <w:t>Make the data-processing notebooks portable and rerunnable.</w:t>
      </w:r>
    </w:p>
    <w:p>
      <w:pPr>
        <w:pStyle w:val="ListBullet"/>
      </w:pPr>
      <w:r>
        <w:rPr>
          <w:rFonts w:ascii="Arial" w:hAnsi="Arial"/>
          <w:color w:val="000000"/>
        </w:rPr>
        <w:t>Do not add machine learning, maps or complex statistical models unless the course specifically requires them.</w:t>
      </w:r>
    </w:p>
    <w:p>
      <w:pPr>
        <w:pStyle w:val="Heading1"/>
        <w:keepNext/>
      </w:pPr>
      <w:r>
        <w:rPr>
          <w:rFonts w:ascii="Arial" w:hAnsi="Arial"/>
          <w:color w:val="000000"/>
        </w:rPr>
        <w:t>11 Final Project Story</w:t>
      </w:r>
    </w:p>
    <w:p>
      <w:pPr>
        <w:pStyle w:val="ListNumber"/>
      </w:pPr>
      <w:r>
        <w:rPr>
          <w:rFonts w:ascii="Arial" w:hAnsi="Arial"/>
          <w:color w:val="000000"/>
        </w:rPr>
        <w:t>Explain the size and structure of the marketplace.</w:t>
      </w:r>
    </w:p>
    <w:p>
      <w:pPr>
        <w:pStyle w:val="ListNumber"/>
      </w:pPr>
      <w:r>
        <w:rPr>
          <w:rFonts w:ascii="Arial" w:hAnsi="Arial"/>
          <w:color w:val="000000"/>
        </w:rPr>
        <w:t>Show which sellers and categories generate sales.</w:t>
      </w:r>
    </w:p>
    <w:p>
      <w:pPr>
        <w:pStyle w:val="ListNumber"/>
      </w:pPr>
      <w:r>
        <w:rPr>
          <w:rFonts w:ascii="Arial" w:hAnsi="Arial"/>
          <w:color w:val="000000"/>
        </w:rPr>
        <w:t>Describe customer value and the low repeat-purchase rate.</w:t>
      </w:r>
    </w:p>
    <w:p>
      <w:pPr>
        <w:pStyle w:val="ListNumber"/>
      </w:pPr>
      <w:r>
        <w:rPr>
          <w:rFonts w:ascii="Arial" w:hAnsi="Arial"/>
          <w:color w:val="000000"/>
        </w:rPr>
        <w:t>Measure delivery performance and geographic differences.</w:t>
      </w:r>
    </w:p>
    <w:p>
      <w:pPr>
        <w:pStyle w:val="ListNumber"/>
      </w:pPr>
      <w:r>
        <w:rPr>
          <w:rFonts w:ascii="Arial" w:hAnsi="Arial"/>
          <w:color w:val="000000"/>
        </w:rPr>
        <w:t>Show how review scores fall when orders are late.</w:t>
      </w:r>
    </w:p>
    <w:p>
      <w:pPr>
        <w:pStyle w:val="ListNumber"/>
      </w:pPr>
      <w:r>
        <w:rPr>
          <w:rFonts w:ascii="Arial" w:hAnsi="Arial"/>
          <w:color w:val="000000"/>
        </w:rPr>
        <w:t>Identify the high-value customers and sellers needing attention.</w:t>
      </w:r>
    </w:p>
    <w:p>
      <w:pPr>
        <w:pStyle w:val="ListNumber"/>
      </w:pPr>
      <w:r>
        <w:rPr>
          <w:rFonts w:ascii="Arial" w:hAnsi="Arial"/>
          <w:color w:val="000000"/>
        </w:rPr>
        <w:t>Recommend focused logistics, seller-support and retention actions.</w:t>
      </w:r>
    </w:p>
    <w:p>
      <w:pPr>
        <w:pStyle w:val="Heading1"/>
        <w:keepNext/>
      </w:pPr>
      <w:r>
        <w:rPr>
          <w:rFonts w:ascii="Arial" w:hAnsi="Arial"/>
          <w:color w:val="000000"/>
        </w:rPr>
        <w:t>12 Conclusion</w:t>
      </w:r>
    </w:p>
    <w:p>
      <w:pPr>
        <w:pStyle w:val="ListBullet"/>
      </w:pPr>
      <w:r>
        <w:rPr>
          <w:rFonts w:ascii="Arial" w:hAnsi="Arial"/>
          <w:color w:val="000000"/>
        </w:rPr>
        <w:t>The analysis is meaningful and appropriately focused for a course project.</w:t>
      </w:r>
    </w:p>
    <w:p>
      <w:pPr>
        <w:pStyle w:val="ListBullet"/>
      </w:pPr>
      <w:r>
        <w:rPr>
          <w:rFonts w:ascii="Arial" w:hAnsi="Arial"/>
          <w:color w:val="000000"/>
        </w:rPr>
        <w:t>Delivery reliability is the strongest supported business finding.</w:t>
      </w:r>
    </w:p>
    <w:p>
      <w:pPr>
        <w:pStyle w:val="ListBullet"/>
      </w:pPr>
      <w:r>
        <w:rPr>
          <w:rFonts w:ascii="Arial" w:hAnsi="Arial"/>
          <w:color w:val="000000"/>
        </w:rPr>
        <w:t>Customer and seller segmentation makes the findings actionable.</w:t>
      </w:r>
    </w:p>
    <w:p>
      <w:pPr>
        <w:pStyle w:val="ListBullet"/>
      </w:pPr>
      <w:r>
        <w:rPr>
          <w:rFonts w:ascii="Arial" w:hAnsi="Arial"/>
          <w:color w:val="000000"/>
        </w:rPr>
        <w:t>The project does not need much more analytical complexity.</w:t>
      </w:r>
    </w:p>
    <w:p>
      <w:pPr>
        <w:pStyle w:val="ListBullet"/>
      </w:pPr>
      <w:r>
        <w:rPr>
          <w:rFonts w:ascii="Arial" w:hAnsi="Arial"/>
          <w:color w:val="000000"/>
        </w:rPr>
        <w:t>It needs consistent definitions, correct aggregation grains and a reproducible pipeline.</w:t>
      </w:r>
    </w:p>
    <w:p>
      <w:pPr>
        <w:pStyle w:val="ListBullet"/>
      </w:pPr>
      <w:r>
        <w:rPr>
          <w:rFonts w:ascii="Arial" w:hAnsi="Arial"/>
          <w:color w:val="000000"/>
        </w:rPr>
        <w:t>After those corrections, the work can support a clear report, presentation and dashboard demonstration.</w:t>
      </w:r>
    </w:p>
    <w:p>
      <w:pPr>
        <w:pStyle w:val="Heading1"/>
        <w:keepNext/>
      </w:pPr>
      <w:r>
        <w:rPr>
          <w:rFonts w:ascii="Arial" w:hAnsi="Arial"/>
          <w:color w:val="000000"/>
        </w:rPr>
        <w:t>Sources Reviewed</w:t>
      </w:r>
    </w:p>
    <w:p>
      <w:pPr>
        <w:pStyle w:val="ListBullet"/>
      </w:pPr>
      <w:r>
        <w:rPr>
          <w:rFonts w:ascii="Arial" w:hAnsi="Arial"/>
          <w:color w:val="000000"/>
        </w:rPr>
        <w:t>Olist Comprehensive EDA and Dashboard Guide.</w:t>
      </w:r>
    </w:p>
    <w:p>
      <w:pPr>
        <w:pStyle w:val="ListBullet"/>
      </w:pPr>
      <w:r>
        <w:rPr>
          <w:rFonts w:ascii="Arial" w:hAnsi="Arial"/>
          <w:color w:val="000000"/>
        </w:rPr>
        <w:t>Project data-cleaning and EDA notebooks.</w:t>
      </w:r>
    </w:p>
    <w:p>
      <w:pPr>
        <w:pStyle w:val="ListBullet"/>
      </w:pPr>
      <w:r>
        <w:rPr>
          <w:rFonts w:ascii="Arial" w:hAnsi="Arial"/>
          <w:color w:val="000000"/>
        </w:rPr>
        <w:t>Question-and-answer summaries in the project folder.</w:t>
      </w:r>
    </w:p>
    <w:p>
      <w:pPr>
        <w:pStyle w:val="ListBullet"/>
      </w:pPr>
      <w:r>
        <w:rPr>
          <w:rFonts w:ascii="Arial" w:hAnsi="Arial"/>
          <w:color w:val="000000"/>
        </w:rPr>
        <w:t>Dashboard preparation script, application code and prepared data files.</w:t>
      </w:r>
    </w:p>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ascii="Arial" w:hAnsi="Arial"/>
      <w:i/>
      <w:iCs/>
      <w:color w:val="666666"/>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line="250" w:lineRule="auto"/>
      <w:contextualSpacing/>
    </w:pPr>
    <w:rPr>
      <w:rFonts w:ascii="Arial" w:hAnsi="Arial"/>
      <w:sz w:val="21"/>
    </w:rPr>
  </w:style>
  <w:style w:type="paragraph" w:styleId="ListBullet2">
    <w:name w:val="List Bullet 2"/>
    <w:basedOn w:val="Normal"/>
    <w:uiPriority w:val="99"/>
    <w:unhideWhenUsed/>
    <w:rsid w:val="00326F90"/>
    <w:pPr>
      <w:numPr>
        <w:numId w:val="2"/>
      </w:numPr>
      <w:spacing w:after="50" w:line="250" w:lineRule="auto"/>
      <w:contextualSpacing/>
    </w:pPr>
    <w:rPr>
      <w:rFonts w:ascii="Arial" w:hAnsi="Arial"/>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line="250" w:lineRule="auto"/>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Olist Ecommerce Project Problem and Analysis</dc:title>
  <dc:subject>Concise explanation and quality review of the Olist EDA and dashboard project</dc:subject>
  <dc:creator>Ecommerce Visual Analytics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