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Warehouse Source Files Overview</w:t>
      </w:r>
    </w:p>
    <w:p>
      <w:pPr>
        <w:pStyle w:val="Heading2"/>
      </w:pPr>
      <w:r>
        <w:t>🔹 clients.csv</w:t>
      </w:r>
    </w:p>
    <w:p>
      <w:pPr>
        <w:jc w:val="left"/>
      </w:pPr>
      <w:r>
        <w:rPr>
          <w:b/>
        </w:rPr>
        <w:t>Source System:</w:t>
      </w:r>
    </w:p>
    <w:p>
      <w:pPr>
        <w:jc w:val="left"/>
      </w:pPr>
      <w:r>
        <w:rPr>
          <w:b w:val="0"/>
        </w:rPr>
        <w:t>CRM System (Customer Relationship Management)</w:t>
        <w:br/>
        <w:t>Example: Salesforce, Microsoft Dynamics CRM</w:t>
      </w:r>
    </w:p>
    <w:p>
      <w:pPr>
        <w:jc w:val="left"/>
      </w:pPr>
      <w:r>
        <w:rPr>
          <w:b/>
        </w:rPr>
        <w:t>Details Captured:</w:t>
      </w:r>
    </w:p>
    <w:p>
      <w:pPr>
        <w:pStyle w:val="ListBullet"/>
      </w:pPr>
      <w:r>
        <w:t>Client ID</w:t>
      </w:r>
    </w:p>
    <w:p>
      <w:pPr>
        <w:pStyle w:val="ListBullet"/>
      </w:pPr>
      <w:r>
        <w:t>Name</w:t>
      </w:r>
    </w:p>
    <w:p>
      <w:pPr>
        <w:pStyle w:val="ListBullet"/>
      </w:pPr>
      <w:r>
        <w:t>Email</w:t>
      </w:r>
    </w:p>
    <w:p>
      <w:pPr>
        <w:pStyle w:val="ListBullet"/>
      </w:pPr>
      <w:r>
        <w:t>Phone</w:t>
      </w:r>
    </w:p>
    <w:p>
      <w:pPr>
        <w:pStyle w:val="ListBullet"/>
      </w:pPr>
      <w:r>
        <w:t>Address</w:t>
      </w:r>
    </w:p>
    <w:p>
      <w:pPr>
        <w:pStyle w:val="ListBullet"/>
      </w:pPr>
      <w:r>
        <w:t>Client Onboarding Date</w:t>
      </w:r>
    </w:p>
    <w:p>
      <w:pPr>
        <w:pStyle w:val="ListBullet"/>
      </w:pPr>
      <w:r>
        <w:t>Risk Rating</w:t>
      </w:r>
    </w:p>
    <w:p>
      <w:pPr>
        <w:jc w:val="left"/>
      </w:pPr>
      <w:r>
        <w:rPr>
          <w:b/>
        </w:rPr>
        <w:t>Usage in DW:</w:t>
      </w:r>
    </w:p>
    <w:p>
      <w:pPr>
        <w:jc w:val="left"/>
      </w:pPr>
      <w:r>
        <w:rPr>
          <w:b w:val="0"/>
        </w:rPr>
        <w:t>Used for client profiling, KYC compliance, segmentation, and reporting.</w:t>
      </w:r>
    </w:p>
    <w:p>
      <w:pPr>
        <w:pStyle w:val="Heading2"/>
      </w:pPr>
      <w:r>
        <w:t>🔹 accounts.csv</w:t>
      </w:r>
    </w:p>
    <w:p>
      <w:pPr>
        <w:jc w:val="left"/>
      </w:pPr>
      <w:r>
        <w:rPr>
          <w:b/>
        </w:rPr>
        <w:t>Source System:</w:t>
      </w:r>
    </w:p>
    <w:p>
      <w:pPr>
        <w:jc w:val="left"/>
      </w:pPr>
      <w:r>
        <w:rPr>
          <w:b w:val="0"/>
        </w:rPr>
        <w:t>Core Investment Management System / Portfolio Management System</w:t>
        <w:br/>
        <w:t>Example: Avaloq, Temenos WealthSuite, SimCorp Dimension</w:t>
      </w:r>
    </w:p>
    <w:p>
      <w:pPr>
        <w:jc w:val="left"/>
      </w:pPr>
      <w:r>
        <w:rPr>
          <w:b/>
        </w:rPr>
        <w:t>Details Captured:</w:t>
      </w:r>
    </w:p>
    <w:p>
      <w:pPr>
        <w:pStyle w:val="ListBullet"/>
      </w:pPr>
      <w:r>
        <w:t>Account ID</w:t>
      </w:r>
    </w:p>
    <w:p>
      <w:pPr>
        <w:pStyle w:val="ListBullet"/>
      </w:pPr>
      <w:r>
        <w:t>Client ID (FK)</w:t>
      </w:r>
    </w:p>
    <w:p>
      <w:pPr>
        <w:pStyle w:val="ListBullet"/>
      </w:pPr>
      <w:r>
        <w:t>Account Type (e.g., Retirement, Trust, Brokerage)</w:t>
      </w:r>
    </w:p>
    <w:p>
      <w:pPr>
        <w:pStyle w:val="ListBullet"/>
      </w:pPr>
      <w:r>
        <w:t>Currency</w:t>
      </w:r>
    </w:p>
    <w:p>
      <w:pPr>
        <w:pStyle w:val="ListBullet"/>
      </w:pPr>
      <w:r>
        <w:t>Opening Date</w:t>
      </w:r>
    </w:p>
    <w:p>
      <w:pPr>
        <w:pStyle w:val="ListBullet"/>
      </w:pPr>
      <w:r>
        <w:t>Status</w:t>
      </w:r>
    </w:p>
    <w:p>
      <w:pPr>
        <w:jc w:val="left"/>
      </w:pPr>
      <w:r>
        <w:rPr>
          <w:b/>
        </w:rPr>
        <w:t>Usage in DW:</w:t>
      </w:r>
    </w:p>
    <w:p>
      <w:pPr>
        <w:jc w:val="left"/>
      </w:pPr>
      <w:r>
        <w:rPr>
          <w:b w:val="0"/>
        </w:rPr>
        <w:t>Used to associate clients with their investment accounts, categorize portfolios, and calculate AUM (Assets Under Management).</w:t>
      </w:r>
    </w:p>
    <w:p>
      <w:pPr>
        <w:pStyle w:val="Heading2"/>
      </w:pPr>
      <w:r>
        <w:t>🔹 transactions.csv</w:t>
      </w:r>
    </w:p>
    <w:p>
      <w:pPr>
        <w:jc w:val="left"/>
      </w:pPr>
      <w:r>
        <w:rPr>
          <w:b/>
        </w:rPr>
        <w:t>Source System:</w:t>
      </w:r>
    </w:p>
    <w:p>
      <w:pPr>
        <w:jc w:val="left"/>
      </w:pPr>
      <w:r>
        <w:rPr>
          <w:b w:val="0"/>
        </w:rPr>
        <w:t>Trading Platform / Transaction Processing System</w:t>
        <w:br/>
        <w:t>Example: Bloomberg Terminal, Calypso, Charles River IMS</w:t>
      </w:r>
    </w:p>
    <w:p>
      <w:pPr>
        <w:jc w:val="left"/>
      </w:pPr>
      <w:r>
        <w:rPr>
          <w:b/>
        </w:rPr>
        <w:t>Details Captured:</w:t>
      </w:r>
    </w:p>
    <w:p>
      <w:pPr>
        <w:pStyle w:val="ListBullet"/>
      </w:pPr>
      <w:r>
        <w:t>Transaction ID</w:t>
      </w:r>
    </w:p>
    <w:p>
      <w:pPr>
        <w:pStyle w:val="ListBullet"/>
      </w:pPr>
      <w:r>
        <w:t>Account ID (FK)</w:t>
      </w:r>
    </w:p>
    <w:p>
      <w:pPr>
        <w:pStyle w:val="ListBullet"/>
      </w:pPr>
      <w:r>
        <w:t>Transaction Date</w:t>
      </w:r>
    </w:p>
    <w:p>
      <w:pPr>
        <w:pStyle w:val="ListBullet"/>
      </w:pPr>
      <w:r>
        <w:t>Security Symbol</w:t>
      </w:r>
    </w:p>
    <w:p>
      <w:pPr>
        <w:pStyle w:val="ListBullet"/>
      </w:pPr>
      <w:r>
        <w:t>Quantity</w:t>
      </w:r>
    </w:p>
    <w:p>
      <w:pPr>
        <w:pStyle w:val="ListBullet"/>
      </w:pPr>
      <w:r>
        <w:t>Price</w:t>
      </w:r>
    </w:p>
    <w:p>
      <w:pPr>
        <w:pStyle w:val="ListBullet"/>
      </w:pPr>
      <w:r>
        <w:t>Type (Buy/Sell/Dividend/Fee)</w:t>
      </w:r>
    </w:p>
    <w:p>
      <w:pPr>
        <w:pStyle w:val="ListBullet"/>
      </w:pPr>
      <w:r>
        <w:t>Transaction Value</w:t>
      </w:r>
    </w:p>
    <w:p>
      <w:pPr>
        <w:jc w:val="left"/>
      </w:pPr>
      <w:r>
        <w:rPr>
          <w:b/>
        </w:rPr>
        <w:t>Usage in DW:</w:t>
      </w:r>
    </w:p>
    <w:p>
      <w:pPr>
        <w:jc w:val="left"/>
      </w:pPr>
      <w:r>
        <w:rPr>
          <w:b w:val="0"/>
        </w:rPr>
        <w:t>Feeds financial reporting and performance analytics—P&amp;L, fees, holdings, realized/unrealized gains.</w:t>
      </w:r>
    </w:p>
    <w:p>
      <w:pPr>
        <w:pStyle w:val="Heading2"/>
      </w:pPr>
      <w:r>
        <w:t>🔹 market_data.csv</w:t>
      </w:r>
    </w:p>
    <w:p>
      <w:pPr>
        <w:jc w:val="left"/>
      </w:pPr>
      <w:r>
        <w:rPr>
          <w:b/>
        </w:rPr>
        <w:t>Source System:</w:t>
      </w:r>
    </w:p>
    <w:p>
      <w:pPr>
        <w:jc w:val="left"/>
      </w:pPr>
      <w:r>
        <w:rPr>
          <w:b w:val="0"/>
        </w:rPr>
        <w:t>Market Data Provider / Financial Feeds</w:t>
        <w:br/>
        <w:t>Example: Bloomberg, Reuters, Morningstar</w:t>
      </w:r>
    </w:p>
    <w:p>
      <w:pPr>
        <w:jc w:val="left"/>
      </w:pPr>
      <w:r>
        <w:rPr>
          <w:b/>
        </w:rPr>
        <w:t>Details Captured:</w:t>
      </w:r>
    </w:p>
    <w:p>
      <w:pPr>
        <w:pStyle w:val="ListBullet"/>
      </w:pPr>
      <w:r>
        <w:t>Symbol</w:t>
      </w:r>
    </w:p>
    <w:p>
      <w:pPr>
        <w:pStyle w:val="ListBullet"/>
      </w:pPr>
      <w:r>
        <w:t>Date</w:t>
      </w:r>
    </w:p>
    <w:p>
      <w:pPr>
        <w:pStyle w:val="ListBullet"/>
      </w:pPr>
      <w:r>
        <w:t>Open Price</w:t>
      </w:r>
    </w:p>
    <w:p>
      <w:pPr>
        <w:pStyle w:val="ListBullet"/>
      </w:pPr>
      <w:r>
        <w:t>Close Price</w:t>
      </w:r>
    </w:p>
    <w:p>
      <w:pPr>
        <w:pStyle w:val="ListBullet"/>
      </w:pPr>
      <w:r>
        <w:t>High, Low</w:t>
      </w:r>
    </w:p>
    <w:p>
      <w:pPr>
        <w:pStyle w:val="ListBullet"/>
      </w:pPr>
      <w:r>
        <w:t>Volume</w:t>
      </w:r>
    </w:p>
    <w:p>
      <w:pPr>
        <w:jc w:val="left"/>
      </w:pPr>
      <w:r>
        <w:rPr>
          <w:b/>
        </w:rPr>
        <w:t>Usage in DW:</w:t>
      </w:r>
    </w:p>
    <w:p>
      <w:pPr>
        <w:jc w:val="left"/>
      </w:pPr>
      <w:r>
        <w:rPr>
          <w:b w:val="0"/>
        </w:rPr>
        <w:t>Used for historical price lookups, NAV calculations, investment performance tracking, and benchmarking.</w:t>
      </w:r>
    </w:p>
    <w:p>
      <w:pPr>
        <w:pStyle w:val="Heading2"/>
      </w:pPr>
      <w:r>
        <w:t>Summary Data Flow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Source System</w:t>
            </w:r>
          </w:p>
        </w:tc>
        <w:tc>
          <w:tcPr>
            <w:tcW w:type="dxa" w:w="2160"/>
          </w:tcPr>
          <w:p>
            <w:r>
              <w:t>Example Tool</w:t>
            </w:r>
          </w:p>
        </w:tc>
        <w:tc>
          <w:tcPr>
            <w:tcW w:type="dxa" w:w="2160"/>
          </w:tcPr>
          <w:p>
            <w:r>
              <w:t>Data File</w:t>
            </w:r>
          </w:p>
        </w:tc>
        <w:tc>
          <w:tcPr>
            <w:tcW w:type="dxa" w:w="2160"/>
          </w:tcPr>
          <w:p>
            <w:r>
              <w:t>Domain</w:t>
            </w:r>
          </w:p>
        </w:tc>
      </w:tr>
      <w:tr>
        <w:tc>
          <w:tcPr>
            <w:tcW w:type="dxa" w:w="2160"/>
          </w:tcPr>
          <w:p>
            <w:r>
              <w:t>CRM</w:t>
            </w:r>
          </w:p>
        </w:tc>
        <w:tc>
          <w:tcPr>
            <w:tcW w:type="dxa" w:w="2160"/>
          </w:tcPr>
          <w:p>
            <w:r>
              <w:t>Salesforce</w:t>
            </w:r>
          </w:p>
        </w:tc>
        <w:tc>
          <w:tcPr>
            <w:tcW w:type="dxa" w:w="2160"/>
          </w:tcPr>
          <w:p>
            <w:r>
              <w:t>clients.csv</w:t>
            </w:r>
          </w:p>
        </w:tc>
        <w:tc>
          <w:tcPr>
            <w:tcW w:type="dxa" w:w="2160"/>
          </w:tcPr>
          <w:p>
            <w:r>
              <w:t>Client Master Data</w:t>
            </w:r>
          </w:p>
        </w:tc>
      </w:tr>
      <w:tr>
        <w:tc>
          <w:tcPr>
            <w:tcW w:type="dxa" w:w="2160"/>
          </w:tcPr>
          <w:p>
            <w:r>
              <w:t>Investment Mgmt</w:t>
            </w:r>
          </w:p>
        </w:tc>
        <w:tc>
          <w:tcPr>
            <w:tcW w:type="dxa" w:w="2160"/>
          </w:tcPr>
          <w:p>
            <w:r>
              <w:t>Temenos/Avaloq</w:t>
            </w:r>
          </w:p>
        </w:tc>
        <w:tc>
          <w:tcPr>
            <w:tcW w:type="dxa" w:w="2160"/>
          </w:tcPr>
          <w:p>
            <w:r>
              <w:t>accounts.csv</w:t>
            </w:r>
          </w:p>
        </w:tc>
        <w:tc>
          <w:tcPr>
            <w:tcW w:type="dxa" w:w="2160"/>
          </w:tcPr>
          <w:p>
            <w:r>
              <w:t>Account Master Data</w:t>
            </w:r>
          </w:p>
        </w:tc>
      </w:tr>
      <w:tr>
        <w:tc>
          <w:tcPr>
            <w:tcW w:type="dxa" w:w="2160"/>
          </w:tcPr>
          <w:p>
            <w:r>
              <w:t>Trading Platform</w:t>
            </w:r>
          </w:p>
        </w:tc>
        <w:tc>
          <w:tcPr>
            <w:tcW w:type="dxa" w:w="2160"/>
          </w:tcPr>
          <w:p>
            <w:r>
              <w:t>Bloomberg / Calypso</w:t>
            </w:r>
          </w:p>
        </w:tc>
        <w:tc>
          <w:tcPr>
            <w:tcW w:type="dxa" w:w="2160"/>
          </w:tcPr>
          <w:p>
            <w:r>
              <w:t>transactions.csv</w:t>
            </w:r>
          </w:p>
        </w:tc>
        <w:tc>
          <w:tcPr>
            <w:tcW w:type="dxa" w:w="2160"/>
          </w:tcPr>
          <w:p>
            <w:r>
              <w:t>Financial Transactions</w:t>
            </w:r>
          </w:p>
        </w:tc>
      </w:tr>
      <w:tr>
        <w:tc>
          <w:tcPr>
            <w:tcW w:type="dxa" w:w="2160"/>
          </w:tcPr>
          <w:p>
            <w:r>
              <w:t>Market Data Provider</w:t>
            </w:r>
          </w:p>
        </w:tc>
        <w:tc>
          <w:tcPr>
            <w:tcW w:type="dxa" w:w="2160"/>
          </w:tcPr>
          <w:p>
            <w:r>
              <w:t>Reuters / Morningstar</w:t>
            </w:r>
          </w:p>
        </w:tc>
        <w:tc>
          <w:tcPr>
            <w:tcW w:type="dxa" w:w="2160"/>
          </w:tcPr>
          <w:p>
            <w:r>
              <w:t>market_data.csv</w:t>
            </w:r>
          </w:p>
        </w:tc>
        <w:tc>
          <w:tcPr>
            <w:tcW w:type="dxa" w:w="2160"/>
          </w:tcPr>
          <w:p>
            <w:r>
              <w:t>Security Prices &amp; Market Feed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