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39DA3" w14:textId="77777777" w:rsidR="007C2628" w:rsidRDefault="007C2628" w:rsidP="007C2628">
      <w:r>
        <w:t>The meeting reviewed product flow, UX mockups, data sources, compliance constraints, and portfolio recommendation logic for a personal finance app. Participants validated a five-tier product model (free, financial-only, financial+investment, subscription, human advisory), reviewed screen order and labels, and discussed which data and calculations are gated behind a paywall.</w:t>
      </w:r>
    </w:p>
    <w:p w14:paraId="3E535BAB" w14:textId="77777777" w:rsidR="007C2628" w:rsidRDefault="007C2628" w:rsidP="007C2628"/>
    <w:p w14:paraId="1EF0922E" w14:textId="77777777" w:rsidR="007C2628" w:rsidRDefault="007C2628" w:rsidP="007C2628">
      <w:r>
        <w:t>On data collection and paywall gating the team agreed that granular calculations and advice are monetizable and should be behind a paywall. Inputs that are safe to collect pre-paywall include basic demographic and family-level totals (number of dependents, combined income, combined assets); detailed per-member breakdowns, family-tree mapping, and time-costly questions should be deferred until post-paywall or after payment. The group agreed to prompt users post-paywall to confirm whether numbers entered are personal or family-level and offer bifurcation screens if needed. UI label corrections (e.g., expense categories, "rent expense", groceries vs fixed commitments) and which inputs remain collectible before payment were noted as outstanding.</w:t>
      </w:r>
    </w:p>
    <w:p w14:paraId="0E24A723" w14:textId="77777777" w:rsidR="007C2628" w:rsidRDefault="007C2628" w:rsidP="007C2628"/>
    <w:p w14:paraId="2F2C9493" w14:textId="77777777" w:rsidR="007C2628" w:rsidRDefault="007C2628" w:rsidP="007C2628">
      <w:r>
        <w:t>Compliance and legal constraints were clarified: data collection can proceed before agreements but investment advice delivered as an RIA requires a signed RIA agreement; compliance will define exact triggers and acceptable signing methods (OTP vs digital signature). The team will not deliver regulated advice without the required agreement signature; other outputs remain subject to compliance review.</w:t>
      </w:r>
    </w:p>
    <w:p w14:paraId="5C4CA158" w14:textId="77777777" w:rsidR="007C2628" w:rsidRDefault="007C2628" w:rsidP="007C2628"/>
    <w:p w14:paraId="02D693ED" w14:textId="77777777" w:rsidR="007C2628" w:rsidRDefault="007C2628" w:rsidP="007C2628">
      <w:r>
        <w:t>Harish presented the portfolio recommendation framework mapping inputs into five internal factors: surplus-income ratio, liquidity preference score, time horizon, blended risk disposition, and optional tax-efficiency score. The model produces broad asset-allocation ranges (equity, debt, gold, liquid), maps ranges to specific products, and provides action plans comparing existing holdings to the model. A rebalancing engine was proposed with two triggers: client-level changes (e.g., time-to-goal) and external market-regime signals. Harish acknowledged open design questions (number of archetypes, product-level segregation, scoring details) and committed to share archetype and allocation frameworks; Vatsal offered to define desired output formats to inform data modelling.</w:t>
      </w:r>
    </w:p>
    <w:p w14:paraId="7CF58E3C" w14:textId="77777777" w:rsidR="007C2628" w:rsidRDefault="007C2628" w:rsidP="007C2628"/>
    <w:p w14:paraId="735E9B44" w14:textId="77777777" w:rsidR="007C2628" w:rsidRDefault="007C2628" w:rsidP="007C2628">
      <w:r>
        <w:t>Operational requirements and developer handoff were discussed: Vatsal described a single-source documentation approach tied to Figma, persona cards, admin roles (analyst, compliance reviewer, support, admin engineer), assumptions, A/B testing controls, and a list of external APIs with data schemas to avoid ambiguity. Harish will provide input/output specifications (not proprietary algorithm code) to support development. The team also reaffirmed that planning logic should be mathematical and auditable for regulatory comfort, not AI-driven.</w:t>
      </w:r>
    </w:p>
    <w:p w14:paraId="0F778035" w14:textId="77777777" w:rsidR="007C2628" w:rsidRDefault="007C2628" w:rsidP="007C2628"/>
    <w:p w14:paraId="6E23FE15" w14:textId="767E3882" w:rsidR="00F12186" w:rsidRDefault="007C2628" w:rsidP="007C2628">
      <w:r>
        <w:t>Open issues remaining include finalizing the exact input-to-output logic that converts collected inputs into "key concerns" and "what success looks like" outputs, the precise paywall gating rules for specific calculations and screens, compliance definition of signature triggers and acceptable methods, UI label fixes and expense-category mappings, and completion of the scoring and archetype definitions for portfolio recommendations.</w:t>
      </w:r>
    </w:p>
    <w:sectPr w:rsidR="00F121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628"/>
    <w:rsid w:val="00600DBD"/>
    <w:rsid w:val="007C2628"/>
    <w:rsid w:val="007E7C1F"/>
    <w:rsid w:val="00CF11F9"/>
    <w:rsid w:val="00F121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457D3"/>
  <w15:chartTrackingRefBased/>
  <w15:docId w15:val="{2235B42F-336F-4BD5-9F09-B7F785813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26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26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26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26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26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26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26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26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26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26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26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26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26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26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26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26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26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2628"/>
    <w:rPr>
      <w:rFonts w:eastAsiaTheme="majorEastAsia" w:cstheme="majorBidi"/>
      <w:color w:val="272727" w:themeColor="text1" w:themeTint="D8"/>
    </w:rPr>
  </w:style>
  <w:style w:type="paragraph" w:styleId="Title">
    <w:name w:val="Title"/>
    <w:basedOn w:val="Normal"/>
    <w:next w:val="Normal"/>
    <w:link w:val="TitleChar"/>
    <w:uiPriority w:val="10"/>
    <w:qFormat/>
    <w:rsid w:val="007C26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26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26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26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2628"/>
    <w:pPr>
      <w:spacing w:before="160"/>
      <w:jc w:val="center"/>
    </w:pPr>
    <w:rPr>
      <w:i/>
      <w:iCs/>
      <w:color w:val="404040" w:themeColor="text1" w:themeTint="BF"/>
    </w:rPr>
  </w:style>
  <w:style w:type="character" w:customStyle="1" w:styleId="QuoteChar">
    <w:name w:val="Quote Char"/>
    <w:basedOn w:val="DefaultParagraphFont"/>
    <w:link w:val="Quote"/>
    <w:uiPriority w:val="29"/>
    <w:rsid w:val="007C2628"/>
    <w:rPr>
      <w:i/>
      <w:iCs/>
      <w:color w:val="404040" w:themeColor="text1" w:themeTint="BF"/>
    </w:rPr>
  </w:style>
  <w:style w:type="paragraph" w:styleId="ListParagraph">
    <w:name w:val="List Paragraph"/>
    <w:basedOn w:val="Normal"/>
    <w:uiPriority w:val="34"/>
    <w:qFormat/>
    <w:rsid w:val="007C2628"/>
    <w:pPr>
      <w:ind w:left="720"/>
      <w:contextualSpacing/>
    </w:pPr>
  </w:style>
  <w:style w:type="character" w:styleId="IntenseEmphasis">
    <w:name w:val="Intense Emphasis"/>
    <w:basedOn w:val="DefaultParagraphFont"/>
    <w:uiPriority w:val="21"/>
    <w:qFormat/>
    <w:rsid w:val="007C2628"/>
    <w:rPr>
      <w:i/>
      <w:iCs/>
      <w:color w:val="2F5496" w:themeColor="accent1" w:themeShade="BF"/>
    </w:rPr>
  </w:style>
  <w:style w:type="paragraph" w:styleId="IntenseQuote">
    <w:name w:val="Intense Quote"/>
    <w:basedOn w:val="Normal"/>
    <w:next w:val="Normal"/>
    <w:link w:val="IntenseQuoteChar"/>
    <w:uiPriority w:val="30"/>
    <w:qFormat/>
    <w:rsid w:val="007C26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2628"/>
    <w:rPr>
      <w:i/>
      <w:iCs/>
      <w:color w:val="2F5496" w:themeColor="accent1" w:themeShade="BF"/>
    </w:rPr>
  </w:style>
  <w:style w:type="character" w:styleId="IntenseReference">
    <w:name w:val="Intense Reference"/>
    <w:basedOn w:val="DefaultParagraphFont"/>
    <w:uiPriority w:val="32"/>
    <w:qFormat/>
    <w:rsid w:val="007C262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492</Words>
  <Characters>2805</Characters>
  <Application>Microsoft Office Word</Application>
  <DocSecurity>0</DocSecurity>
  <Lines>23</Lines>
  <Paragraphs>6</Paragraphs>
  <ScaleCrop>false</ScaleCrop>
  <Company/>
  <LinksUpToDate>false</LinksUpToDate>
  <CharactersWithSpaces>3291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Somil Gogri</dc:creator>
  <cp:keywords/>
  <dc:description/>
  <cp:lastModifiedBy>Somil Gogri</cp:lastModifiedBy>
  <cp:revision>1</cp:revision>
  <dcterms:created xsi:type="dcterms:W3CDTF">2026-06-30T13:03:00Z</dcterms:created>
  <dcterms:modified xsi:type="dcterms:W3CDTF">2026-06-30T13:03:00Z</dcterms:modified>
</cp:coreProperties>
</file>