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999999"/>
          <w:sz w:val="18"/>
          <w:szCs w:val="18"/>
        </w:rPr>
        <w:t xml:space="preserve">RESEARCH BRIEFING</w:t>
      </w:r>
    </w:p>
    <w:p>
      <w:pPr>
        <w:spacing w:after="60"/>
      </w:pPr>
      <w:r>
        <w:rPr>
          <w:rFonts w:ascii="Arial" w:cs="Arial" w:eastAsia="Arial" w:hAnsi="Arial"/>
          <w:i/>
          <w:iCs/>
          <w:color w:val="999999"/>
          <w:sz w:val="16"/>
          <w:szCs w:val="16"/>
        </w:rPr>
        <w:t xml:space="preserve">CONFIDENTIAL — For Internal Use Only</w:t>
      </w:r>
    </w:p>
    <w:p>
      <w:pPr>
        <w:spacing w:after="120"/>
      </w:pPr>
      <w:r>
        <w:rPr>
          <w:rFonts w:ascii="Arial" w:cs="Arial" w:eastAsia="Arial" w:hAnsi="Arial"/>
          <w:color w:val="999999"/>
          <w:sz w:val="16"/>
          <w:szCs w:val="16"/>
        </w:rPr>
        <w:t xml:space="preserve">Date: February 13, 2026  |  Prepared by: Claude Research  |  For: Spiff</w:t>
      </w:r>
    </w:p>
    <w:p>
      <w:pPr>
        <w:pBdr>
          <w:bottom w:val="single" w:color="2E75B6" w:sz="4" w:space="1"/>
        </w:pBdr>
        <w:spacing w:before="200" w:after="200"/>
      </w:pPr>
    </w:p>
    <w:p>
      <w:pPr>
        <w:spacing w:after="80"/>
        <w:jc w:val="left"/>
      </w:pPr>
      <w:r>
        <w:rPr>
          <w:rFonts w:ascii="Arial" w:cs="Arial" w:eastAsia="Arial" w:hAnsi="Arial"/>
          <w:b/>
          <w:bCs/>
          <w:color w:val="1F4E79"/>
          <w:sz w:val="36"/>
          <w:szCs w:val="36"/>
        </w:rPr>
        <w:t xml:space="preserve">LLM-Powered Credit Risk Signals from News:</w:t>
      </w:r>
    </w:p>
    <w:p>
      <w:pPr>
        <w:spacing w:after="80"/>
        <w:jc w:val="left"/>
      </w:pPr>
      <w:r>
        <w:rPr>
          <w:rFonts w:ascii="Arial" w:cs="Arial" w:eastAsia="Arial" w:hAnsi="Arial"/>
          <w:b/>
          <w:bCs/>
          <w:color w:val="2E75B6"/>
          <w:sz w:val="32"/>
          <w:szCs w:val="32"/>
        </w:rPr>
        <w:t xml:space="preserve">EM Focus with Sector-Country Contagion</w:t>
      </w:r>
    </w:p>
    <w:p>
      <w:pPr>
        <w:spacing w:after="200"/>
        <w:jc w:val="left"/>
      </w:pPr>
      <w:r>
        <w:rPr>
          <w:rFonts w:ascii="Arial" w:cs="Arial" w:eastAsia="Arial" w:hAnsi="Arial"/>
          <w:i/>
          <w:iCs/>
          <w:color w:val="666666"/>
          <w:sz w:val="20"/>
          <w:szCs w:val="20"/>
        </w:rPr>
        <w:t xml:space="preserve">Feasibility assessment for hackathon entry, learning project, and potential workplace application</w:t>
      </w:r>
    </w:p>
    <w:p>
      <w:pPr>
        <w:pBdr>
          <w:bottom w:val="single" w:color="2E75B6" w:sz="4" w:space="1"/>
        </w:pBdr>
        <w:spacing w:before="200" w:after="200"/>
      </w:pPr>
    </w:p>
    <w:p>
      <w:pPr>
        <w:pStyle w:val="Heading1"/>
        <w:spacing w:before="360" w:after="200"/>
      </w:pPr>
      <w:r>
        <w:rPr>
          <w:rFonts w:ascii="Arial" w:cs="Arial" w:eastAsia="Arial" w:hAnsi="Arial"/>
          <w:b/>
          <w:bCs/>
          <w:sz w:val="28"/>
          <w:szCs w:val="28"/>
        </w:rPr>
        <w:t xml:space="preserve">EXECUTIVE SUMMARY</w:t>
      </w:r>
    </w:p>
    <w:p>
      <w:pPr>
        <w:spacing w:after="120" w:line="276"/>
      </w:pPr>
      <w:r>
        <w:rPr>
          <w:rFonts w:ascii="Arial" w:cs="Arial" w:eastAsia="Arial" w:hAnsi="Arial"/>
          <w:sz w:val="20"/>
          <w:szCs w:val="20"/>
        </w:rPr>
        <w:t xml:space="preserve">The proposal is to fine-tune an open-source LLM (8B parameters) to extract credit risk deterioration signals from news flow for emerging market entities, starting with a single sector-country pair. Signals would be aggregated into rolling entity-level and sector-country scores, with sovereign-to-corporate contagion logic. The system aims to flag credit deterioration before rating agencies act.</w:t>
      </w:r>
    </w:p>
    <w:p>
      <w:pPr>
        <w:spacing w:after="120" w:line="276"/>
      </w:pPr>
      <w:r>
        <w:rPr>
          <w:rFonts w:ascii="Arial" w:cs="Arial" w:eastAsia="Arial" w:hAnsi="Arial"/>
          <w:b/>
          <w:bCs/>
          <w:sz w:val="20"/>
          <w:szCs w:val="20"/>
        </w:rPr>
        <w:t xml:space="preserve">Bottom line: </w:t>
      </w:r>
      <w:r>
        <w:rPr>
          <w:rFonts w:ascii="Arial" w:cs="Arial" w:eastAsia="Arial" w:hAnsi="Arial"/>
          <w:sz w:val="20"/>
          <w:szCs w:val="20"/>
        </w:rPr>
        <w:t xml:space="preserve">This is a strong hackathon entry and an excellent learning project. The research supports it. But the EM data problem is harder than most people think, the fine-tuning vs. prompting debate is genuinely unresolved, and the “beat the rating agencies” claim requires careful framing. Below are the 5 critical questions, with both sides of each.</w:t>
      </w:r>
    </w:p>
    <w:p>
      <w:pPr>
        <w:pBdr>
          <w:bottom w:val="single" w:color="2E75B6" w:sz="4" w:space="1"/>
        </w:pBdr>
        <w:spacing w:before="200" w:after="200"/>
      </w:pPr>
    </w:p>
    <w:p>
      <w:pPr>
        <w:pStyle w:val="Heading1"/>
        <w:spacing w:before="360" w:after="200"/>
      </w:pPr>
      <w:r>
        <w:rPr>
          <w:rFonts w:ascii="Arial" w:cs="Arial" w:eastAsia="Arial" w:hAnsi="Arial"/>
          <w:b/>
          <w:bCs/>
          <w:sz w:val="28"/>
          <w:szCs w:val="28"/>
        </w:rPr>
        <w:t xml:space="preserve">QUESTION 1: Does Fine-Tuning Actually Beat Prompting for Credit Risk Signals?</w:t>
      </w:r>
    </w:p>
    <w:p>
      <w:pPr>
        <w:spacing w:before="200" w:after="100"/>
      </w:pPr>
      <w:r>
        <w:rPr>
          <w:rFonts w:ascii="Arial" w:cs="Arial" w:eastAsia="Arial" w:hAnsi="Arial"/>
          <w:b/>
          <w:bCs/>
          <w:color w:val="2E75B6"/>
          <w:sz w:val="22"/>
          <w:szCs w:val="22"/>
        </w:rPr>
        <w:t xml:space="preserve">Popular view: Yes, fine-tuning is necessary</w:t>
      </w:r>
    </w:p>
    <w:p>
      <w:pPr>
        <w:spacing w:after="120" w:line="276"/>
      </w:pPr>
      <w:r>
        <w:rPr>
          <w:rFonts w:ascii="Arial" w:cs="Arial" w:eastAsia="Arial" w:hAnsi="Arial"/>
          <w:sz w:val="20"/>
          <w:szCs w:val="20"/>
        </w:rPr>
        <w:t xml:space="preserve">A 2025 study on SME default prediction in China showed fine-tuned LLMs (LLM-FT) achieved 82.1% accuracy vs 75% for the base prompted LLM — a 7.1 percentage point improvement (Huang et al., Applied Sciences, March 2025).</w:t>
      </w:r>
    </w:p>
    <w:p>
      <w:pPr>
        <w:spacing w:after="120" w:line="276"/>
      </w:pPr>
      <w:r>
        <w:rPr>
          <w:rFonts w:ascii="Arial" w:cs="Arial" w:eastAsia="Arial" w:hAnsi="Arial"/>
          <w:sz w:val="20"/>
          <w:szCs w:val="20"/>
        </w:rPr>
        <w:t xml:space="preserve">FinGPT’s LoRA fine-tuned 7B/13B models achieved F1 scores of 87-95% on financial sentiment benchmarks, competitive with GPT-4, at ~$300 per fine-tune vs. BloombergGPT’s $3M training cost.</w:t>
      </w:r>
    </w:p>
    <w:p>
      <w:pPr>
        <w:spacing w:after="120" w:line="276"/>
      </w:pPr>
      <w:r>
        <w:rPr>
          <w:rFonts w:ascii="Arial" w:cs="Arial" w:eastAsia="Arial" w:hAnsi="Arial"/>
          <w:sz w:val="20"/>
          <w:szCs w:val="20"/>
        </w:rPr>
        <w:t xml:space="preserve">The FinRLlama winner (ICAIF 2024) fine-tuned LLaMA-3.2-3B with RLMF and demonstrated that market-feedback-aligned signals outperformed zero-shot prompting for trading signal generation.</w:t>
      </w:r>
    </w:p>
    <w:p>
      <w:pPr>
        <w:spacing w:before="200" w:after="100"/>
      </w:pPr>
      <w:r>
        <w:rPr>
          <w:rFonts w:ascii="Arial" w:cs="Arial" w:eastAsia="Arial" w:hAnsi="Arial"/>
          <w:b/>
          <w:bCs/>
          <w:color w:val="2E75B6"/>
          <w:sz w:val="22"/>
          <w:szCs w:val="22"/>
        </w:rPr>
        <w:t xml:space="preserve">Unpopular view: Prompting may be sufficient; fine-tuning may even hurt</w:t>
      </w:r>
    </w:p>
    <w:p>
      <w:pPr>
        <w:spacing w:after="120" w:line="276"/>
      </w:pPr>
      <w:r>
        <w:rPr>
          <w:rFonts w:ascii="Arial" w:cs="Arial" w:eastAsia="Arial" w:hAnsi="Arial"/>
          <w:sz w:val="20"/>
          <w:szCs w:val="20"/>
        </w:rPr>
        <w:t xml:space="preserve">A June 2025 study (SCIRP) comparing prompted LLMs vs. XGBoost/SVM/Random Forest on credit classification found that the LLM “does not outperform traditional models in prediction accuracy” but “offers clear reasoning that can help support decisions.”</w:t>
      </w:r>
    </w:p>
    <w:p>
      <w:pPr>
        <w:spacing w:after="120" w:line="276"/>
      </w:pPr>
      <w:r>
        <w:rPr>
          <w:rFonts w:ascii="Arial" w:cs="Arial" w:eastAsia="Arial" w:hAnsi="Arial"/>
          <w:sz w:val="20"/>
          <w:szCs w:val="20"/>
        </w:rPr>
        <w:t xml:space="preserve">A CIKM 2025 workshop paper comparing zero-shot LLM and LightGBM found that “LLM feature importance rankings diverge notably from LightGBM” and “self-explanations often fail to align with empirical SHAP attributions.” LLM reasoning about credit risk may be plausible but unfaithful to actual decision patterns.</w:t>
      </w:r>
    </w:p>
    <w:p>
      <w:pPr>
        <w:spacing w:after="120" w:line="276"/>
      </w:pPr>
      <w:r>
        <w:rPr>
          <w:rFonts w:ascii="Arial" w:cs="Arial" w:eastAsia="Arial" w:hAnsi="Arial"/>
          <w:sz w:val="20"/>
          <w:szCs w:val="20"/>
        </w:rPr>
        <w:t xml:space="preserve">Sebastian Raschka (State of LLMs 2025): “A lot of LLM benchmark and performance progress will come from improved tooling and inference-time scaling rather than from training.” This suggests that better prompting + RAG may close the gap with fine-tuning.</w:t>
      </w:r>
    </w:p>
    <w:p>
      <w:pPr>
        <w:spacing w:after="120" w:line="276"/>
      </w:pPr>
      <w:r>
        <w:rPr>
          <w:rFonts w:ascii="Arial" w:cs="Arial" w:eastAsia="Arial" w:hAnsi="Arial"/>
          <w:sz w:val="20"/>
          <w:szCs w:val="20"/>
        </w:rPr>
        <w:t xml:space="preserve">The core tension: fine-tuning wins on narrow benchmarks but may overfit to historical patterns. Credit risk regimes shift (e.g., Chinese property was fine until it wasn’t). A fine-tuned model trained on 2018-2021 data might encode “everything is fine” biases. Prompted frontier models with current context may be more adaptable to regime changes.</w:t>
      </w:r>
    </w:p>
    <w:p>
      <w:pPr>
        <w:spacing w:before="200" w:after="100"/>
      </w:pPr>
      <w:r>
        <w:rPr>
          <w:rFonts w:ascii="Arial" w:cs="Arial" w:eastAsia="Arial" w:hAnsi="Arial"/>
          <w:b/>
          <w:bCs/>
          <w:color w:val="2E75B6"/>
          <w:sz w:val="22"/>
          <w:szCs w:val="22"/>
        </w:rPr>
        <w:t xml:space="preserve">Implication for your project</w:t>
      </w:r>
    </w:p>
    <w:p>
      <w:pPr>
        <w:spacing w:after="120" w:line="276"/>
      </w:pPr>
      <w:r>
        <w:rPr>
          <w:rFonts w:ascii="Arial" w:cs="Arial" w:eastAsia="Arial" w:hAnsi="Arial"/>
          <w:b/>
          <w:bCs/>
          <w:sz w:val="20"/>
          <w:szCs w:val="20"/>
        </w:rPr>
        <w:t xml:space="preserve">Build both. </w:t>
      </w:r>
      <w:r>
        <w:rPr>
          <w:rFonts w:ascii="Arial" w:cs="Arial" w:eastAsia="Arial" w:hAnsi="Arial"/>
          <w:sz w:val="20"/>
          <w:szCs w:val="20"/>
        </w:rPr>
        <w:t xml:space="preserve">Fine-tune for the hackathon submission (it’s a required skill to demonstrate). But also benchmark against Opus zero-shot with good prompting as your control group. If the fine-tuned 3B model barely beats prompted Opus, that’s actually a valuable finding.</w:t>
      </w:r>
    </w:p>
    <w:p>
      <w:pPr>
        <w:pBdr>
          <w:bottom w:val="single" w:color="2E75B6" w:sz="4" w:space="1"/>
        </w:pBdr>
        <w:spacing w:before="200" w:after="200"/>
      </w:pPr>
    </w:p>
    <w:p>
      <w:pPr>
        <w:pStyle w:val="Heading1"/>
        <w:spacing w:before="360" w:after="200"/>
      </w:pPr>
      <w:r>
        <w:rPr>
          <w:rFonts w:ascii="Arial" w:cs="Arial" w:eastAsia="Arial" w:hAnsi="Arial"/>
          <w:b/>
          <w:bCs/>
          <w:sz w:val="28"/>
          <w:szCs w:val="28"/>
        </w:rPr>
        <w:t xml:space="preserve">QUESTION 2: Is EM News Data Sufficient for This to Work?</w:t>
      </w:r>
    </w:p>
    <w:p>
      <w:pPr>
        <w:spacing w:before="200" w:after="100"/>
      </w:pPr>
      <w:r>
        <w:rPr>
          <w:rFonts w:ascii="Arial" w:cs="Arial" w:eastAsia="Arial" w:hAnsi="Arial"/>
          <w:b/>
          <w:bCs/>
          <w:color w:val="2E75B6"/>
          <w:sz w:val="22"/>
          <w:szCs w:val="22"/>
        </w:rPr>
        <w:t xml:space="preserve">Popular view: Data is abundant</w:t>
      </w:r>
    </w:p>
    <w:p>
      <w:pPr>
        <w:spacing w:after="120" w:line="276"/>
      </w:pPr>
      <w:r>
        <w:rPr>
          <w:rFonts w:ascii="Arial" w:cs="Arial" w:eastAsia="Arial" w:hAnsi="Arial"/>
          <w:sz w:val="20"/>
          <w:szCs w:val="20"/>
        </w:rPr>
        <w:t xml:space="preserve">GDELT processes 100+ languages and has been shown to improve sovereign bond spread prediction for Italy during stressed periods (Springer, using Gradient Boosting on GDELT features). Features from GDELT provided predictive power over and above classical determinants.</w:t>
      </w:r>
    </w:p>
    <w:p>
      <w:pPr>
        <w:spacing w:after="120" w:line="276"/>
      </w:pPr>
      <w:r>
        <w:rPr>
          <w:rFonts w:ascii="Arial" w:cs="Arial" w:eastAsia="Arial" w:hAnsi="Arial"/>
          <w:sz w:val="20"/>
          <w:szCs w:val="20"/>
        </w:rPr>
        <w:t xml:space="preserve">Chinese property specifically had exceptional English-language coverage 2018-2024. The FNSPID dataset contains 15 million time-aligned financial news records for Nasdaq companies. Similar density exists for major EM stories.</w:t>
      </w:r>
    </w:p>
    <w:p>
      <w:pPr>
        <w:spacing w:before="200" w:after="100"/>
      </w:pPr>
      <w:r>
        <w:rPr>
          <w:rFonts w:ascii="Arial" w:cs="Arial" w:eastAsia="Arial" w:hAnsi="Arial"/>
          <w:b/>
          <w:bCs/>
          <w:color w:val="2E75B6"/>
          <w:sz w:val="22"/>
          <w:szCs w:val="22"/>
        </w:rPr>
        <w:t xml:space="preserve">Unpopular view: EM data is fundamentally broken for this use case</w:t>
      </w:r>
    </w:p>
    <w:p>
      <w:pPr>
        <w:spacing w:after="120" w:line="276"/>
      </w:pPr>
      <w:r>
        <w:rPr>
          <w:rFonts w:ascii="Arial" w:cs="Arial" w:eastAsia="Arial" w:hAnsi="Arial"/>
          <w:sz w:val="20"/>
          <w:szCs w:val="20"/>
        </w:rPr>
        <w:t xml:space="preserve">GDELT academic review found it “lacks access to Chinese newspapers only available on the Chinese intranet” and has a documented Western source bias. For EM, the most credit-relevant local news may never enter GDELT.</w:t>
      </w:r>
    </w:p>
    <w:p>
      <w:pPr>
        <w:spacing w:after="120" w:line="276"/>
      </w:pPr>
      <w:r>
        <w:rPr>
          <w:rFonts w:ascii="Arial" w:cs="Arial" w:eastAsia="Arial" w:hAnsi="Arial"/>
          <w:sz w:val="20"/>
          <w:szCs w:val="20"/>
        </w:rPr>
        <w:t xml:space="preserve">The OECD Global Debt Report 2025 notes that half of rated EMDEs in 2024 were graded high risk. But for many, English-language coverage is near zero. A Ghanaian cement company facing distress won’t show up in Reuters until the default is already in.</w:t>
      </w:r>
    </w:p>
    <w:p>
      <w:pPr>
        <w:spacing w:after="120" w:line="276"/>
      </w:pPr>
      <w:r>
        <w:rPr>
          <w:rFonts w:ascii="Arial" w:cs="Arial" w:eastAsia="Arial" w:hAnsi="Arial"/>
          <w:sz w:val="20"/>
          <w:szCs w:val="20"/>
        </w:rPr>
        <w:t xml:space="preserve">The Morgan Stanley EM Debt Monitor Q3 2025 highlighted surprise events like Ambipar (Brazil) and Wesoda (Turkey) where bond prices collapsed on news that was locally known well before English-language coverage caught up. Local-language first-mover advantage is real.</w:t>
      </w:r>
    </w:p>
    <w:p>
      <w:pPr>
        <w:spacing w:after="120" w:line="276"/>
      </w:pPr>
      <w:r>
        <w:rPr>
          <w:rFonts w:ascii="Arial" w:cs="Arial" w:eastAsia="Arial" w:hAnsi="Arial"/>
          <w:sz w:val="20"/>
          <w:szCs w:val="20"/>
        </w:rPr>
        <w:t xml:space="preserve">Signal vs. noise: raw Reuters feeds might be 95% irrelevant. But that’s also the whole point of the model — learning to filter. The question is whether the 5% signal-bearing articles exist at all for your chosen entities, not whether the noise is high.</w:t>
      </w:r>
    </w:p>
    <w:p>
      <w:pPr>
        <w:spacing w:before="200" w:after="100"/>
      </w:pPr>
      <w:r>
        <w:rPr>
          <w:rFonts w:ascii="Arial" w:cs="Arial" w:eastAsia="Arial" w:hAnsi="Arial"/>
          <w:b/>
          <w:bCs/>
          <w:color w:val="2E75B6"/>
          <w:sz w:val="22"/>
          <w:szCs w:val="22"/>
        </w:rPr>
        <w:t xml:space="preserve">Implication for your project</w:t>
      </w:r>
    </w:p>
    <w:p>
      <w:pPr>
        <w:spacing w:after="120" w:line="276"/>
      </w:pPr>
      <w:r>
        <w:rPr>
          <w:rFonts w:ascii="Arial" w:cs="Arial" w:eastAsia="Arial" w:hAnsi="Arial"/>
          <w:b/>
          <w:bCs/>
          <w:sz w:val="20"/>
          <w:szCs w:val="20"/>
        </w:rPr>
        <w:t xml:space="preserve">Choose Chinese property as starter. </w:t>
      </w:r>
      <w:r>
        <w:rPr>
          <w:rFonts w:ascii="Arial" w:cs="Arial" w:eastAsia="Arial" w:hAnsi="Arial"/>
          <w:sz w:val="20"/>
          <w:szCs w:val="20"/>
        </w:rPr>
        <w:t xml:space="preserve">It’s the rare EM case with deep English-language coverage, abundant credit events, and clear sovereign-corporate contagion channels. Do NOT start with frontier markets. The data simply doesn’t exist in accessible form.</w:t>
      </w:r>
    </w:p>
    <w:p>
      <w:pPr>
        <w:pBdr>
          <w:bottom w:val="single" w:color="2E75B6" w:sz="4" w:space="1"/>
        </w:pBdr>
        <w:spacing w:before="200" w:after="200"/>
      </w:pPr>
    </w:p>
    <w:p>
      <w:pPr>
        <w:pStyle w:val="Heading1"/>
        <w:spacing w:before="360" w:after="200"/>
      </w:pPr>
      <w:r>
        <w:rPr>
          <w:rFonts w:ascii="Arial" w:cs="Arial" w:eastAsia="Arial" w:hAnsi="Arial"/>
          <w:b/>
          <w:bCs/>
          <w:sz w:val="28"/>
          <w:szCs w:val="28"/>
        </w:rPr>
        <w:t xml:space="preserve">QUESTION 3: Can News-Based Models Actually Predict Credit Events Before Rating Agencies?</w:t>
      </w:r>
    </w:p>
    <w:p>
      <w:pPr>
        <w:spacing w:before="200" w:after="100"/>
      </w:pPr>
      <w:r>
        <w:rPr>
          <w:rFonts w:ascii="Arial" w:cs="Arial" w:eastAsia="Arial" w:hAnsi="Arial"/>
          <w:b/>
          <w:bCs/>
          <w:color w:val="2E75B6"/>
          <w:sz w:val="22"/>
          <w:szCs w:val="22"/>
        </w:rPr>
        <w:t xml:space="preserve">Popular view: Yes, rating agencies are lagging indicators</w:t>
      </w:r>
    </w:p>
    <w:p>
      <w:pPr>
        <w:spacing w:after="120" w:line="276"/>
      </w:pPr>
      <w:r>
        <w:rPr>
          <w:rFonts w:ascii="Arial" w:cs="Arial" w:eastAsia="Arial" w:hAnsi="Arial"/>
          <w:sz w:val="20"/>
          <w:szCs w:val="20"/>
        </w:rPr>
        <w:t xml:space="preserve">Academic consensus is strong: Flores (cited in PMC 2023) identifies that “financial markets can often anticipate sovereign credit rating shifts.” Markets, and therefore news, move first.</w:t>
      </w:r>
    </w:p>
    <w:p>
      <w:pPr>
        <w:spacing w:after="120" w:line="276"/>
      </w:pPr>
      <w:r>
        <w:rPr>
          <w:rFonts w:ascii="Arial" w:cs="Arial" w:eastAsia="Arial" w:hAnsi="Arial"/>
          <w:sz w:val="20"/>
          <w:szCs w:val="20"/>
        </w:rPr>
        <w:t xml:space="preserve">The IMF’s April 2025 GFSR showed that geopolitical risk events measurably spike sovereign CDS spreads before rating actions. News captures the geopolitical trigger; ratings follow months later.</w:t>
      </w:r>
    </w:p>
    <w:p>
      <w:pPr>
        <w:spacing w:after="120" w:line="276"/>
      </w:pPr>
      <w:r>
        <w:rPr>
          <w:rFonts w:ascii="Arial" w:cs="Arial" w:eastAsia="Arial" w:hAnsi="Arial"/>
          <w:sz w:val="20"/>
          <w:szCs w:val="20"/>
        </w:rPr>
        <w:t xml:space="preserve">A 2025 Dutch banking study showed an ML-based early warning system could “anticipate 12.7% of negative client transitions and prevent 67.6% of cases that would otherwise result in financial losses.”</w:t>
      </w:r>
    </w:p>
    <w:p>
      <w:pPr>
        <w:spacing w:before="200" w:after="100"/>
      </w:pPr>
      <w:r>
        <w:rPr>
          <w:rFonts w:ascii="Arial" w:cs="Arial" w:eastAsia="Arial" w:hAnsi="Arial"/>
          <w:b/>
          <w:bCs/>
          <w:color w:val="2E75B6"/>
          <w:sz w:val="22"/>
          <w:szCs w:val="22"/>
        </w:rPr>
        <w:t xml:space="preserve">Unpopular view: This is survivorship bias and hindsight is 20/20</w:t>
      </w:r>
    </w:p>
    <w:p>
      <w:pPr>
        <w:spacing w:after="120" w:line="276"/>
      </w:pPr>
      <w:r>
        <w:rPr>
          <w:rFonts w:ascii="Arial" w:cs="Arial" w:eastAsia="Arial" w:hAnsi="Arial"/>
          <w:sz w:val="20"/>
          <w:szCs w:val="20"/>
        </w:rPr>
        <w:t xml:space="preserve">Rating agencies have access to non-public information: management meetings, confidential financial data, regulatory conversations. News-based models only see what’s public. The “agencies are slow” narrative ignores that they sometimes have information the market doesn’t.</w:t>
      </w:r>
    </w:p>
    <w:p>
      <w:pPr>
        <w:spacing w:after="120" w:line="276"/>
      </w:pPr>
      <w:r>
        <w:rPr>
          <w:rFonts w:ascii="Arial" w:cs="Arial" w:eastAsia="Arial" w:hAnsi="Arial"/>
          <w:sz w:val="20"/>
          <w:szCs w:val="20"/>
        </w:rPr>
        <w:t xml:space="preserve">The Chinese property example cuts both ways: Evergrande was flagged by short sellers and journalists years before the default. But dozens of developers defaulted that no one predicted from news flow alone — they collapsed on liquidity crises triggered by contagion, not by their own negative coverage.</w:t>
      </w:r>
    </w:p>
    <w:p>
      <w:pPr>
        <w:spacing w:after="120" w:line="276"/>
      </w:pPr>
      <w:r>
        <w:rPr>
          <w:rFonts w:ascii="Arial" w:cs="Arial" w:eastAsia="Arial" w:hAnsi="Arial"/>
          <w:sz w:val="20"/>
          <w:szCs w:val="20"/>
        </w:rPr>
        <w:t xml:space="preserve">The IMF’s June 2025 Global Financial Stability Note on SVB showed that even in the US, a banking crisis propagated to 31+ countries via contagion channels that news analysis alone would not have captured in advance.</w:t>
      </w:r>
    </w:p>
    <w:p>
      <w:pPr>
        <w:spacing w:before="200" w:after="100"/>
      </w:pPr>
      <w:r>
        <w:rPr>
          <w:rFonts w:ascii="Arial" w:cs="Arial" w:eastAsia="Arial" w:hAnsi="Arial"/>
          <w:b/>
          <w:bCs/>
          <w:color w:val="2E75B6"/>
          <w:sz w:val="22"/>
          <w:szCs w:val="22"/>
        </w:rPr>
        <w:t xml:space="preserve">Implication for your project</w:t>
      </w:r>
    </w:p>
    <w:p>
      <w:pPr>
        <w:spacing w:after="120" w:line="276"/>
      </w:pPr>
      <w:r>
        <w:rPr>
          <w:rFonts w:ascii="Arial" w:cs="Arial" w:eastAsia="Arial" w:hAnsi="Arial"/>
          <w:b/>
          <w:bCs/>
          <w:sz w:val="20"/>
          <w:szCs w:val="20"/>
        </w:rPr>
        <w:t xml:space="preserve">Frame carefully. </w:t>
      </w:r>
      <w:r>
        <w:rPr>
          <w:rFonts w:ascii="Arial" w:cs="Arial" w:eastAsia="Arial" w:hAnsi="Arial"/>
          <w:sz w:val="20"/>
          <w:szCs w:val="20"/>
        </w:rPr>
        <w:t xml:space="preserve">Don’t claim “beats rating agencies.” Claim “provides complementary early signals.” The honest framing is that your model catches the cases where public information leads private assessment, which is a meaningful subset, especially in EM where agency coverage is thin.</w:t>
      </w:r>
    </w:p>
    <w:p>
      <w:pPr>
        <w:pBdr>
          <w:bottom w:val="single" w:color="2E75B6" w:sz="4" w:space="1"/>
        </w:pBdr>
        <w:spacing w:before="200" w:after="200"/>
      </w:pPr>
    </w:p>
    <w:p>
      <w:pPr>
        <w:pStyle w:val="Heading1"/>
        <w:spacing w:before="360" w:after="200"/>
      </w:pPr>
      <w:r>
        <w:rPr>
          <w:rFonts w:ascii="Arial" w:cs="Arial" w:eastAsia="Arial" w:hAnsi="Arial"/>
          <w:b/>
          <w:bCs/>
          <w:sz w:val="28"/>
          <w:szCs w:val="28"/>
        </w:rPr>
        <w:t xml:space="preserve">QUESTION 4: What Architecture Should This Be?</w:t>
      </w:r>
    </w:p>
    <w:p>
      <w:pPr>
        <w:spacing w:before="200" w:after="100"/>
      </w:pPr>
      <w:r>
        <w:rPr>
          <w:rFonts w:ascii="Arial" w:cs="Arial" w:eastAsia="Arial" w:hAnsi="Arial"/>
          <w:b/>
          <w:bCs/>
          <w:color w:val="2E75B6"/>
          <w:sz w:val="22"/>
          <w:szCs w:val="22"/>
        </w:rPr>
        <w:t xml:space="preserve">Popular view: Fine-tuned LLM for signal extraction + traditional ML for aggregation</w:t>
      </w:r>
    </w:p>
    <w:p>
      <w:pPr>
        <w:spacing w:after="120" w:line="276"/>
      </w:pPr>
      <w:r>
        <w:rPr>
          <w:rFonts w:ascii="Arial" w:cs="Arial" w:eastAsia="Arial" w:hAnsi="Arial"/>
          <w:sz w:val="20"/>
          <w:szCs w:val="20"/>
        </w:rPr>
        <w:t xml:space="preserve">The dominant pattern across FinRL/FinGPT contests and the 2025 credit risk literature is hybrid: LLM extracts features from unstructured text, then XGBoost/LightGBM/Random Forest makes the prediction. The LLM-FP-CatBoost model (International Journal of Forecasting, 2025) is a direct example — LLM extracts narrative data, CatBoost classifies.</w:t>
      </w:r>
    </w:p>
    <w:p>
      <w:pPr>
        <w:spacing w:after="120" w:line="276"/>
      </w:pPr>
      <w:r>
        <w:rPr>
          <w:rFonts w:ascii="Arial" w:cs="Arial" w:eastAsia="Arial" w:hAnsi="Arial"/>
          <w:sz w:val="20"/>
          <w:szCs w:val="20"/>
        </w:rPr>
        <w:t xml:space="preserve">Credit Risk Modeling with Graph ML (INFORMS Journal on Data Science) showed that adding network/graph information from SEC filings to tabular credit models improved predictions. This is analogous to your sector-country contagion layer.</w:t>
      </w:r>
    </w:p>
    <w:p>
      <w:pPr>
        <w:spacing w:before="200" w:after="100"/>
      </w:pPr>
      <w:r>
        <w:rPr>
          <w:rFonts w:ascii="Arial" w:cs="Arial" w:eastAsia="Arial" w:hAnsi="Arial"/>
          <w:b/>
          <w:bCs/>
          <w:color w:val="2E75B6"/>
          <w:sz w:val="22"/>
          <w:szCs w:val="22"/>
        </w:rPr>
        <w:t xml:space="preserve">Unpopular view: End-to-end LLM agent, no traditional ML needed</w:t>
      </w:r>
    </w:p>
    <w:p>
      <w:pPr>
        <w:spacing w:after="120" w:line="276"/>
      </w:pPr>
      <w:r>
        <w:rPr>
          <w:rFonts w:ascii="Arial" w:cs="Arial" w:eastAsia="Arial" w:hAnsi="Arial"/>
          <w:sz w:val="20"/>
          <w:szCs w:val="20"/>
        </w:rPr>
        <w:t xml:space="preserve">The FinAI Contest 2025 (ongoing) explicitly encourages “FinGPT Agents in Real Life” — pure agentic systems that read, analyze, and decide. A multi-agent architecture (sentiment agent + risk agent + compliance agent) may outperform hybrid approaches because the LLM can reason about context that feature vectors lose.</w:t>
      </w:r>
    </w:p>
    <w:p>
      <w:pPr>
        <w:spacing w:after="120" w:line="276"/>
      </w:pPr>
      <w:r>
        <w:rPr>
          <w:rFonts w:ascii="Arial" w:cs="Arial" w:eastAsia="Arial" w:hAnsi="Arial"/>
          <w:sz w:val="20"/>
          <w:szCs w:val="20"/>
        </w:rPr>
        <w:t xml:space="preserve">A 2025 ResearchGate study on Chinese REITs trading built a multi-agent LLM system with announcement, event, price momentum, and market agents. It compared DeepSeek-R1 (general-purpose) against Qwen3-8B (fine-tuned with SFT+RL). Both approaches worked, but the fine-tuned small model was more cost-effective at scale.</w:t>
      </w:r>
    </w:p>
    <w:p>
      <w:pPr>
        <w:spacing w:after="120" w:line="276"/>
      </w:pPr>
      <w:r>
        <w:rPr>
          <w:rFonts w:ascii="Arial" w:cs="Arial" w:eastAsia="Arial" w:hAnsi="Arial"/>
          <w:sz w:val="20"/>
          <w:szCs w:val="20"/>
        </w:rPr>
        <w:t xml:space="preserve">The systematic review (Golec et al., Expert Systems with Applications, Dec 2025) covering 60 papers on LLM credit risk found “a need for further research in reproducibility, fairness control, robustness to hallucinations.” Pure LLM approaches for credit decisions remain under-validated.</w:t>
      </w:r>
    </w:p>
    <w:p>
      <w:pPr>
        <w:spacing w:before="200" w:after="100"/>
      </w:pPr>
      <w:r>
        <w:rPr>
          <w:rFonts w:ascii="Arial" w:cs="Arial" w:eastAsia="Arial" w:hAnsi="Arial"/>
          <w:b/>
          <w:bCs/>
          <w:color w:val="2E75B6"/>
          <w:sz w:val="22"/>
          <w:szCs w:val="22"/>
        </w:rPr>
        <w:t xml:space="preserve">Implication for your project</w:t>
      </w:r>
    </w:p>
    <w:p>
      <w:pPr>
        <w:spacing w:after="120" w:line="276"/>
      </w:pPr>
      <w:r>
        <w:rPr>
          <w:rFonts w:ascii="Arial" w:cs="Arial" w:eastAsia="Arial" w:hAnsi="Arial"/>
          <w:b/>
          <w:bCs/>
          <w:sz w:val="20"/>
          <w:szCs w:val="20"/>
        </w:rPr>
        <w:t xml:space="preserve">Hybrid for the hackathon; agentic for the workplace. </w:t>
      </w:r>
      <w:r>
        <w:rPr>
          <w:rFonts w:ascii="Arial" w:cs="Arial" w:eastAsia="Arial" w:hAnsi="Arial"/>
          <w:sz w:val="20"/>
          <w:szCs w:val="20"/>
        </w:rPr>
        <w:t xml:space="preserve">The hybrid approach (fine-tuned LLM + XGBoost) is proven, reproducible, and evaluable — exactly what judges want. For Rubic Wealth / workplace, an agentic architecture with Claude as the reasoning engine is more practical and maintainable.</w:t>
      </w:r>
    </w:p>
    <w:p>
      <w:pPr>
        <w:pBdr>
          <w:bottom w:val="single" w:color="2E75B6" w:sz="4" w:space="1"/>
        </w:pBdr>
        <w:spacing w:before="200" w:after="200"/>
      </w:pPr>
    </w:p>
    <w:p>
      <w:pPr>
        <w:pStyle w:val="Heading1"/>
        <w:spacing w:before="360" w:after="200"/>
      </w:pPr>
      <w:r>
        <w:rPr>
          <w:rFonts w:ascii="Arial" w:cs="Arial" w:eastAsia="Arial" w:hAnsi="Arial"/>
          <w:b/>
          <w:bCs/>
          <w:sz w:val="28"/>
          <w:szCs w:val="28"/>
        </w:rPr>
        <w:t xml:space="preserve">QUESTION 5: Is This a Real Product or Just a Learning Exercise?</w:t>
      </w:r>
    </w:p>
    <w:p>
      <w:pPr>
        <w:spacing w:before="200" w:after="100"/>
      </w:pPr>
      <w:r>
        <w:rPr>
          <w:rFonts w:ascii="Arial" w:cs="Arial" w:eastAsia="Arial" w:hAnsi="Arial"/>
          <w:b/>
          <w:bCs/>
          <w:color w:val="2E75B6"/>
          <w:sz w:val="22"/>
          <w:szCs w:val="22"/>
        </w:rPr>
        <w:t xml:space="preserve">Popular view: The market is enormous</w:t>
      </w:r>
    </w:p>
    <w:p>
      <w:pPr>
        <w:spacing w:after="120" w:line="276"/>
      </w:pPr>
      <w:r>
        <w:rPr>
          <w:rFonts w:ascii="Arial" w:cs="Arial" w:eastAsia="Arial" w:hAnsi="Arial"/>
          <w:sz w:val="20"/>
          <w:szCs w:val="20"/>
        </w:rPr>
        <w:t xml:space="preserve">The OECD reports over $4.5 trillion in EMDE bond debt outstanding, with 40% maturing by 2027. Credit surveillance for this volume is chronically understaffed at most asset managers.</w:t>
      </w:r>
    </w:p>
    <w:p>
      <w:pPr>
        <w:spacing w:after="120" w:line="276"/>
      </w:pPr>
      <w:r>
        <w:rPr>
          <w:rFonts w:ascii="Arial" w:cs="Arial" w:eastAsia="Arial" w:hAnsi="Arial"/>
          <w:sz w:val="20"/>
          <w:szCs w:val="20"/>
        </w:rPr>
        <w:t xml:space="preserve">Janus Henderson’s 2026 EM outlook states: “EM debt no longer held hostage to every bout of global risk aversion — a positive structural development.” As EM credit becomes more nuanced, the need for granular, entity-level surveillance grows.</w:t>
      </w:r>
    </w:p>
    <w:p>
      <w:pPr>
        <w:spacing w:after="120" w:line="276"/>
      </w:pPr>
      <w:r>
        <w:rPr>
          <w:rFonts w:ascii="Arial" w:cs="Arial" w:eastAsia="Arial" w:hAnsi="Arial"/>
          <w:sz w:val="20"/>
          <w:szCs w:val="20"/>
        </w:rPr>
        <w:t xml:space="preserve">Franklin Templeton, Morgan Stanley, and Janus Henderson all published 2026 EM outlooks emphasizing idiosyncratic risk selection over broad beta. This requires exactly the kind of entity-level signal generation you’re building.</w:t>
      </w:r>
    </w:p>
    <w:p>
      <w:pPr>
        <w:spacing w:before="200" w:after="100"/>
      </w:pPr>
      <w:r>
        <w:rPr>
          <w:rFonts w:ascii="Arial" w:cs="Arial" w:eastAsia="Arial" w:hAnsi="Arial"/>
          <w:b/>
          <w:bCs/>
          <w:color w:val="2E75B6"/>
          <w:sz w:val="22"/>
          <w:szCs w:val="22"/>
        </w:rPr>
        <w:t xml:space="preserve">Unpopular view: You’re competing against Bloomberg Terminal</w:t>
      </w:r>
    </w:p>
    <w:p>
      <w:pPr>
        <w:spacing w:after="120" w:line="276"/>
      </w:pPr>
      <w:r>
        <w:rPr>
          <w:rFonts w:ascii="Arial" w:cs="Arial" w:eastAsia="Arial" w:hAnsi="Arial"/>
          <w:sz w:val="20"/>
          <w:szCs w:val="20"/>
        </w:rPr>
        <w:t xml:space="preserve">Bloomberg already has DRSK (credit risk dashboard), NEWS sentiment scoring, and CDS-implied rating models. S&amp;P Capital IQ has CreditPro. Moody’s has RiskCalc. The incumbents are not asleep.</w:t>
      </w:r>
    </w:p>
    <w:p>
      <w:pPr>
        <w:spacing w:after="120" w:line="276"/>
      </w:pPr>
      <w:r>
        <w:rPr>
          <w:rFonts w:ascii="Arial" w:cs="Arial" w:eastAsia="Arial" w:hAnsi="Arial"/>
          <w:sz w:val="20"/>
          <w:szCs w:val="20"/>
        </w:rPr>
        <w:t xml:space="preserve">The incumbents’ weakness is precisely in frontier/EM coverage and sovereign-corporate contagion modeling. Their tools work well for US IG credit. They’re mediocre for Turkish industrials or Indonesian property developers. The gap is real but narrow.</w:t>
      </w:r>
    </w:p>
    <w:p>
      <w:pPr>
        <w:spacing w:before="200" w:after="100"/>
      </w:pPr>
      <w:r>
        <w:rPr>
          <w:rFonts w:ascii="Arial" w:cs="Arial" w:eastAsia="Arial" w:hAnsi="Arial"/>
          <w:b/>
          <w:bCs/>
          <w:color w:val="2E75B6"/>
          <w:sz w:val="22"/>
          <w:szCs w:val="22"/>
        </w:rPr>
        <w:t xml:space="preserve">Implication for your project</w:t>
      </w:r>
    </w:p>
    <w:p>
      <w:pPr>
        <w:spacing w:after="120" w:line="276"/>
      </w:pPr>
      <w:r>
        <w:rPr>
          <w:rFonts w:ascii="Arial" w:cs="Arial" w:eastAsia="Arial" w:hAnsi="Arial"/>
          <w:b/>
          <w:bCs/>
          <w:sz w:val="20"/>
          <w:szCs w:val="20"/>
        </w:rPr>
        <w:t xml:space="preserve">Treat it as a learning project that could become a product feature. </w:t>
      </w:r>
      <w:r>
        <w:rPr>
          <w:rFonts w:ascii="Arial" w:cs="Arial" w:eastAsia="Arial" w:hAnsi="Arial"/>
          <w:sz w:val="20"/>
          <w:szCs w:val="20"/>
        </w:rPr>
        <w:t xml:space="preserve">Don’t build it to replace Bloomberg. Build it to do the one thing Bloomberg doesn’t: EM sector-country contagion signals from multilingual news. That’s your niche.</w:t>
      </w:r>
    </w:p>
    <w:p>
      <w:pPr>
        <w:pBdr>
          <w:bottom w:val="single" w:color="2E75B6" w:sz="4" w:space="1"/>
        </w:pBdr>
        <w:spacing w:before="200" w:after="200"/>
      </w:pPr>
    </w:p>
    <w:p>
      <w:pPr>
        <w:pStyle w:val="Heading1"/>
        <w:spacing w:before="360" w:after="200"/>
      </w:pPr>
      <w:r>
        <w:rPr>
          <w:rFonts w:ascii="Arial" w:cs="Arial" w:eastAsia="Arial" w:hAnsi="Arial"/>
          <w:b/>
          <w:bCs/>
          <w:sz w:val="28"/>
          <w:szCs w:val="28"/>
        </w:rPr>
        <w:t xml:space="preserve">THREE PEOPLE WHO KNOW MOST ABOUT THIS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F4E79" w:color="auto" w:val="clear"/>
            <w:tcMar>
              <w:top w:type="dxa" w:w="80"/>
              <w:left w:type="dxa" w:w="120"/>
              <w:bottom w:type="dxa" w:w="80"/>
              <w:right w:type="dxa" w:w="120"/>
            </w:tcMar>
            <w:vAlign w:val="center"/>
          </w:tcPr>
          <w:p>
            <w:r>
              <w:rPr>
                <w:rFonts w:ascii="Arial" w:cs="Arial" w:eastAsia="Arial" w:hAnsi="Arial"/>
                <w:b/>
                <w:bCs/>
                <w:color w:val="FFFFFF"/>
                <w:sz w:val="18"/>
                <w:szCs w:val="18"/>
                <w:shd w:val="clear" w:color="auto" w:fill="auto"/>
              </w:rPr>
              <w:t xml:space="preserve">Expert</w:t>
            </w:r>
          </w:p>
        </w:tc>
        <w:tc>
          <w:tcPr>
            <w:tcW w:type="dxa" w:w="3580"/>
            <w:tcBorders>
              <w:top w:val="single" w:color="CCCCCC" w:sz="1"/>
              <w:left w:val="single" w:color="CCCCCC" w:sz="1"/>
              <w:bottom w:val="single" w:color="CCCCCC" w:sz="1"/>
              <w:right w:val="single" w:color="CCCCCC" w:sz="1"/>
            </w:tcBorders>
            <w:shd w:fill="1F4E79" w:color="auto" w:val="clear"/>
            <w:tcMar>
              <w:top w:type="dxa" w:w="80"/>
              <w:left w:type="dxa" w:w="120"/>
              <w:bottom w:type="dxa" w:w="80"/>
              <w:right w:type="dxa" w:w="120"/>
            </w:tcMar>
            <w:vAlign w:val="center"/>
          </w:tcPr>
          <w:p>
            <w:r>
              <w:rPr>
                <w:rFonts w:ascii="Arial" w:cs="Arial" w:eastAsia="Arial" w:hAnsi="Arial"/>
                <w:b/>
                <w:bCs/>
                <w:color w:val="FFFFFF"/>
                <w:sz w:val="18"/>
                <w:szCs w:val="18"/>
                <w:shd w:val="clear" w:color="auto" w:fill="auto"/>
              </w:rPr>
              <w:t xml:space="preserve">Position</w:t>
            </w:r>
          </w:p>
        </w:tc>
        <w:tc>
          <w:tcPr>
            <w:tcW w:type="dxa" w:w="3580"/>
            <w:tcBorders>
              <w:top w:val="single" w:color="CCCCCC" w:sz="1"/>
              <w:left w:val="single" w:color="CCCCCC" w:sz="1"/>
              <w:bottom w:val="single" w:color="CCCCCC" w:sz="1"/>
              <w:right w:val="single" w:color="CCCCCC" w:sz="1"/>
            </w:tcBorders>
            <w:shd w:fill="1F4E79" w:color="auto" w:val="clear"/>
            <w:tcMar>
              <w:top w:type="dxa" w:w="80"/>
              <w:left w:type="dxa" w:w="120"/>
              <w:bottom w:type="dxa" w:w="80"/>
              <w:right w:type="dxa" w:w="120"/>
            </w:tcMar>
            <w:vAlign w:val="center"/>
          </w:tcPr>
          <w:p>
            <w:r>
              <w:rPr>
                <w:rFonts w:ascii="Arial" w:cs="Arial" w:eastAsia="Arial" w:hAnsi="Arial"/>
                <w:b/>
                <w:bCs/>
                <w:color w:val="FFFFFF"/>
                <w:sz w:val="18"/>
                <w:szCs w:val="18"/>
                <w:shd w:val="clear" w:color="auto" w:fill="auto"/>
              </w:rPr>
              <w:t xml:space="preserve">Key Insight for Your Project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8"/>
                <w:szCs w:val="18"/>
              </w:rPr>
              <w:t xml:space="preserve">Xiao-Yang Liu (Columbia / SecureFinAI Lab)</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Creator of FinRL + FinGPT. Runs all FinRL/FinAI contests. Advocates lightweight LoRA fine-tuning over expensive pre-training. Key claim: “It is not hard to build your own FinGPT agent that rivals or surpasses BloombergGPT.”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His 2026 SecureFinAI Contest includes “FinGPT Agents for Regulation and Compliance” — directly your domain. His starter kits are your on-ramp.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8"/>
                <w:szCs w:val="18"/>
              </w:rPr>
              <w:t xml:space="preserve">Muhammed Golec (ScienceDirect / Expert Systems)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Lead author of the first systematic review of LLM credit risk (60 papers, 2020-2025). Key finding: hybrid pipelines + QLoRA + multimodal data integration are the frontier. Biggest gap: “reproducibility, fairness, robustness to hallucinations.”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His taxonomy is your literature review done for you. His identified gap — “Sentiment-Driven Credit Signals” — is literally what you’re building.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sz w:val="18"/>
                <w:szCs w:val="18"/>
              </w:rPr>
              <w:t xml:space="preserve">Sanjiv Das (Santa Clara U / INFORMS)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Pioneer of graph-based credit risk modeling. Built CorpNet: a network of firms from SEC filings + graph neural networks for rating prediction. Published in INFORMS Journal on Data Science.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18"/>
                <w:szCs w:val="18"/>
              </w:rPr>
              <w:t xml:space="preserve">His network/contagion approach is the academic foundation for your sector-country propagation layer. Ensemble of GNN + tabular ML = your architecture.</w:t>
            </w:r>
          </w:p>
        </w:tc>
      </w:tr>
    </w:tbl>
    <w:p>
      <w:pPr>
        <w:spacing w:after="120"/>
      </w:pPr>
    </w:p>
    <w:p>
      <w:pPr>
        <w:spacing w:after="120" w:line="276"/>
      </w:pPr>
      <w:r>
        <w:rPr>
          <w:rFonts w:ascii="Arial" w:cs="Arial" w:eastAsia="Arial" w:hAnsi="Arial"/>
          <w:b/>
          <w:bCs/>
          <w:color w:val="C62828"/>
          <w:sz w:val="20"/>
          <w:szCs w:val="20"/>
        </w:rPr>
        <w:t xml:space="preserve">Where they disagree: </w:t>
      </w:r>
      <w:r>
        <w:rPr>
          <w:rFonts w:ascii="Arial" w:cs="Arial" w:eastAsia="Arial" w:hAnsi="Arial"/>
          <w:sz w:val="20"/>
          <w:szCs w:val="20"/>
        </w:rPr>
        <w:t xml:space="preserve">Liu believes fine-tuning small open models is always the right approach for finance. Golec’s review shows that the evidence for LLMs beating traditional ML on credit tasks is mixed — hybrids work, pure LLMs often don’t. Das’s work suggests that network structure (who is connected to whom) may matter more than text signals. Your project should incorporate elements from all three positions.</w:t>
      </w:r>
    </w:p>
    <w:p>
      <w:pPr>
        <w:pBdr>
          <w:bottom w:val="single" w:color="2E75B6" w:sz="4" w:space="1"/>
        </w:pBdr>
        <w:spacing w:before="200" w:after="200"/>
      </w:pPr>
    </w:p>
    <w:p>
      <w:pPr>
        <w:pStyle w:val="Heading1"/>
        <w:spacing w:before="360" w:after="200"/>
      </w:pPr>
      <w:r>
        <w:rPr>
          <w:rFonts w:ascii="Arial" w:cs="Arial" w:eastAsia="Arial" w:hAnsi="Arial"/>
          <w:b/>
          <w:bCs/>
          <w:sz w:val="28"/>
          <w:szCs w:val="28"/>
        </w:rPr>
        <w:t xml:space="preserve">WHAT MOST PEOPLE GET WRONG</w:t>
      </w:r>
    </w:p>
    <w:p>
      <w:pPr>
        <w:spacing w:after="60"/>
      </w:pPr>
    </w:p>
    <w:p>
      <w:pPr>
        <w:spacing w:after="120" w:line="276"/>
      </w:pPr>
      <w:r>
        <w:rPr>
          <w:rFonts w:ascii="Arial" w:cs="Arial" w:eastAsia="Arial" w:hAnsi="Arial"/>
          <w:b/>
          <w:bCs/>
          <w:sz w:val="20"/>
          <w:szCs w:val="20"/>
        </w:rPr>
        <w:t xml:space="preserve">1. “Sentiment analysis = credit risk analysis.” </w:t>
      </w:r>
      <w:r>
        <w:rPr>
          <w:rFonts w:ascii="Arial" w:cs="Arial" w:eastAsia="Arial" w:hAnsi="Arial"/>
          <w:sz w:val="20"/>
          <w:szCs w:val="20"/>
        </w:rPr>
        <w:t xml:space="preserve">No. Negative sentiment and credit deterioration are different things. A company reporting “disappointing revenues” is negative sentiment. A company “drawing down its revolving credit facility” is a credit event with neutral sentiment. Most NLP-for-finance work conflates these. The fine-tuning task must specifically train for credit-relevant signals, not generic sentiment. This is where your domain expertise is the moat.</w:t>
      </w:r>
    </w:p>
    <w:p>
      <w:pPr>
        <w:spacing w:after="60"/>
      </w:pPr>
    </w:p>
    <w:p>
      <w:pPr>
        <w:spacing w:after="120" w:line="276"/>
      </w:pPr>
      <w:r>
        <w:rPr>
          <w:rFonts w:ascii="Arial" w:cs="Arial" w:eastAsia="Arial" w:hAnsi="Arial"/>
          <w:b/>
          <w:bCs/>
          <w:sz w:val="20"/>
          <w:szCs w:val="20"/>
        </w:rPr>
        <w:t xml:space="preserve">2. “More data beats better data.” </w:t>
      </w:r>
      <w:r>
        <w:rPr>
          <w:rFonts w:ascii="Arial" w:cs="Arial" w:eastAsia="Arial" w:hAnsi="Arial"/>
          <w:sz w:val="20"/>
          <w:szCs w:val="20"/>
        </w:rPr>
        <w:t xml:space="preserve">The FinGPT philosophy is to ingest everything from 34+ sources. But for EM credit risk, one analyst note from CreditSights is worth more than 1,000 GDELT-tagged wire articles. The winners of the FinRL 2024 RLMF task didn’t use the most data — they designed the best reward function. Your edge is in data curation, not data volume.</w:t>
      </w:r>
    </w:p>
    <w:p>
      <w:pPr>
        <w:spacing w:after="60"/>
      </w:pPr>
    </w:p>
    <w:p>
      <w:pPr>
        <w:spacing w:after="120" w:line="276"/>
      </w:pPr>
      <w:r>
        <w:rPr>
          <w:rFonts w:ascii="Arial" w:cs="Arial" w:eastAsia="Arial" w:hAnsi="Arial"/>
          <w:b/>
          <w:bCs/>
          <w:sz w:val="20"/>
          <w:szCs w:val="20"/>
        </w:rPr>
        <w:t xml:space="preserve">3. “Fine-tuning is always better than prompting.” </w:t>
      </w:r>
      <w:r>
        <w:rPr>
          <w:rFonts w:ascii="Arial" w:cs="Arial" w:eastAsia="Arial" w:hAnsi="Arial"/>
          <w:sz w:val="20"/>
          <w:szCs w:val="20"/>
        </w:rPr>
        <w:t xml:space="preserve">Unresolved. The 2025 evidence shows fine-tuned small models beat prompted small models. But fine-tuned small models vs. prompted frontier models (Opus, GPT-4) is a much closer race. The honest answer is: fine-tune for cost efficiency at inference scale; prompt frontier models for flexibility and regime-change robustness. Know when to use which.</w:t>
      </w:r>
    </w:p>
    <w:p>
      <w:pPr>
        <w:spacing w:after="60"/>
      </w:pPr>
    </w:p>
    <w:p>
      <w:pPr>
        <w:spacing w:after="120" w:line="276"/>
      </w:pPr>
      <w:r>
        <w:rPr>
          <w:rFonts w:ascii="Arial" w:cs="Arial" w:eastAsia="Arial" w:hAnsi="Arial"/>
          <w:b/>
          <w:bCs/>
          <w:sz w:val="20"/>
          <w:szCs w:val="20"/>
        </w:rPr>
        <w:t xml:space="preserve">4. “The hard part is the model.” </w:t>
      </w:r>
      <w:r>
        <w:rPr>
          <w:rFonts w:ascii="Arial" w:cs="Arial" w:eastAsia="Arial" w:hAnsi="Arial"/>
          <w:sz w:val="20"/>
          <w:szCs w:val="20"/>
        </w:rPr>
        <w:t xml:space="preserve">It’s not. The hard part is constructing the labeled training dataset. Matching historical news flow to subsequent credit events, handling survivorship bias (you only see defaults for companies that actually defaulted — the near-misses that recovered are equally important training data), and ensuring your labels actually capture credit deterioration timing. Plan to spend 60% of project time on data, 20% on model, 20% on evaluation.</w:t>
      </w:r>
    </w:p>
    <w:p>
      <w:pPr>
        <w:spacing w:after="60"/>
      </w:pPr>
    </w:p>
    <w:p>
      <w:pPr>
        <w:spacing w:after="120" w:line="276"/>
      </w:pPr>
      <w:r>
        <w:rPr>
          <w:rFonts w:ascii="Arial" w:cs="Arial" w:eastAsia="Arial" w:hAnsi="Arial"/>
          <w:b/>
          <w:bCs/>
          <w:sz w:val="20"/>
          <w:szCs w:val="20"/>
        </w:rPr>
        <w:t xml:space="preserve">5. “This has been done.” </w:t>
      </w:r>
      <w:r>
        <w:rPr>
          <w:rFonts w:ascii="Arial" w:cs="Arial" w:eastAsia="Arial" w:hAnsi="Arial"/>
          <w:sz w:val="20"/>
          <w:szCs w:val="20"/>
        </w:rPr>
        <w:t xml:space="preserve">Not for EM sector-country pairs with contagion logic. The systematic review of 60 papers found zero addressing sovereign-to-corporate credit signal propagation via news-based LLMs. The graph ML work exists for US corporates. The EM debt research exists for sovereign spreads. Nobody has connected the two layers using fine-tuned LLMs on news. That’s your contribution.</w:t>
      </w:r>
    </w:p>
    <w:p>
      <w:pPr>
        <w:pBdr>
          <w:bottom w:val="single" w:color="2E75B6" w:sz="4" w:space="1"/>
        </w:pBdr>
        <w:spacing w:before="200" w:after="200"/>
      </w:pPr>
    </w:p>
    <w:p>
      <w:pPr>
        <w:pStyle w:val="Heading1"/>
        <w:spacing w:before="360" w:after="200"/>
      </w:pPr>
      <w:r>
        <w:rPr>
          <w:rFonts w:ascii="Arial" w:cs="Arial" w:eastAsia="Arial" w:hAnsi="Arial"/>
          <w:b/>
          <w:bCs/>
          <w:sz w:val="28"/>
          <w:szCs w:val="28"/>
        </w:rPr>
        <w:t xml:space="preserve">RECOMMENDED NEXT STEPS</w:t>
      </w:r>
    </w:p>
    <w:p>
      <w:pPr>
        <w:spacing w:after="120" w:line="276"/>
      </w:pPr>
      <w:r>
        <w:rPr>
          <w:rFonts w:ascii="Arial" w:cs="Arial" w:eastAsia="Arial" w:hAnsi="Arial"/>
          <w:sz w:val="20"/>
          <w:szCs w:val="20"/>
        </w:rPr>
        <w:t xml:space="preserve">1. Clone FinRLlama repo (github.com/Arnav-Gr0ver/ICAIF_FinRL-2024). Run it end-to-end. Understand the RLMF training loop. 1-2 days.</w:t>
      </w:r>
    </w:p>
    <w:p>
      <w:pPr>
        <w:spacing w:after="120" w:line="276"/>
      </w:pPr>
      <w:r>
        <w:rPr>
          <w:rFonts w:ascii="Arial" w:cs="Arial" w:eastAsia="Arial" w:hAnsi="Arial"/>
          <w:sz w:val="20"/>
          <w:szCs w:val="20"/>
        </w:rPr>
        <w:t xml:space="preserve">2. Build the Chinese property credit event timeline. Use Moody’s/S&amp;P rating actions database, construct entity-by-date labels. 3-5 days.</w:t>
      </w:r>
    </w:p>
    <w:p>
      <w:pPr>
        <w:spacing w:after="120" w:line="276"/>
      </w:pPr>
      <w:r>
        <w:rPr>
          <w:rFonts w:ascii="Arial" w:cs="Arial" w:eastAsia="Arial" w:hAnsi="Arial"/>
          <w:sz w:val="20"/>
          <w:szCs w:val="20"/>
        </w:rPr>
        <w:t xml:space="preserve">3. Scrape training data. Start with GDELT for volume, HKEX for filings, and 8-K equivalents. Pair with credit event labels. 1 week.</w:t>
      </w:r>
    </w:p>
    <w:p>
      <w:pPr>
        <w:spacing w:after="120" w:line="276"/>
      </w:pPr>
      <w:r>
        <w:rPr>
          <w:rFonts w:ascii="Arial" w:cs="Arial" w:eastAsia="Arial" w:hAnsi="Arial"/>
          <w:sz w:val="20"/>
          <w:szCs w:val="20"/>
        </w:rPr>
        <w:t xml:space="preserve">4. Adapt FinRLlama training pipeline for credit risk signals instead of trading sentiment. Use Claude Code for the adaptation. 3-5 days.</w:t>
      </w:r>
    </w:p>
    <w:p>
      <w:pPr>
        <w:spacing w:after="120" w:line="276"/>
      </w:pPr>
      <w:r>
        <w:rPr>
          <w:rFonts w:ascii="Arial" w:cs="Arial" w:eastAsia="Arial" w:hAnsi="Arial"/>
          <w:sz w:val="20"/>
          <w:szCs w:val="20"/>
        </w:rPr>
        <w:t xml:space="preserve">5. Build aggregation layer with sector-country contagion. Use the INFORMS graph approach as inspiration. 3-5 days.</w:t>
      </w:r>
    </w:p>
    <w:p>
      <w:pPr>
        <w:spacing w:after="120" w:line="276"/>
      </w:pPr>
      <w:r>
        <w:rPr>
          <w:rFonts w:ascii="Arial" w:cs="Arial" w:eastAsia="Arial" w:hAnsi="Arial"/>
          <w:sz w:val="20"/>
          <w:szCs w:val="20"/>
        </w:rPr>
        <w:t xml:space="preserve">6. Backtest against actual rating actions. Measure lead time. This is your evaluation metric. 2-3 days.</w:t>
      </w:r>
    </w:p>
    <w:p>
      <w:pPr>
        <w:spacing w:after="120" w:line="276"/>
      </w:pPr>
      <w:r>
        <w:rPr>
          <w:rFonts w:ascii="Arial" w:cs="Arial" w:eastAsia="Arial" w:hAnsi="Arial"/>
          <w:sz w:val="20"/>
          <w:szCs w:val="20"/>
        </w:rPr>
        <w:t xml:space="preserve">7. Watch the SecureFinAI 2026 repo (github.com/Open-Finance-Lab) for contest announcement. Be ready to enter.</w:t>
      </w:r>
    </w:p>
    <w:p>
      <w:pPr>
        <w:spacing w:after="120"/>
      </w:pPr>
    </w:p>
    <w:p>
      <w:pPr>
        <w:spacing w:after="120" w:line="276"/>
      </w:pPr>
      <w:r>
        <w:rPr>
          <w:rFonts w:ascii="Arial" w:cs="Arial" w:eastAsia="Arial" w:hAnsi="Arial"/>
          <w:b/>
          <w:bCs/>
          <w:sz w:val="20"/>
          <w:szCs w:val="20"/>
        </w:rPr>
        <w:t xml:space="preserve">Total estimated timeline: 4-6 weeks for a working prototype. </w:t>
      </w:r>
      <w:r>
        <w:rPr>
          <w:rFonts w:ascii="Arial" w:cs="Arial" w:eastAsia="Arial" w:hAnsi="Arial"/>
          <w:sz w:val="20"/>
          <w:szCs w:val="20"/>
        </w:rPr>
        <w:t xml:space="preserve">Suitable for self-directed learning, FinAI 2026 contest entry, and potential Rubic Wealth integration.</w:t>
      </w:r>
    </w:p>
    <w:p>
      <w:pPr>
        <w:spacing w:after="200"/>
      </w:pPr>
    </w:p>
    <w:p>
      <w:pPr>
        <w:pBdr>
          <w:bottom w:val="single" w:color="2E75B6" w:sz="4" w:space="1"/>
        </w:pBdr>
        <w:spacing w:before="200" w:after="200"/>
      </w:pPr>
    </w:p>
    <w:p>
      <w:pPr>
        <w:spacing w:after="60"/>
        <w:jc w:val="center"/>
      </w:pPr>
      <w:r>
        <w:rPr>
          <w:rFonts w:ascii="Arial" w:cs="Arial" w:eastAsia="Arial" w:hAnsi="Arial"/>
          <w:b/>
          <w:bCs/>
          <w:color w:val="999999"/>
          <w:sz w:val="18"/>
          <w:szCs w:val="18"/>
        </w:rPr>
        <w:t xml:space="preserve">END OF BRIEFING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28"/>
      <w:szCs w:val="28"/>
    </w:rPr>
  </w:style>
  <w:style w:type="paragraph" w:styleId="Heading2">
    <w:name w:val="Heading 2"/>
    <w:basedOn w:val="Normal"/>
    <w:next w:val="Normal"/>
    <w:qFormat/>
    <w:pPr>
      <w:spacing w:before="280" w:after="16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2026-02-13T01:11:38.667Z</dcterms:created>
  <dcterms:modified xsi:type="dcterms:W3CDTF">2026-02-13T01:11:38.668Z</dcterms:modified>
</cp:coreProperties>
</file>

<file path=docProps/custom.xml><?xml version="1.0" encoding="utf-8"?>
<Properties xmlns="http://schemas.openxmlformats.org/officeDocument/2006/custom-properties" xmlns:vt="http://schemas.openxmlformats.org/officeDocument/2006/docPropsVTypes"/>
</file>