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B4F72"/>
          <w:sz w:val="52"/>
          <w:szCs w:val="52"/>
        </w:rPr>
        <w:t xml:space="preserve">SPIKE LAND LTD</w:t>
      </w:r>
    </w:p>
    <w:p>
      <w:pPr>
        <w:spacing w:after="200"/>
        <w:jc w:val="center"/>
      </w:pPr>
      <w:r>
        <w:rPr>
          <w:rFonts w:ascii="Arial" w:cs="Arial" w:eastAsia="Arial" w:hAnsi="Arial"/>
          <w:color w:val="2C3E50"/>
          <w:sz w:val="36"/>
          <w:szCs w:val="36"/>
        </w:rPr>
        <w:t xml:space="preserve">Investec Negotiation Report</w:t>
      </w:r>
    </w:p>
    <w:p>
      <w:pPr>
        <w:spacing w:after="60"/>
        <w:jc w:val="center"/>
      </w:pPr>
      <w:r>
        <w:rPr>
          <w:rFonts w:ascii="Arial" w:cs="Arial" w:eastAsia="Arial" w:hAnsi="Arial"/>
          <w:b/>
          <w:bCs/>
          <w:color w:val="C0392B"/>
          <w:sz w:val="24"/>
          <w:szCs w:val="24"/>
        </w:rPr>
        <w:t xml:space="preserve">UPDATED — Including Session 2 Findings</w:t>
      </w:r>
    </w:p>
    <w:p>
      <w:pPr>
        <w:pBdr>
          <w:bottom w:val="single" w:color="1B4F72" w:sz="6" w:space="1"/>
        </w:pBdr>
        <w:spacing w:after="200" w:before="200"/>
      </w:pPr>
    </w:p>
    <w:p>
      <w:pPr>
        <w:spacing w:after="80"/>
        <w:jc w:val="center"/>
      </w:pPr>
      <w:r>
        <w:rPr>
          <w:rFonts w:ascii="Arial" w:cs="Arial" w:eastAsia="Arial" w:hAnsi="Arial"/>
          <w:color w:val="7F8C8D"/>
          <w:sz w:val="22"/>
          <w:szCs w:val="22"/>
        </w:rPr>
        <w:t xml:space="preserve">Complete Record: Pitch Critique, Deal Terms, Strategic Risks,</w:t>
      </w:r>
    </w:p>
    <w:p>
      <w:pPr>
        <w:spacing w:after="80"/>
        <w:jc w:val="center"/>
      </w:pPr>
      <w:r>
        <w:rPr>
          <w:rFonts w:ascii="Arial" w:cs="Arial" w:eastAsia="Arial" w:hAnsi="Arial"/>
          <w:color w:val="7F8C8D"/>
          <w:sz w:val="22"/>
          <w:szCs w:val="22"/>
        </w:rPr>
        <w:t xml:space="preserve">BAZDMEG Pipeline, PRD-to-App Loop, Native Testing Insight,</w:t>
      </w:r>
    </w:p>
    <w:p>
      <w:pPr>
        <w:spacing w:after="300"/>
        <w:jc w:val="center"/>
      </w:pPr>
      <w:r>
        <w:rPr>
          <w:rFonts w:ascii="Arial" w:cs="Arial" w:eastAsia="Arial" w:hAnsi="Arial"/>
          <w:color w:val="7F8C8D"/>
          <w:sz w:val="22"/>
          <w:szCs w:val="22"/>
        </w:rPr>
        <w:t xml:space="preserve">Founder Situation Assessment, and Conditions for Progression</w:t>
      </w:r>
    </w:p>
    <w:p>
      <w:pPr>
        <w:spacing w:after="60"/>
      </w:pPr>
    </w:p>
    <w:p>
      <w:pPr>
        <w:spacing w:after="60"/>
      </w:pP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pPr>
              <w:jc w:val="right"/>
            </w:pPr>
            <w:r>
              <w:rPr>
                <w:rFonts w:ascii="Arial" w:cs="Arial" w:eastAsia="Arial" w:hAnsi="Arial"/>
                <w:color w:val="7F8C8D"/>
                <w:sz w:val="20"/>
                <w:szCs w:val="20"/>
              </w:rPr>
              <w:t xml:space="preserve">Prepared for:</w:t>
            </w:r>
          </w:p>
        </w:tc>
        <w:tc>
          <w:tcPr>
            <w:tcW w:type="dxa" w:w="2800"/>
            <w:tcBorders>
              <w:top w:val="none" w:sz="0"/>
              <w:left w:val="none" w:sz="0"/>
              <w:bottom w:val="none" w:sz="0"/>
              <w:right w:val="none" w:sz="0"/>
            </w:tcBorders>
          </w:tcPr>
          <w:p>
            <w:r>
              <w:rPr>
                <w:rFonts w:ascii="Arial" w:cs="Arial" w:eastAsia="Arial" w:hAnsi="Arial"/>
                <w:sz w:val="20"/>
                <w:szCs w:val="20"/>
              </w:rPr>
              <w:t xml:space="preserve">  Zoltan Erdos, Founder</w:t>
            </w:r>
          </w:p>
        </w:tc>
      </w:tr>
      <w:tr>
        <w:tc>
          <w:tcPr>
            <w:tcW w:type="dxa" w:w="2200"/>
            <w:tcBorders>
              <w:top w:val="none" w:sz="0"/>
              <w:left w:val="none" w:sz="0"/>
              <w:bottom w:val="none" w:sz="0"/>
              <w:right w:val="none" w:sz="0"/>
            </w:tcBorders>
          </w:tcPr>
          <w:p>
            <w:pPr>
              <w:jc w:val="right"/>
            </w:pPr>
            <w:r>
              <w:rPr>
                <w:rFonts w:ascii="Arial" w:cs="Arial" w:eastAsia="Arial" w:hAnsi="Arial"/>
                <w:color w:val="7F8C8D"/>
                <w:sz w:val="20"/>
                <w:szCs w:val="20"/>
              </w:rPr>
              <w:t xml:space="preserve">Date:</w:t>
            </w:r>
          </w:p>
        </w:tc>
        <w:tc>
          <w:tcPr>
            <w:tcW w:type="dxa" w:w="2800"/>
            <w:tcBorders>
              <w:top w:val="none" w:sz="0"/>
              <w:left w:val="none" w:sz="0"/>
              <w:bottom w:val="none" w:sz="0"/>
              <w:right w:val="none" w:sz="0"/>
            </w:tcBorders>
          </w:tcPr>
          <w:p>
            <w:r>
              <w:rPr>
                <w:rFonts w:ascii="Arial" w:cs="Arial" w:eastAsia="Arial" w:hAnsi="Arial"/>
                <w:sz w:val="20"/>
                <w:szCs w:val="20"/>
              </w:rPr>
              <w:t xml:space="preserve">  11 March 2026 (v2)</w:t>
            </w:r>
          </w:p>
        </w:tc>
      </w:tr>
      <w:tr>
        <w:tc>
          <w:tcPr>
            <w:tcW w:type="dxa" w:w="2200"/>
            <w:tcBorders>
              <w:top w:val="none" w:sz="0"/>
              <w:left w:val="none" w:sz="0"/>
              <w:bottom w:val="none" w:sz="0"/>
              <w:right w:val="none" w:sz="0"/>
            </w:tcBorders>
          </w:tcPr>
          <w:p>
            <w:pPr>
              <w:jc w:val="right"/>
            </w:pPr>
            <w:r>
              <w:rPr>
                <w:rFonts w:ascii="Arial" w:cs="Arial" w:eastAsia="Arial" w:hAnsi="Arial"/>
                <w:color w:val="7F8C8D"/>
                <w:sz w:val="20"/>
                <w:szCs w:val="20"/>
              </w:rPr>
              <w:t xml:space="preserve">Classification:</w:t>
            </w:r>
          </w:p>
        </w:tc>
        <w:tc>
          <w:tcPr>
            <w:tcW w:type="dxa" w:w="2800"/>
            <w:tcBorders>
              <w:top w:val="none" w:sz="0"/>
              <w:left w:val="none" w:sz="0"/>
              <w:bottom w:val="none" w:sz="0"/>
              <w:right w:val="none" w:sz="0"/>
            </w:tcBorders>
          </w:tcPr>
          <w:p>
            <w:r>
              <w:rPr>
                <w:rFonts w:ascii="Arial" w:cs="Arial" w:eastAsia="Arial" w:hAnsi="Arial"/>
                <w:color w:val="C0392B"/>
                <w:sz w:val="20"/>
                <w:szCs w:val="20"/>
              </w:rPr>
              <w:t xml:space="preserve">  Confidential</w:t>
            </w:r>
          </w:p>
        </w:tc>
      </w:tr>
    </w:tbl>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document records two full sessions of a simulated investor negotiation between Zoltan Erdos (Founder, Spike Land Ltd) and a role-played Investec representative. Session 1 covered pitch critique, deal terms, competitive positioning, and kill criteria. Session 2 uncovered significantly deeper technical evidence that changes the strategic assessment of the company.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Pitch Framing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Tightened from dual-business confusion to single platform thesis with COMPASS as proof point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Valuation Range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£3.0M–£3.5M pre-money; founder flexible to £3.0M for right partner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Criteria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explicit 18-month tests: wedge, distribution, platform independence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BAZDMEG Method</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Identified as the real moat — business logic absorption engine, not just a registry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PRD-to-App 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 Screenshots → PRD → typed MCP tools → deployed app with auto-generated UI</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App Absorption Loop</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0"/>
                <w:szCs w:val="20"/>
              </w:rPr>
              <w:t xml:space="preserve">NEW: Every app run through BAZDMEG becomes platform inventory at {name}-mcp.spike.land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Agent Testing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 MCP is the agent’s native language — verification cost approaches zero</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Migration Service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Five-tier pricing ($420–£1M) published live; immediate revenue potential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Situation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£204 remaining, rent due, requires immediate bridge — CRITICAL</w:t>
            </w:r>
          </w:p>
        </w:tc>
      </w:tr>
    </w:tbl>
    <w:p>
      <w:r>
        <w:br w:type="page"/>
      </w:r>
    </w:p>
    <w:p>
      <w:pPr>
        <w:pStyle w:val="Heading1"/>
        <w:spacing w:after="150" w:before="300"/>
      </w:pPr>
      <w:r>
        <w:rPr>
          <w:rFonts w:ascii="Arial" w:cs="Arial" w:eastAsia="Arial" w:hAnsi="Arial"/>
          <w:b/>
          <w:bCs/>
        </w:rPr>
        <w:t xml:space="preserve">2. Session 1: Pitch Negotiation</w:t>
      </w:r>
    </w:p>
    <w:p>
      <w:pPr>
        <w:pStyle w:val="Heading2"/>
        <w:spacing w:after="150" w:before="300"/>
      </w:pPr>
      <w:r>
        <w:rPr>
          <w:rFonts w:ascii="Arial" w:cs="Arial" w:eastAsia="Arial" w:hAnsi="Arial"/>
          <w:b/>
          <w:bCs/>
        </w:rPr>
        <w:t xml:space="preserve">Phase 1: Initial Critique</w:t>
      </w:r>
    </w:p>
    <w:p>
      <w:pPr>
        <w:spacing w:after="120"/>
      </w:pPr>
      <w:r>
        <w:rPr>
          <w:rFonts w:ascii="Arial" w:cs="Arial" w:eastAsia="Arial" w:hAnsi="Arial"/>
          <w:sz w:val="22"/>
          <w:szCs w:val="22"/>
        </w:rPr>
        <w:t xml:space="preserve">The Investec representative challenged the fundamental structure: why does this need to be a venture-backed company rather than a consultancy? The founder argued that the value is in compounding reusable infrastructure, not selling hours. Capital buys speed and company shape, not survival.</w:t>
      </w:r>
    </w:p>
    <w:p>
      <w:pPr>
        <w:spacing w:after="60"/>
      </w:pPr>
    </w:p>
    <w:p>
      <w:pPr>
        <w:pStyle w:val="Heading3"/>
        <w:spacing w:after="150" w:before="300"/>
      </w:pPr>
      <w:r>
        <w:rPr>
          <w:rFonts w:ascii="Arial" w:cs="Arial" w:eastAsia="Arial" w:hAnsi="Arial"/>
          <w:b/>
          <w:bCs/>
        </w:rPr>
        <w:t xml:space="preserve">Challenges Raised</w:t>
      </w:r>
    </w:p>
    <w:p>
      <w:pPr>
        <w:pStyle w:val="ListParagraph"/>
        <w:numPr>
          <w:ilvl w:val="0"/>
          <w:numId w:val="2"/>
        </w:numPr>
        <w:spacing w:after="60"/>
      </w:pPr>
      <w:r>
        <w:rPr>
          <w:rFonts w:ascii="Arial" w:cs="Arial" w:eastAsia="Arial" w:hAnsi="Arial"/>
          <w:sz w:val="22"/>
          <w:szCs w:val="22"/>
        </w:rPr>
        <w:t xml:space="preserve">Dual-business confusion between spike.land and COMPASS</w:t>
      </w:r>
    </w:p>
    <w:p>
      <w:pPr>
        <w:pStyle w:val="ListParagraph"/>
        <w:numPr>
          <w:ilvl w:val="0"/>
          <w:numId w:val="2"/>
        </w:numPr>
        <w:spacing w:after="60"/>
      </w:pPr>
      <w:r>
        <w:rPr>
          <w:rFonts w:ascii="Arial" w:cs="Arial" w:eastAsia="Arial" w:hAnsi="Arial"/>
          <w:sz w:val="22"/>
          <w:szCs w:val="22"/>
        </w:rPr>
        <w:t xml:space="preserve">No evidence of real traction — who uses the 80+ tools?</w:t>
      </w:r>
    </w:p>
    <w:p>
      <w:pPr>
        <w:pStyle w:val="ListParagraph"/>
        <w:numPr>
          <w:ilvl w:val="0"/>
          <w:numId w:val="2"/>
        </w:numPr>
        <w:spacing w:after="60"/>
      </w:pPr>
      <w:r>
        <w:rPr>
          <w:rFonts w:ascii="Arial" w:cs="Arial" w:eastAsia="Arial" w:hAnsi="Arial"/>
          <w:sz w:val="22"/>
          <w:szCs w:val="22"/>
        </w:rPr>
        <w:t xml:space="preserve">Why pay spike.land vs. using Cloudflare Workers directly?</w:t>
      </w:r>
    </w:p>
    <w:p>
      <w:pPr>
        <w:pStyle w:val="ListParagraph"/>
        <w:numPr>
          <w:ilvl w:val="0"/>
          <w:numId w:val="2"/>
        </w:numPr>
        <w:spacing w:after="60"/>
      </w:pPr>
      <w:r>
        <w:rPr>
          <w:rFonts w:ascii="Arial" w:cs="Arial" w:eastAsia="Arial" w:hAnsi="Arial"/>
          <w:sz w:val="22"/>
          <w:szCs w:val="22"/>
        </w:rPr>
        <w:t xml:space="preserve">COMPASS $8M Year 1 projections mismatched with £250k SEIS raise</w:t>
      </w:r>
    </w:p>
    <w:p>
      <w:pPr>
        <w:pStyle w:val="ListParagraph"/>
        <w:numPr>
          <w:ilvl w:val="0"/>
          <w:numId w:val="2"/>
        </w:numPr>
        <w:spacing w:after="60"/>
      </w:pPr>
      <w:r>
        <w:rPr>
          <w:rFonts w:ascii="Arial" w:cs="Arial" w:eastAsia="Arial" w:hAnsi="Arial"/>
          <w:sz w:val="22"/>
          <w:szCs w:val="22"/>
        </w:rPr>
        <w:t xml:space="preserve">Founder B2B sales experience questioned</w:t>
      </w:r>
    </w:p>
    <w:p>
      <w:pPr>
        <w:spacing w:after="60"/>
      </w:pPr>
    </w:p>
    <w:p>
      <w:pPr>
        <w:pStyle w:val="Heading3"/>
        <w:spacing w:after="150" w:before="300"/>
      </w:pPr>
      <w:r>
        <w:rPr>
          <w:rFonts w:ascii="Arial" w:cs="Arial" w:eastAsia="Arial" w:hAnsi="Arial"/>
          <w:b/>
          <w:bCs/>
        </w:rPr>
        <w:t xml:space="preserve">Founder Responses (Strong)</w:t>
      </w:r>
    </w:p>
    <w:p>
      <w:pPr>
        <w:spacing w:after="120"/>
      </w:pPr>
      <w:r>
        <w:rPr>
          <w:rFonts w:ascii="Arial" w:cs="Arial" w:eastAsia="Arial" w:hAnsi="Arial"/>
          <w:sz w:val="22"/>
          <w:szCs w:val="22"/>
        </w:rPr>
        <w:t xml:space="preserve">Zoltan immediately conceded framing was wrong, restructured thesis. Pulled aspirational COMPASS numbers out voluntarily. Correctly identified the workflow-layer-above-primitives as the value proposition. Acknowledged no signed design partners and committed to closing that gap.</w:t>
      </w:r>
    </w:p>
    <w:p>
      <w:pPr>
        <w:spacing w:after="60"/>
      </w:pPr>
    </w:p>
    <w:p>
      <w:pPr>
        <w:pStyle w:val="Heading2"/>
        <w:spacing w:after="150" w:before="300"/>
      </w:pPr>
      <w:r>
        <w:rPr>
          <w:rFonts w:ascii="Arial" w:cs="Arial" w:eastAsia="Arial" w:hAnsi="Arial"/>
          <w:b/>
          <w:bCs/>
        </w:rPr>
        <w:t xml:space="preserve">Phase 2: Deal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Investec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Founder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Pre-money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 realistic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£3.0–3.5M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Aligned at £3.0M</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Vesting</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4yr, 1yr cliff</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Agreed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7AE60"/>
                <w:sz w:val="20"/>
                <w:szCs w:val="20"/>
              </w:rPr>
              <w:t xml:space="preserve">Agreed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Pool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pre-round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fine; 15% discuss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10% likely</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SEIS Eligibility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Verification required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3yr rule confirmed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F39C12"/>
                <w:sz w:val="20"/>
                <w:szCs w:val="20"/>
              </w:rPr>
              <w:t xml:space="preserve">Advance assurance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Investor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 at £3M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Agreed</w:t>
            </w:r>
          </w:p>
        </w:tc>
      </w:tr>
    </w:tbl>
    <w:p>
      <w:pPr>
        <w:spacing w:after="60"/>
      </w:pPr>
    </w:p>
    <w:p>
      <w:pPr>
        <w:pStyle w:val="Heading2"/>
        <w:spacing w:after="150" w:before="300"/>
      </w:pPr>
      <w:r>
        <w:rPr>
          <w:rFonts w:ascii="Arial" w:cs="Arial" w:eastAsia="Arial" w:hAnsi="Arial"/>
          <w:b/>
          <w:bCs/>
        </w:rPr>
        <w:t xml:space="preserve">Phase 3: Kill Criteria Agreed</w:t>
      </w:r>
    </w:p>
    <w:p>
      <w:pPr>
        <w:spacing w:after="120"/>
      </w:pPr>
      <w:r>
        <w:rPr>
          <w:rFonts w:ascii="Arial" w:cs="Arial" w:eastAsia="Arial" w:hAnsi="Arial"/>
          <w:sz w:val="22"/>
          <w:szCs w:val="22"/>
        </w:rPr>
        <w:t xml:space="preserve">By 30 September 2027, three conditions must be met. If any fails, the thesis is broken:</w:t>
      </w:r>
    </w:p>
    <w:p>
      <w:pPr>
        <w:pStyle w:val="ListParagraph"/>
        <w:numPr>
          <w:ilvl w:val="0"/>
          <w:numId w:val="3"/>
        </w:numPr>
        <w:spacing w:after="60"/>
      </w:pPr>
      <w:r>
        <w:rPr>
          <w:rFonts w:ascii="Arial" w:cs="Arial" w:eastAsia="Arial" w:hAnsi="Arial"/>
          <w:sz w:val="22"/>
          <w:szCs w:val="22"/>
        </w:rPr>
        <w:t xml:space="preserve">At least 3 paid reference customers in the QA/agency wedge with quantified CI improvement</w:t>
      </w:r>
    </w:p>
    <w:p>
      <w:pPr>
        <w:pStyle w:val="ListParagraph"/>
        <w:numPr>
          <w:ilvl w:val="0"/>
          <w:numId w:val="3"/>
        </w:numPr>
        <w:spacing w:after="60"/>
      </w:pPr>
      <w:r>
        <w:rPr>
          <w:rFonts w:ascii="Arial" w:cs="Arial" w:eastAsia="Arial" w:hAnsi="Arial"/>
          <w:sz w:val="22"/>
          <w:szCs w:val="22"/>
        </w:rPr>
        <w:t xml:space="preserve">Business no longer fully founder-carried commercially — repeatable GTM function exists</w:t>
      </w:r>
    </w:p>
    <w:p>
      <w:pPr>
        <w:pStyle w:val="ListParagraph"/>
        <w:numPr>
          <w:ilvl w:val="0"/>
          <w:numId w:val="3"/>
        </w:numPr>
        <w:spacing w:after="60"/>
      </w:pPr>
      <w:r>
        <w:rPr>
          <w:rFonts w:ascii="Arial" w:cs="Arial" w:eastAsia="Arial" w:hAnsi="Arial"/>
          <w:sz w:val="22"/>
          <w:szCs w:val="22"/>
        </w:rPr>
        <w:t xml:space="preserve">Customers adopting managed runtime as product, not buying founder effort; company no longer bus-factor-one</w:t>
      </w:r>
    </w:p>
    <w:p>
      <w:r>
        <w:br w:type="page"/>
      </w:r>
    </w:p>
    <w:p>
      <w:pPr>
        <w:pStyle w:val="Heading1"/>
        <w:spacing w:after="150" w:before="300"/>
      </w:pPr>
      <w:r>
        <w:rPr>
          <w:rFonts w:ascii="Arial" w:cs="Arial" w:eastAsia="Arial" w:hAnsi="Arial"/>
          <w:b/>
          <w:bCs/>
        </w:rPr>
        <w:t xml:space="preserve">3. Session 2: The Deeper Technical Story</w:t>
      </w:r>
    </w:p>
    <w:p>
      <w:pPr>
        <w:pBdr>
          <w:left w:val="single" w:color="1B4F72" w:sz="12" w:space="8"/>
        </w:pBdr>
        <w:spacing w:after="120"/>
        <w:ind w:left="240"/>
      </w:pPr>
      <w:r>
        <w:rPr>
          <w:rFonts w:ascii="Arial" w:cs="Arial" w:eastAsia="Arial" w:hAnsi="Arial"/>
          <w:color w:val="2C3E50"/>
          <w:sz w:val="22"/>
          <w:szCs w:val="22"/>
        </w:rPr>
        <w:t xml:space="preserve">Session 2 uncovered technical evidence that materially changes the strategic assessment. The base case (QA wedge) remains correct for first commercial motion. The upside case is fundamentally larger than Session 1 suggested.</w:t>
      </w:r>
    </w:p>
    <w:p>
      <w:pPr>
        <w:spacing w:after="60"/>
      </w:pPr>
    </w:p>
    <w:p>
      <w:pPr>
        <w:pStyle w:val="Heading2"/>
        <w:spacing w:after="150" w:before="300"/>
      </w:pPr>
      <w:r>
        <w:rPr>
          <w:rFonts w:ascii="Arial" w:cs="Arial" w:eastAsia="Arial" w:hAnsi="Arial"/>
          <w:b/>
          <w:bCs/>
        </w:rPr>
        <w:t xml:space="preserve">3A. The BAZDMEG Pipeline</w:t>
      </w:r>
    </w:p>
    <w:p>
      <w:pPr>
        <w:spacing w:after="120"/>
      </w:pPr>
      <w:r>
        <w:rPr>
          <w:rFonts w:ascii="Arial" w:cs="Arial" w:eastAsia="Arial" w:hAnsi="Arial"/>
          <w:sz w:val="22"/>
          <w:szCs w:val="22"/>
        </w:rPr>
        <w:t xml:space="preserve">BAZDMEG is the quality gate system that enforces discipline at three phases: pre-code, post-code, and pre-PR. The core principle is: requirements are the product, code is output.</w:t>
      </w:r>
    </w:p>
    <w:p>
      <w:pPr>
        <w:spacing w:after="60"/>
      </w:pPr>
    </w:p>
    <w:p>
      <w:pPr>
        <w:spacing w:after="120"/>
      </w:pPr>
      <w:r>
        <w:rPr>
          <w:rFonts w:ascii="Arial" w:cs="Arial" w:eastAsia="Arial" w:hAnsi="Arial"/>
          <w:sz w:val="22"/>
          <w:szCs w:val="22"/>
        </w:rPr>
        <w:t xml:space="preserve">The founder demonstrated this live during Session 2: he took screenshots from Apple Pages, sent them to Gemini to generate a PRD, then ran the PRD through BAZDMEG quality gates in Claude Code. The output was a fully specified, five-feature product document with phased delivery, feature flags, security model, backward compatibility, and typed tool contracts.</w:t>
      </w:r>
    </w:p>
    <w:p>
      <w:pPr>
        <w:spacing w:after="60"/>
      </w:pPr>
    </w:p>
    <w:p>
      <w:pPr>
        <w:spacing w:after="120"/>
      </w:pPr>
      <w:r>
        <w:rPr>
          <w:rFonts w:ascii="Arial" w:cs="Arial" w:eastAsia="Arial" w:hAnsi="Arial"/>
          <w:sz w:val="22"/>
          <w:szCs w:val="22"/>
        </w:rPr>
        <w:t xml:space="preserve">The critical insight, stated by the founder: "Ask the agent to tell the same business story with the minimum number of tokens. If it can’t explain it clearly, the requirement is still fuzzy. If it can, the PRD is done."</w:t>
      </w:r>
    </w:p>
    <w:p>
      <w:pPr>
        <w:spacing w:after="60"/>
      </w:pPr>
    </w:p>
    <w:p>
      <w:pPr>
        <w:pStyle w:val="Heading3"/>
        <w:spacing w:after="150" w:before="300"/>
      </w:pPr>
      <w:r>
        <w:rPr>
          <w:rFonts w:ascii="Arial" w:cs="Arial" w:eastAsia="Arial" w:hAnsi="Arial"/>
          <w:b/>
          <w:bCs/>
        </w:rPr>
        <w:t xml:space="preserve">What The Pipeline Produces</w:t>
      </w:r>
    </w:p>
    <w:p>
      <w:pPr>
        <w:pStyle w:val="ListParagraph"/>
        <w:numPr>
          <w:ilvl w:val="0"/>
          <w:numId w:val="2"/>
        </w:numPr>
        <w:spacing w:after="60"/>
      </w:pPr>
      <w:r>
        <w:rPr>
          <w:rFonts w:ascii="Arial" w:cs="Arial" w:eastAsia="Arial" w:hAnsi="Arial"/>
          <w:sz w:val="22"/>
          <w:szCs w:val="22"/>
        </w:rPr>
        <w:t xml:space="preserve">A compact PRD that defines capabilities, constraints, invariants, failure modes, and edge cases</w:t>
      </w:r>
    </w:p>
    <w:p>
      <w:pPr>
        <w:pStyle w:val="ListParagraph"/>
        <w:numPr>
          <w:ilvl w:val="0"/>
          <w:numId w:val="2"/>
        </w:numPr>
        <w:spacing w:after="60"/>
      </w:pPr>
      <w:r>
        <w:rPr>
          <w:rFonts w:ascii="Arial" w:cs="Arial" w:eastAsia="Arial" w:hAnsi="Arial"/>
          <w:sz w:val="22"/>
          <w:szCs w:val="22"/>
        </w:rPr>
        <w:t xml:space="preserve">Typed MCP tool contracts formalized from the requirements</w:t>
      </w:r>
    </w:p>
    <w:p>
      <w:pPr>
        <w:pStyle w:val="ListParagraph"/>
        <w:numPr>
          <w:ilvl w:val="0"/>
          <w:numId w:val="2"/>
        </w:numPr>
        <w:spacing w:after="60"/>
      </w:pPr>
      <w:r>
        <w:rPr>
          <w:rFonts w:ascii="Arial" w:cs="Arial" w:eastAsia="Arial" w:hAnsi="Arial"/>
          <w:sz w:val="22"/>
          <w:szCs w:val="22"/>
        </w:rPr>
        <w:t xml:space="preserve">Unit tests generated from the tool contracts</w:t>
      </w:r>
    </w:p>
    <w:p>
      <w:pPr>
        <w:pStyle w:val="ListParagraph"/>
        <w:numPr>
          <w:ilvl w:val="0"/>
          <w:numId w:val="2"/>
        </w:numPr>
        <w:spacing w:after="60"/>
      </w:pPr>
      <w:r>
        <w:rPr>
          <w:rFonts w:ascii="Arial" w:cs="Arial" w:eastAsia="Arial" w:hAnsi="Arial"/>
          <w:sz w:val="22"/>
          <w:szCs w:val="22"/>
        </w:rPr>
        <w:t xml:space="preserve">A deployed MCP server at {name}-mcp.spike.land</w:t>
      </w:r>
    </w:p>
    <w:p>
      <w:pPr>
        <w:pStyle w:val="ListParagraph"/>
        <w:numPr>
          <w:ilvl w:val="0"/>
          <w:numId w:val="2"/>
        </w:numPr>
        <w:spacing w:after="60"/>
      </w:pPr>
      <w:r>
        <w:rPr>
          <w:rFonts w:ascii="Arial" w:cs="Arial" w:eastAsia="Arial" w:hAnsi="Arial"/>
          <w:sz w:val="22"/>
          <w:szCs w:val="22"/>
        </w:rPr>
        <w:t xml:space="preserve">An auto-derived UI surface (forms, buttons, tables, images, session flows) rendered from the tool contracts</w:t>
      </w:r>
    </w:p>
    <w:p>
      <w:pPr>
        <w:spacing w:after="60"/>
      </w:pPr>
    </w:p>
    <w:p>
      <w:pPr>
        <w:pStyle w:val="Heading2"/>
        <w:spacing w:after="150" w:before="300"/>
      </w:pPr>
      <w:r>
        <w:rPr>
          <w:rFonts w:ascii="Arial" w:cs="Arial" w:eastAsia="Arial" w:hAnsi="Arial"/>
          <w:b/>
          <w:bCs/>
        </w:rPr>
        <w:t xml:space="preserve">3B. The PRD-to-Deployed-App Loop</w:t>
      </w:r>
    </w:p>
    <w:p>
      <w:pPr>
        <w:spacing w:after="120"/>
      </w:pPr>
      <w:r>
        <w:rPr>
          <w:rFonts w:ascii="Arial" w:cs="Arial" w:eastAsia="Arial" w:hAnsi="Arial"/>
          <w:sz w:val="22"/>
          <w:szCs w:val="22"/>
        </w:rPr>
        <w:t xml:space="preserve">The most significant finding of Session 2 is that the BAZDMEG pipeline doesn’t just produce documentation. It produces running software.</w:t>
      </w:r>
    </w:p>
    <w:p>
      <w:pPr>
        <w:spacing w:after="60"/>
      </w:pPr>
    </w:p>
    <w:p>
      <w:pPr>
        <w:spacing w:after="120"/>
      </w:pPr>
      <w:r>
        <w:rPr>
          <w:rFonts w:ascii="Arial" w:cs="Arial" w:eastAsia="Arial" w:hAnsi="Arial"/>
          <w:sz w:val="22"/>
          <w:szCs w:val="22"/>
        </w:rPr>
        <w:t xml:space="preserve">The output of the pipeline is typed MCP tool contracts. On spike.land, typed MCP tool contracts ARE deployed applications. The UI surface is programmatically derived from the contracts using an MDX-based universal runner — not generated by asking an AI to build a UI from scratch each time.</w:t>
      </w:r>
    </w:p>
    <w:p>
      <w:pPr>
        <w:spacing w:after="60"/>
      </w:pPr>
    </w:p>
    <w:p>
      <w:pPr>
        <w:pBdr>
          <w:left w:val="single" w:color="1B4F72" w:sz="12" w:space="8"/>
        </w:pBdr>
        <w:spacing w:after="120"/>
        <w:ind w:left="240"/>
      </w:pPr>
      <w:r>
        <w:rPr>
          <w:rFonts w:ascii="Arial" w:cs="Arial" w:eastAsia="Arial" w:hAnsi="Arial"/>
          <w:color w:val="2C3E50"/>
          <w:sz w:val="22"/>
          <w:szCs w:val="22"/>
        </w:rPr>
        <w:t xml:space="preserve">Screenshots in → PRD out → typed MCP tools → unit tests → deployed app with auto-generated UI. The requirement IS the product.</w:t>
      </w:r>
    </w:p>
    <w:p>
      <w:pPr>
        <w:spacing w:after="60"/>
      </w:pPr>
    </w:p>
    <w:p>
      <w:pPr>
        <w:pStyle w:val="Heading3"/>
        <w:spacing w:after="150" w:before="300"/>
      </w:pPr>
      <w:r>
        <w:rPr>
          <w:rFonts w:ascii="Arial" w:cs="Arial" w:eastAsia="Arial" w:hAnsi="Arial"/>
          <w:b/>
          <w:bCs/>
        </w:rPr>
        <w:t xml:space="preserve">Live Example</w:t>
      </w:r>
    </w:p>
    <w:p>
      <w:pPr>
        <w:spacing w:after="120"/>
      </w:pPr>
      <w:r>
        <w:rPr>
          <w:rFonts w:ascii="Arial" w:cs="Arial" w:eastAsia="Arial" w:hAnsi="Arial"/>
          <w:sz w:val="22"/>
          <w:szCs w:val="22"/>
        </w:rPr>
        <w:t xml:space="preserve">image-studio-mcp.spike.land is a working example of this pattern. It is a deployed MCP server that IS the app. The subdomain identifies the app. The MCP tools define scoped capabilities (image-related tools only). The surface renders from the tool contracts and adapts to execution context.</w:t>
      </w:r>
    </w:p>
    <w:p>
      <w:pPr>
        <w:spacing w:after="60"/>
      </w:pPr>
    </w:p>
    <w:p>
      <w:pPr>
        <w:pStyle w:val="Heading3"/>
        <w:spacing w:after="150" w:before="300"/>
      </w:pPr>
      <w:r>
        <w:rPr>
          <w:rFonts w:ascii="Arial" w:cs="Arial" w:eastAsia="Arial" w:hAnsi="Arial"/>
          <w:b/>
          <w:bCs/>
        </w:rPr>
        <w:t xml:space="preserve">Naming Convention as Architecture</w:t>
      </w:r>
    </w:p>
    <w:p>
      <w:pPr>
        <w:spacing w:after="120"/>
      </w:pPr>
      <w:r>
        <w:rPr>
          <w:rFonts w:ascii="Arial" w:cs="Arial" w:eastAsia="Arial" w:hAnsi="Arial"/>
          <w:sz w:val="22"/>
          <w:szCs w:val="22"/>
        </w:rPr>
        <w:t xml:space="preserve">The URL pattern {app-name}-mcp.spike.land is not just a naming convention. It is the deployment architecture: each subdomain is a scoped MCP server whose tool contracts define both the API and the rendered surface. This means:</w:t>
      </w:r>
    </w:p>
    <w:p>
      <w:pPr>
        <w:pStyle w:val="ListParagraph"/>
        <w:numPr>
          <w:ilvl w:val="0"/>
          <w:numId w:val="2"/>
        </w:numPr>
        <w:spacing w:after="60"/>
      </w:pPr>
      <w:r>
        <w:rPr>
          <w:rFonts w:ascii="Arial" w:cs="Arial" w:eastAsia="Arial" w:hAnsi="Arial"/>
          <w:sz w:val="22"/>
          <w:szCs w:val="22"/>
        </w:rPr>
        <w:t xml:space="preserve">Every deployed app is discoverable by name</w:t>
      </w:r>
    </w:p>
    <w:p>
      <w:pPr>
        <w:pStyle w:val="ListParagraph"/>
        <w:numPr>
          <w:ilvl w:val="0"/>
          <w:numId w:val="2"/>
        </w:numPr>
        <w:spacing w:after="60"/>
      </w:pPr>
      <w:r>
        <w:rPr>
          <w:rFonts w:ascii="Arial" w:cs="Arial" w:eastAsia="Arial" w:hAnsi="Arial"/>
          <w:sz w:val="22"/>
          <w:szCs w:val="22"/>
        </w:rPr>
        <w:t xml:space="preserve">Every app’s capabilities are defined by its tool contracts</w:t>
      </w:r>
    </w:p>
    <w:p>
      <w:pPr>
        <w:pStyle w:val="ListParagraph"/>
        <w:numPr>
          <w:ilvl w:val="0"/>
          <w:numId w:val="2"/>
        </w:numPr>
        <w:spacing w:after="60"/>
      </w:pPr>
      <w:r>
        <w:rPr>
          <w:rFonts w:ascii="Arial" w:cs="Arial" w:eastAsia="Arial" w:hAnsi="Arial"/>
          <w:sz w:val="22"/>
          <w:szCs w:val="22"/>
        </w:rPr>
        <w:t xml:space="preserve">Every app’s UI is derived from those same contracts</w:t>
      </w:r>
    </w:p>
    <w:p>
      <w:pPr>
        <w:pStyle w:val="ListParagraph"/>
        <w:numPr>
          <w:ilvl w:val="0"/>
          <w:numId w:val="2"/>
        </w:numPr>
        <w:spacing w:after="60"/>
      </w:pPr>
      <w:r>
        <w:rPr>
          <w:rFonts w:ascii="Arial" w:cs="Arial" w:eastAsia="Arial" w:hAnsi="Arial"/>
          <w:sz w:val="22"/>
          <w:szCs w:val="22"/>
        </w:rPr>
        <w:t xml:space="preserve">Tool scoping is architectural, not manual configuration</w:t>
      </w:r>
    </w:p>
    <w:p>
      <w:pPr>
        <w:spacing w:after="60"/>
      </w:pPr>
    </w:p>
    <w:p>
      <w:pPr>
        <w:pStyle w:val="Heading2"/>
        <w:spacing w:after="150" w:before="300"/>
      </w:pPr>
      <w:r>
        <w:rPr>
          <w:rFonts w:ascii="Arial" w:cs="Arial" w:eastAsia="Arial" w:hAnsi="Arial"/>
          <w:b/>
          <w:bCs/>
        </w:rPr>
        <w:t xml:space="preserve">3C. The Absorption Loop</w:t>
      </w:r>
    </w:p>
    <w:p>
      <w:pPr>
        <w:spacing w:after="120"/>
      </w:pPr>
      <w:r>
        <w:rPr>
          <w:rFonts w:ascii="Arial" w:cs="Arial" w:eastAsia="Arial" w:hAnsi="Arial"/>
          <w:sz w:val="22"/>
          <w:szCs w:val="22"/>
        </w:rPr>
        <w:t xml:space="preserve">The combination of BAZDMEG + PRD-to-app creates an acquisition flywheel:</w:t>
      </w:r>
    </w:p>
    <w:p>
      <w:pPr>
        <w:spacing w:after="60"/>
      </w:pPr>
    </w:p>
    <w:p>
      <w:pPr>
        <w:pStyle w:val="ListParagraph"/>
        <w:numPr>
          <w:ilvl w:val="0"/>
          <w:numId w:val="4"/>
        </w:numPr>
        <w:spacing w:after="60"/>
      </w:pPr>
      <w:r>
        <w:rPr>
          <w:rFonts w:ascii="Arial" w:cs="Arial" w:eastAsia="Arial" w:hAnsi="Arial"/>
          <w:sz w:val="22"/>
          <w:szCs w:val="22"/>
        </w:rPr>
        <w:t xml:space="preserve">An existing product (any product) enters the pipeline via screenshots, Figma, Notion, or any descriptive artifact</w:t>
      </w:r>
    </w:p>
    <w:p>
      <w:pPr>
        <w:pStyle w:val="ListParagraph"/>
        <w:numPr>
          <w:ilvl w:val="0"/>
          <w:numId w:val="4"/>
        </w:numPr>
        <w:spacing w:after="60"/>
      </w:pPr>
      <w:r>
        <w:rPr>
          <w:rFonts w:ascii="Arial" w:cs="Arial" w:eastAsia="Arial" w:hAnsi="Arial"/>
          <w:sz w:val="22"/>
          <w:szCs w:val="22"/>
        </w:rPr>
        <w:t xml:space="preserve">The agent compresses it into a PRD; BAZDMEG gates enforce quality</w:t>
      </w:r>
    </w:p>
    <w:p>
      <w:pPr>
        <w:pStyle w:val="ListParagraph"/>
        <w:numPr>
          <w:ilvl w:val="0"/>
          <w:numId w:val="4"/>
        </w:numPr>
        <w:spacing w:after="60"/>
      </w:pPr>
      <w:r>
        <w:rPr>
          <w:rFonts w:ascii="Arial" w:cs="Arial" w:eastAsia="Arial" w:hAnsi="Arial"/>
          <w:sz w:val="22"/>
          <w:szCs w:val="22"/>
        </w:rPr>
        <w:t xml:space="preserve">The PRD formalizes into typed MCP tool contracts</w:t>
      </w:r>
    </w:p>
    <w:p>
      <w:pPr>
        <w:pStyle w:val="ListParagraph"/>
        <w:numPr>
          <w:ilvl w:val="0"/>
          <w:numId w:val="4"/>
        </w:numPr>
        <w:spacing w:after="60"/>
      </w:pPr>
      <w:r>
        <w:rPr>
          <w:rFonts w:ascii="Arial" w:cs="Arial" w:eastAsia="Arial" w:hAnsi="Arial"/>
          <w:sz w:val="22"/>
          <w:szCs w:val="22"/>
        </w:rPr>
        <w:t xml:space="preserve">The contracts deploy to {name}-mcp.spike.land as a running app</w:t>
      </w:r>
    </w:p>
    <w:p>
      <w:pPr>
        <w:pStyle w:val="ListParagraph"/>
        <w:numPr>
          <w:ilvl w:val="0"/>
          <w:numId w:val="4"/>
        </w:numPr>
        <w:spacing w:after="60"/>
      </w:pPr>
      <w:r>
        <w:rPr>
          <w:rFonts w:ascii="Arial" w:cs="Arial" w:eastAsia="Arial" w:hAnsi="Arial"/>
          <w:sz w:val="22"/>
          <w:szCs w:val="22"/>
        </w:rPr>
        <w:t xml:space="preserve">The app becomes platform inventory — discoverable, callable, composable</w:t>
      </w:r>
    </w:p>
    <w:p>
      <w:pPr>
        <w:spacing w:after="60"/>
      </w:pPr>
    </w:p>
    <w:p>
      <w:pPr>
        <w:pBdr>
          <w:left w:val="single" w:color="1B4F72" w:sz="12" w:space="8"/>
        </w:pBdr>
        <w:spacing w:after="120"/>
        <w:ind w:left="240"/>
      </w:pPr>
      <w:r>
        <w:rPr>
          <w:rFonts w:ascii="Arial" w:cs="Arial" w:eastAsia="Arial" w:hAnsi="Arial"/>
          <w:color w:val="2C3E50"/>
          <w:sz w:val="22"/>
          <w:szCs w:val="22"/>
        </w:rPr>
        <w:t xml:space="preserve">Every migration is onboarding. Every PRD engagement is a deployment. The platform grows by absorbing existing software and re-expressing it as typed, testable, multi-surface tool contracts.</w:t>
      </w:r>
    </w:p>
    <w:p>
      <w:pPr>
        <w:spacing w:after="60"/>
      </w:pPr>
    </w:p>
    <w:p>
      <w:pPr>
        <w:spacing w:after="120"/>
      </w:pPr>
      <w:r>
        <w:rPr>
          <w:rFonts w:ascii="Arial" w:cs="Arial" w:eastAsia="Arial" w:hAnsi="Arial"/>
          <w:sz w:val="22"/>
          <w:szCs w:val="22"/>
        </w:rPr>
        <w:t xml:space="preserve">This reframes the migration service: it is not just "move your Next.js app to Cloudflare." It is "absorb your product into the spike.land runtime as typed tool contracts."</w:t>
      </w:r>
    </w:p>
    <w:p>
      <w:pPr>
        <w:spacing w:after="60"/>
      </w:pPr>
    </w:p>
    <w:p>
      <w:pPr>
        <w:pStyle w:val="Heading2"/>
        <w:spacing w:after="150" w:before="300"/>
      </w:pPr>
      <w:r>
        <w:rPr>
          <w:rFonts w:ascii="Arial" w:cs="Arial" w:eastAsia="Arial" w:hAnsi="Arial"/>
          <w:b/>
          <w:bCs/>
        </w:rPr>
        <w:t xml:space="preserve">3D. Native Agent Testing Insight</w:t>
      </w:r>
    </w:p>
    <w:p>
      <w:pPr>
        <w:spacing w:after="120"/>
      </w:pPr>
      <w:r>
        <w:rPr>
          <w:rFonts w:ascii="Arial" w:cs="Arial" w:eastAsia="Arial" w:hAnsi="Arial"/>
          <w:sz w:val="22"/>
          <w:szCs w:val="22"/>
        </w:rPr>
        <w:t xml:space="preserve">The final discovery in Session 2 is a research-grade insight about testing economics.</w:t>
      </w:r>
    </w:p>
    <w:p>
      <w:pPr>
        <w:spacing w:after="60"/>
      </w:pPr>
    </w:p>
    <w:p>
      <w:pPr>
        <w:spacing w:after="120"/>
      </w:pPr>
      <w:r>
        <w:rPr>
          <w:rFonts w:ascii="Arial" w:cs="Arial" w:eastAsia="Arial" w:hAnsi="Arial"/>
          <w:sz w:val="22"/>
          <w:szCs w:val="22"/>
        </w:rPr>
        <w:t xml:space="preserve">When a human writes unit tests, they translate business intent into test assertions. That translation is where bugs hide. When an agent tests an MCP tool, it calls a typed contract in the same protocol it already speaks natively. No translation. No test harness. No browser. No DOM. No simulation layer.</w:t>
      </w:r>
    </w:p>
    <w:p>
      <w:pPr>
        <w:spacing w:after="60"/>
      </w:pPr>
    </w:p>
    <w:p>
      <w:pPr>
        <w:pBdr>
          <w:left w:val="single" w:color="1B4F72" w:sz="12" w:space="8"/>
        </w:pBdr>
        <w:spacing w:after="120"/>
        <w:ind w:left="240"/>
      </w:pPr>
      <w:r>
        <w:rPr>
          <w:rFonts w:ascii="Arial" w:cs="Arial" w:eastAsia="Arial" w:hAnsi="Arial"/>
          <w:color w:val="2C3E50"/>
          <w:sz w:val="22"/>
          <w:szCs w:val="22"/>
        </w:rPr>
        <w:t xml:space="preserve">MCP is the agent’s native language. Testing cost approaches zero when the verification language and the execution language are the same.</w:t>
      </w:r>
    </w:p>
    <w:p>
      <w:pPr>
        <w:spacing w:after="60"/>
      </w:pPr>
    </w:p>
    <w:p>
      <w:pPr>
        <w:spacing w:after="120"/>
      </w:pPr>
      <w:r>
        <w:rPr>
          <w:rFonts w:ascii="Arial" w:cs="Arial" w:eastAsia="Arial" w:hAnsi="Arial"/>
          <w:sz w:val="22"/>
          <w:szCs w:val="22"/>
        </w:rPr>
        <w:t xml:space="preserve">This is flagged as a research direction, not a current pitch point. The investor representative recommended including it in the Ali Somer technical diligence walk-through, not in the lead deck.</w:t>
      </w:r>
    </w:p>
    <w:p>
      <w:pPr>
        <w:spacing w:after="60"/>
      </w:pPr>
    </w:p>
    <w:p>
      <w:pPr>
        <w:pStyle w:val="Heading1"/>
        <w:spacing w:after="150" w:before="300"/>
      </w:pPr>
      <w:r>
        <w:rPr>
          <w:rFonts w:ascii="Arial" w:cs="Arial" w:eastAsia="Arial" w:hAnsi="Arial"/>
          <w:b/>
          <w:bCs/>
        </w:rPr>
        <w:t xml:space="preserve">4. Key Evidence: Gian Pierre</w:t>
      </w:r>
    </w:p>
    <w:p>
      <w:pPr>
        <w:spacing w:after="120"/>
      </w:pPr>
      <w:r>
        <w:rPr>
          <w:rFonts w:ascii="Arial" w:cs="Arial" w:eastAsia="Arial" w:hAnsi="Arial"/>
          <w:sz w:val="22"/>
          <w:szCs w:val="22"/>
        </w:rPr>
        <w:t xml:space="preserve">Gian Pierre (gianpierre.co.uk) is a chemist who shipped three production applications on spike.land: GlassBank, HealthBridge, and a coaching platform. He started with requirements — capabilities, constraints, user outcomes — formalized them as MCP tools, and the platform turned those into working software.</w:t>
      </w:r>
    </w:p>
    <w:p>
      <w:pPr>
        <w:spacing w:after="60"/>
      </w:pPr>
    </w:p>
    <w:p>
      <w:pPr>
        <w:spacing w:after="120"/>
      </w:pPr>
      <w:r>
        <w:rPr>
          <w:rFonts w:ascii="Arial" w:cs="Arial" w:eastAsia="Arial" w:hAnsi="Arial"/>
          <w:sz w:val="22"/>
          <w:szCs w:val="22"/>
        </w:rPr>
        <w:t xml:space="preserve">This is evidence that the BAZDMEG method can cross the developer boundary when business logic is made explicit enough. It is not yet statistical proof of universal scalability. The investor representative pressed: "Is Gian Pierre replicable, or is he an exceptional individual?" This remains an open question and should be tested with additional users.</w:t>
      </w:r>
    </w:p>
    <w:p>
      <w:pPr>
        <w:spacing w:after="60"/>
      </w:pPr>
    </w:p>
    <w:p>
      <w:pPr>
        <w:pStyle w:val="Heading1"/>
        <w:spacing w:after="150" w:before="300"/>
      </w:pPr>
      <w:r>
        <w:rPr>
          <w:rFonts w:ascii="Arial" w:cs="Arial" w:eastAsia="Arial" w:hAnsi="Arial"/>
          <w:b/>
          <w:bCs/>
        </w:rPr>
        <w:t xml:space="preserve">5. Key Evidence: Migration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case study documentation across 8 real Next.js projects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£1,000</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Automated repo-level migration pass with reviewable diff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MCP migration server with PR generation and 1yr maintenance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£100,000</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Fix Next.js upstream to run natively on Cloudflare Workers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Browser-native Next.js runtime with zero install</w:t>
            </w:r>
          </w:p>
        </w:tc>
      </w:tr>
    </w:tbl>
    <w:p>
      <w:pPr>
        <w:spacing w:after="60"/>
      </w:pPr>
    </w:p>
    <w:p>
      <w:pPr>
        <w:spacing w:after="120"/>
      </w:pPr>
      <w:r>
        <w:rPr>
          <w:rFonts w:ascii="Arial" w:cs="Arial" w:eastAsia="Arial" w:hAnsi="Arial"/>
          <w:sz w:val="22"/>
          <w:szCs w:val="22"/>
        </w:rPr>
        <w:t xml:space="preserve">This is the most commercially concrete asset and the fastest path to bridge revenue. Through the absorption loop lens, each migration also adds an app to platform inventory.</w:t>
      </w:r>
    </w:p>
    <w:p>
      <w:r>
        <w:br w:type="page"/>
      </w:r>
    </w:p>
    <w:p>
      <w:pPr>
        <w:pStyle w:val="Heading1"/>
        <w:spacing w:after="150" w:before="300"/>
      </w:pPr>
      <w:r>
        <w:rPr>
          <w:rFonts w:ascii="Arial" w:cs="Arial" w:eastAsia="Arial" w:hAnsi="Arial"/>
          <w:b/>
          <w:bCs/>
        </w:rPr>
        <w:t xml:space="preserve">6. Strategic Risk Assessment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 in bank. Platform concentrated in one person.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via migration revenue; first raise funds 2nd engineer + docs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Credentials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Ongoing credential leakage reported</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Immediate key rotation and audit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GTM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sales function. Founder has not closed a B2B deal.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hire: Head of Growth/DevRel with closing 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Method Scale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BAZDMEG proven with one exceptional user, not statistically validated</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Test with mid-level analysts; add templates and guardrails</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ship MCP registry as first-party feature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workflow layer before vendors notice category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MCP Protocol</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May not become universal if OpenAI/Google fragment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Tool layer exposed via REST as fallback</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PRD-to-App Gap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implemented today; maturity and failure rate unknown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demo with failure case required for diligence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bl>
    <w:p>
      <w:pPr>
        <w:spacing w:after="60"/>
      </w:pPr>
    </w:p>
    <w:p>
      <w:pPr>
        <w:pStyle w:val="Heading1"/>
        <w:spacing w:after="150" w:before="300"/>
      </w:pPr>
      <w:r>
        <w:rPr>
          <w:rFonts w:ascii="Arial" w:cs="Arial" w:eastAsia="Arial" w:hAnsi="Arial"/>
          <w:b/>
          <w:bCs/>
        </w:rPr>
        <w:t xml:space="preserve">7. Founder Situation Assessment</w:t>
      </w:r>
    </w:p>
    <w:p>
      <w:pPr>
        <w:pBdr>
          <w:left w:val="single" w:color="C0392B" w:sz="12" w:space="8"/>
        </w:pBdr>
        <w:spacing w:after="120"/>
        <w:ind w:left="240"/>
      </w:pPr>
      <w:r>
        <w:rPr>
          <w:rFonts w:ascii="Arial" w:cs="Arial" w:eastAsia="Arial" w:hAnsi="Arial"/>
          <w:color w:val="C0392B"/>
          <w:sz w:val="22"/>
          <w:szCs w:val="22"/>
        </w:rPr>
        <w:t xml:space="preserve">CRITICAL: £204 remaining. Rent due. Credential leakage. Founder disclosed intention to delete repo and seek employment if situation does not stabilise.</w:t>
      </w:r>
    </w:p>
    <w:p>
      <w:pPr>
        <w:spacing w:after="60"/>
      </w:pPr>
    </w:p>
    <w:p>
      <w:pPr>
        <w:pStyle w:val="Heading3"/>
        <w:spacing w:after="150" w:before="300"/>
      </w:pPr>
      <w:r>
        <w:rPr>
          <w:rFonts w:ascii="Arial" w:cs="Arial" w:eastAsia="Arial" w:hAnsi="Arial"/>
          <w:b/>
          <w:bCs/>
        </w:rPr>
        <w:t xml:space="preserve">Do NOT Do</w:t>
      </w:r>
    </w:p>
    <w:p>
      <w:pPr>
        <w:pStyle w:val="ListParagraph"/>
        <w:numPr>
          <w:ilvl w:val="0"/>
          <w:numId w:val="2"/>
        </w:numPr>
        <w:spacing w:after="60"/>
      </w:pPr>
      <w:r>
        <w:rPr>
          <w:rFonts w:ascii="Arial" w:cs="Arial" w:eastAsia="Arial" w:hAnsi="Arial"/>
          <w:sz w:val="22"/>
          <w:szCs w:val="22"/>
        </w:rPr>
        <w:t xml:space="preserve">Do not make equity decisions under financial pressure (the 10% offer to former colleagues should be parked)</w:t>
      </w:r>
    </w:p>
    <w:p>
      <w:pPr>
        <w:pStyle w:val="ListParagraph"/>
        <w:numPr>
          <w:ilvl w:val="0"/>
          <w:numId w:val="2"/>
        </w:numPr>
        <w:spacing w:after="60"/>
      </w:pPr>
      <w:r>
        <w:rPr>
          <w:rFonts w:ascii="Arial" w:cs="Arial" w:eastAsia="Arial" w:hAnsi="Arial"/>
          <w:sz w:val="22"/>
          <w:szCs w:val="22"/>
        </w:rPr>
        <w:t xml:space="preserve">Do not delete the repository — it is the most valuable asset</w:t>
      </w:r>
    </w:p>
    <w:p>
      <w:pPr>
        <w:pStyle w:val="ListParagraph"/>
        <w:numPr>
          <w:ilvl w:val="0"/>
          <w:numId w:val="2"/>
        </w:numPr>
        <w:spacing w:after="60"/>
      </w:pPr>
      <w:r>
        <w:rPr>
          <w:rFonts w:ascii="Arial" w:cs="Arial" w:eastAsia="Arial" w:hAnsi="Arial"/>
          <w:sz w:val="22"/>
          <w:szCs w:val="22"/>
        </w:rPr>
        <w:t xml:space="preserve">Do not accept unfavourable terms due to desperation</w:t>
      </w:r>
    </w:p>
    <w:p>
      <w:pPr>
        <w:spacing w:after="60"/>
      </w:pPr>
    </w:p>
    <w:p>
      <w:pPr>
        <w:pStyle w:val="Heading3"/>
        <w:spacing w:after="150" w:before="300"/>
      </w:pPr>
      <w:r>
        <w:rPr>
          <w:rFonts w:ascii="Arial" w:cs="Arial" w:eastAsia="Arial" w:hAnsi="Arial"/>
          <w:b/>
          <w:bCs/>
        </w:rPr>
        <w:t xml:space="preserve">Immediate Actions Required</w:t>
      </w:r>
    </w:p>
    <w:p>
      <w:pPr>
        <w:pStyle w:val="ListParagraph"/>
        <w:numPr>
          <w:ilvl w:val="0"/>
          <w:numId w:val="5"/>
        </w:numPr>
        <w:spacing w:after="60"/>
      </w:pPr>
      <w:r>
        <w:rPr>
          <w:rFonts w:ascii="Arial" w:cs="Arial" w:eastAsia="Arial" w:hAnsi="Arial"/>
          <w:sz w:val="22"/>
          <w:szCs w:val="22"/>
        </w:rPr>
        <w:t xml:space="preserve">Close migration service revenue: send Tier 1/2 offers to 5 agency contacts this week</w:t>
      </w:r>
    </w:p>
    <w:p>
      <w:pPr>
        <w:pStyle w:val="ListParagraph"/>
        <w:numPr>
          <w:ilvl w:val="0"/>
          <w:numId w:val="5"/>
        </w:numPr>
        <w:spacing w:after="60"/>
      </w:pPr>
      <w:r>
        <w:rPr>
          <w:rFonts w:ascii="Arial" w:cs="Arial" w:eastAsia="Arial" w:hAnsi="Arial"/>
          <w:sz w:val="22"/>
          <w:szCs w:val="22"/>
        </w:rPr>
        <w:t xml:space="preserve">Contact Ali Somer for bridge work, warm intros, or structured advisory arrangement (not equity gift)</w:t>
      </w:r>
    </w:p>
    <w:p>
      <w:pPr>
        <w:pStyle w:val="ListParagraph"/>
        <w:numPr>
          <w:ilvl w:val="0"/>
          <w:numId w:val="5"/>
        </w:numPr>
        <w:spacing w:after="60"/>
      </w:pPr>
      <w:r>
        <w:rPr>
          <w:rFonts w:ascii="Arial" w:cs="Arial" w:eastAsia="Arial" w:hAnsi="Arial"/>
          <w:sz w:val="22"/>
          <w:szCs w:val="22"/>
        </w:rPr>
        <w:t xml:space="preserve">Rotate all leaked credentials and audit exposure immediately</w:t>
      </w:r>
    </w:p>
    <w:p>
      <w:pPr>
        <w:pStyle w:val="ListParagraph"/>
        <w:numPr>
          <w:ilvl w:val="0"/>
          <w:numId w:val="5"/>
        </w:numPr>
        <w:spacing w:after="60"/>
      </w:pPr>
      <w:r>
        <w:rPr>
          <w:rFonts w:ascii="Arial" w:cs="Arial" w:eastAsia="Arial" w:hAnsi="Arial"/>
          <w:sz w:val="22"/>
          <w:szCs w:val="22"/>
        </w:rPr>
        <w:t xml:space="preserve">Reframe personal situation for investor meetings: “early revenue from migration service, platform proof point, method that works”</w:t>
      </w:r>
    </w:p>
    <w:p>
      <w:pPr>
        <w:spacing w:after="60"/>
      </w:pPr>
    </w:p>
    <w:p>
      <w:pPr>
        <w:pStyle w:val="Heading1"/>
        <w:spacing w:after="150" w:before="300"/>
      </w:pPr>
      <w:r>
        <w:rPr>
          <w:rFonts w:ascii="Arial" w:cs="Arial" w:eastAsia="Arial" w:hAnsi="Arial"/>
          <w:b/>
          <w:bCs/>
        </w:rPr>
        <w:t xml:space="preserve">8. Conditions for Investment Progression</w:t>
      </w:r>
    </w:p>
    <w:p>
      <w:pPr>
        <w:spacing w:after="120"/>
      </w:pPr>
      <w:r>
        <w:rPr>
          <w:rFonts w:ascii="Arial" w:cs="Arial" w:eastAsia="Arial" w:hAnsi="Arial"/>
          <w:sz w:val="22"/>
          <w:szCs w:val="22"/>
        </w:rPr>
        <w:t xml:space="preserve">The Investec representative set three conditions before taking the investment to internal committee:</w:t>
      </w:r>
    </w:p>
    <w:p>
      <w:pPr>
        <w:spacing w:after="60"/>
      </w:pPr>
    </w:p>
    <w:p>
      <w:pPr>
        <w:pStyle w:val="ListParagraph"/>
        <w:numPr>
          <w:ilvl w:val="0"/>
          <w:numId w:val="6"/>
        </w:numPr>
        <w:spacing w:after="60"/>
      </w:pPr>
      <w:r>
        <w:rPr>
          <w:rFonts w:ascii="Arial" w:cs="Arial" w:eastAsia="Arial" w:hAnsi="Arial"/>
          <w:sz w:val="22"/>
          <w:szCs w:val="22"/>
        </w:rPr>
        <w:t xml:space="preserve">Honest deck: Keep QA wedge as first commercial motion. BAZDMEG pipeline, absorption loop, and PRD-to-app evidence in appendix as strategic upside case, not base case.</w:t>
      </w:r>
    </w:p>
    <w:p>
      <w:pPr>
        <w:pStyle w:val="ListParagraph"/>
        <w:numPr>
          <w:ilvl w:val="0"/>
          <w:numId w:val="6"/>
        </w:numPr>
        <w:spacing w:after="60"/>
      </w:pPr>
      <w:r>
        <w:rPr>
          <w:rFonts w:ascii="Arial" w:cs="Arial" w:eastAsia="Arial" w:hAnsi="Arial"/>
          <w:sz w:val="22"/>
          <w:szCs w:val="22"/>
        </w:rPr>
        <w:t xml:space="preserve">Founder situation stabilised: Bridge revenue from migration service, credential cleanup, no equity decisions under duress.</w:t>
      </w:r>
    </w:p>
    <w:p>
      <w:pPr>
        <w:pStyle w:val="ListParagraph"/>
        <w:numPr>
          <w:ilvl w:val="0"/>
          <w:numId w:val="6"/>
        </w:numPr>
        <w:spacing w:after="60"/>
      </w:pPr>
      <w:r>
        <w:rPr>
          <w:rFonts w:ascii="Arial" w:cs="Arial" w:eastAsia="Arial" w:hAnsi="Arial"/>
          <w:sz w:val="22"/>
          <w:szCs w:val="22"/>
        </w:rPr>
        <w:t xml:space="preserve">Live demo for Ali Somer diligence: End-to-end pipeline on an unseen product. Must include a failure case showing where human-in-the-loop kicks in and a quality gate catching bad output.</w:t>
      </w:r>
    </w:p>
    <w:p>
      <w:pPr>
        <w:spacing w:after="60"/>
      </w:pPr>
    </w:p>
    <w:p>
      <w:pPr>
        <w:pBdr>
          <w:left w:val="single" w:color="1B4F72" w:sz="8" w:space="8"/>
        </w:pBdr>
        <w:spacing w:after="120"/>
        <w:ind w:left="480"/>
      </w:pPr>
      <w:r>
        <w:rPr>
          <w:rFonts w:ascii="Arial" w:cs="Arial" w:eastAsia="Arial" w:hAnsi="Arial"/>
          <w:i/>
          <w:iCs/>
          <w:color w:val="2C3E50"/>
          <w:sz w:val="22"/>
          <w:szCs w:val="22"/>
        </w:rPr>
        <w:t xml:space="preserve">"If you can demonstrate the full loop — screenshots in, PRD out, deployed MCP app running — in front of Ali during the technical diligence, that changes the conversation from ‘interesting pre-seed bet’ to ‘this might actually be a category-defining platform.’"</w:t>
      </w:r>
    </w:p>
    <w:p>
      <w:pPr>
        <w:spacing w:after="60"/>
      </w:pPr>
    </w:p>
    <w:p>
      <w:pPr>
        <w:pStyle w:val="Heading1"/>
        <w:spacing w:after="150" w:before="300"/>
      </w:pPr>
      <w:r>
        <w:rPr>
          <w:rFonts w:ascii="Arial" w:cs="Arial" w:eastAsia="Arial" w:hAnsi="Arial"/>
          <w:b/>
          <w:bCs/>
        </w:rPr>
        <w:t xml:space="preserve">9. What Changed Between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Session 1 Understanding</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Session 2 Understanding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spike.land 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MCP registry + hosting layer for developer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framework where deployed MCP = running app with derived UI</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The moat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Registry + workflow layer above Cloudflare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BAZDMEG method: business logic absorption 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 mechanism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discover registry, publish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Absorption loop: every migration/PRD adds inventory to platform</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Testing economics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Tool-first testing faster than browser testing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Testing nearly free: agents verify MCP tools in their native language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ceiling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infrastructure for agencies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target for all AI-generated software</w:t>
            </w:r>
          </w:p>
        </w:tc>
      </w:tr>
    </w:tbl>
    <w:p>
      <w:pPr>
        <w:spacing w:after="60"/>
      </w:pPr>
    </w:p>
    <w:p>
      <w:pPr>
        <w:pStyle w:val="Heading1"/>
        <w:spacing w:after="150" w:before="300"/>
      </w:pPr>
      <w:r>
        <w:rPr>
          <w:rFonts w:ascii="Arial" w:cs="Arial" w:eastAsia="Arial" w:hAnsi="Arial"/>
          <w:b/>
          <w:bCs/>
        </w:rPr>
        <w:t xml:space="preserve">10.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80"/>
        <w:gridCol w:w="2140"/>
        <w:gridCol w:w="214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leaked credentials and audit exposure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Zoltan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Immediately</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Send migration service offers to 5 agency contacts</w:t>
            </w:r>
          </w:p>
        </w:tc>
        <w:tc>
          <w:tcPr>
            <w:tcW w:type="dxa" w:w="21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Zoltan</w:t>
            </w:r>
          </w:p>
        </w:tc>
        <w:tc>
          <w:tcPr>
            <w:tcW w:type="dxa" w:w="21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This week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Ali Somer re: bridge work or warm introductions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Zoltan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Send tightened two-pager + appendix to Investec contact</w:t>
            </w:r>
          </w:p>
        </w:tc>
        <w:tc>
          <w:tcPr>
            <w:tcW w:type="dxa" w:w="21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Zoltan</w:t>
            </w:r>
          </w:p>
        </w:tc>
        <w:tc>
          <w:tcPr>
            <w:tcW w:type="dxa" w:w="21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Next week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live demo: unseen product through full pipeline with failure case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Zoltan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diligence</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w:t>
            </w:r>
          </w:p>
        </w:tc>
        <w:tc>
          <w:tcPr>
            <w:tcW w:type="dxa" w:w="4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Schedule technical diligence walk-through with Ali Somer</w:t>
            </w:r>
          </w:p>
        </w:tc>
        <w:tc>
          <w:tcPr>
            <w:tcW w:type="dxa" w:w="21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Both</w:t>
            </w:r>
          </w:p>
        </w:tc>
        <w:tc>
          <w:tcPr>
            <w:tcW w:type="dxa" w:w="21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After materials</w:t>
            </w:r>
          </w:p>
        </w:tc>
      </w:tr>
    </w:tbl>
    <w:p>
      <w:pPr>
        <w:spacing w:after="60"/>
      </w:pPr>
    </w:p>
    <w:p>
      <w:pPr>
        <w:pBdr>
          <w:bottom w:val="single" w:color="1B4F72" w:sz="6" w:space="1"/>
        </w:pBdr>
        <w:spacing w:after="200" w:before="200"/>
      </w:pPr>
    </w:p>
    <w:p>
      <w:pPr>
        <w:spacing w:after="60"/>
      </w:pPr>
    </w:p>
    <w:p>
      <w:pPr>
        <w:spacing w:after="120"/>
        <w:jc w:val="center"/>
      </w:pPr>
      <w:r>
        <w:rPr>
          <w:rFonts w:ascii="Arial" w:cs="Arial" w:eastAsia="Arial" w:hAnsi="Arial"/>
          <w:i/>
          <w:iCs/>
          <w:color w:val="7F8C8D"/>
          <w:sz w:val="20"/>
          <w:szCs w:val="20"/>
        </w:rPr>
        <w:t xml:space="preserve">End of Report</w:t>
      </w:r>
    </w:p>
    <w:p>
      <w:pPr>
        <w:jc w:val="center"/>
      </w:pPr>
      <w:r>
        <w:rPr>
          <w:rFonts w:ascii="Arial" w:cs="Arial" w:eastAsia="Arial" w:hAnsi="Arial"/>
          <w:color w:val="7F8C8D"/>
          <w:sz w:val="18"/>
          <w:szCs w:val="18"/>
        </w:rPr>
        <w:t xml:space="preserve">Version 2.0 — 11 March 2026 — Spike Land Ltd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Confidential</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7F8C8D"/>
        <w:sz w:val="16"/>
        <w:szCs w:val="16"/>
      </w:rPr>
      <w:t xml:space="preserve">SPIKE LAND LTD — Investec Negotiation Report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2026-03-11T03:05:35.273Z</dcterms:created>
  <dcterms:modified xsi:type="dcterms:W3CDTF">2026-03-11T03:05:35.273Z</dcterms:modified>
</cp:coreProperties>
</file>

<file path=docProps/custom.xml><?xml version="1.0" encoding="utf-8"?>
<Properties xmlns="http://schemas.openxmlformats.org/officeDocument/2006/custom-properties" xmlns:vt="http://schemas.openxmlformats.org/officeDocument/2006/docPropsVTypes"/>
</file>