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1B4F72"/>
          <w:sz w:val="48"/>
          <w:szCs w:val="48"/>
        </w:rPr>
        <w:t xml:space="preserve">SPIKE LAND LTD</w:t>
      </w:r>
    </w:p>
    <w:p>
      <w:pPr>
        <w:spacing w:after="200"/>
        <w:jc w:val="center"/>
      </w:pPr>
      <w:r>
        <w:rPr>
          <w:rFonts w:ascii="Arial" w:cs="Arial" w:eastAsia="Arial" w:hAnsi="Arial"/>
          <w:color w:val="2C3E50"/>
          <w:sz w:val="36"/>
          <w:szCs w:val="36"/>
        </w:rPr>
        <w:t xml:space="preserve">Investec Pitch — Technical Appendix</w:t>
      </w:r>
    </w:p>
    <w:p>
      <w:pPr>
        <w:pBdr>
          <w:bottom w:val="single" w:color="1B4F72" w:sz="6" w:space="1"/>
        </w:pBdr>
        <w:spacing w:after="200" w:before="200"/>
      </w:pPr>
    </w:p>
    <w:p>
      <w:pPr>
        <w:spacing w:after="80"/>
        <w:jc w:val="center"/>
      </w:pPr>
      <w:r>
        <w:rPr>
          <w:rFonts w:ascii="Arial" w:cs="Arial" w:eastAsia="Arial" w:hAnsi="Arial"/>
          <w:color w:val="7F8C8D"/>
          <w:sz w:val="22"/>
          <w:szCs w:val="22"/>
        </w:rPr>
        <w:t xml:space="preserve">Strategic Upside Case: The BAZDMEG Pipeline,</w:t>
      </w:r>
    </w:p>
    <w:p>
      <w:pPr>
        <w:spacing w:after="80"/>
        <w:jc w:val="center"/>
      </w:pPr>
      <w:r>
        <w:rPr>
          <w:rFonts w:ascii="Arial" w:cs="Arial" w:eastAsia="Arial" w:hAnsi="Arial"/>
          <w:color w:val="7F8C8D"/>
          <w:sz w:val="22"/>
          <w:szCs w:val="22"/>
        </w:rPr>
        <w:t xml:space="preserve">PRD-to-Deployed-App Loop, App Absorption Flywheel,</w:t>
      </w:r>
    </w:p>
    <w:p>
      <w:pPr>
        <w:spacing w:after="300"/>
        <w:jc w:val="center"/>
      </w:pPr>
      <w:r>
        <w:rPr>
          <w:rFonts w:ascii="Arial" w:cs="Arial" w:eastAsia="Arial" w:hAnsi="Arial"/>
          <w:color w:val="7F8C8D"/>
          <w:sz w:val="22"/>
          <w:szCs w:val="22"/>
        </w:rPr>
        <w:t xml:space="preserve">and Native Agent Testing</w:t>
      </w:r>
    </w:p>
    <w:p>
      <w:pPr>
        <w:spacing w:after="60"/>
      </w:pPr>
    </w:p>
    <w:p>
      <w:pPr>
        <w:spacing w:after="60"/>
      </w:pPr>
    </w:p>
    <w:p>
      <w:pPr>
        <w:spacing w:after="60"/>
      </w:pPr>
    </w:p>
    <w:p>
      <w:pPr>
        <w:spacing w:after="6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Pr>
          <w:p>
            <w:pPr>
              <w:jc w:val="right"/>
            </w:pPr>
            <w:r>
              <w:rPr>
                <w:rFonts w:ascii="Arial" w:cs="Arial" w:eastAsia="Arial" w:hAnsi="Arial"/>
                <w:color w:val="7F8C8D"/>
                <w:sz w:val="20"/>
                <w:szCs w:val="20"/>
              </w:rPr>
              <w:t xml:space="preserve">Companion to:</w:t>
            </w:r>
          </w:p>
        </w:tc>
        <w:tc>
          <w:tcPr>
            <w:tcW w:type="dxa" w:w="2800"/>
            <w:tcBorders>
              <w:top w:val="none" w:sz="0"/>
              <w:left w:val="none" w:sz="0"/>
              <w:bottom w:val="none" w:sz="0"/>
              <w:right w:val="none" w:sz="0"/>
            </w:tcBorders>
          </w:tcPr>
          <w:p>
            <w:r>
              <w:rPr>
                <w:rFonts w:ascii="Arial" w:cs="Arial" w:eastAsia="Arial" w:hAnsi="Arial"/>
                <w:sz w:val="20"/>
                <w:szCs w:val="20"/>
              </w:rPr>
              <w:t xml:space="preserve">  INVESTEC_PITCH.md</w:t>
            </w:r>
          </w:p>
        </w:tc>
      </w:tr>
      <w:tr>
        <w:tc>
          <w:tcPr>
            <w:tcW w:type="dxa" w:w="2200"/>
            <w:tcBorders>
              <w:top w:val="none" w:sz="0"/>
              <w:left w:val="none" w:sz="0"/>
              <w:bottom w:val="none" w:sz="0"/>
              <w:right w:val="none" w:sz="0"/>
            </w:tcBorders>
          </w:tcPr>
          <w:p>
            <w:pPr>
              <w:jc w:val="right"/>
            </w:pPr>
            <w:r>
              <w:rPr>
                <w:rFonts w:ascii="Arial" w:cs="Arial" w:eastAsia="Arial" w:hAnsi="Arial"/>
                <w:color w:val="7F8C8D"/>
                <w:sz w:val="20"/>
                <w:szCs w:val="20"/>
              </w:rPr>
              <w:t xml:space="preserve">Date:</w:t>
            </w:r>
          </w:p>
        </w:tc>
        <w:tc>
          <w:tcPr>
            <w:tcW w:type="dxa" w:w="2800"/>
            <w:tcBorders>
              <w:top w:val="none" w:sz="0"/>
              <w:left w:val="none" w:sz="0"/>
              <w:bottom w:val="none" w:sz="0"/>
              <w:right w:val="none" w:sz="0"/>
            </w:tcBorders>
          </w:tcPr>
          <w:p>
            <w:r>
              <w:rPr>
                <w:rFonts w:ascii="Arial" w:cs="Arial" w:eastAsia="Arial" w:hAnsi="Arial"/>
                <w:sz w:val="20"/>
                <w:szCs w:val="20"/>
              </w:rPr>
              <w:t xml:space="preserve">  11 March 2026</w:t>
            </w:r>
          </w:p>
        </w:tc>
      </w:tr>
      <w:tr>
        <w:tc>
          <w:tcPr>
            <w:tcW w:type="dxa" w:w="2200"/>
            <w:tcBorders>
              <w:top w:val="none" w:sz="0"/>
              <w:left w:val="none" w:sz="0"/>
              <w:bottom w:val="none" w:sz="0"/>
              <w:right w:val="none" w:sz="0"/>
            </w:tcBorders>
          </w:tcPr>
          <w:p>
            <w:pPr>
              <w:jc w:val="right"/>
            </w:pPr>
            <w:r>
              <w:rPr>
                <w:rFonts w:ascii="Arial" w:cs="Arial" w:eastAsia="Arial" w:hAnsi="Arial"/>
                <w:color w:val="7F8C8D"/>
                <w:sz w:val="20"/>
                <w:szCs w:val="20"/>
              </w:rPr>
              <w:t xml:space="preserve">Classification:</w:t>
            </w:r>
          </w:p>
        </w:tc>
        <w:tc>
          <w:tcPr>
            <w:tcW w:type="dxa" w:w="2800"/>
            <w:tcBorders>
              <w:top w:val="none" w:sz="0"/>
              <w:left w:val="none" w:sz="0"/>
              <w:bottom w:val="none" w:sz="0"/>
              <w:right w:val="none" w:sz="0"/>
            </w:tcBorders>
          </w:tcPr>
          <w:p>
            <w:r>
              <w:rPr>
                <w:rFonts w:ascii="Arial" w:cs="Arial" w:eastAsia="Arial" w:hAnsi="Arial"/>
                <w:color w:val="C0392B"/>
                <w:sz w:val="20"/>
                <w:szCs w:val="20"/>
              </w:rPr>
              <w:t xml:space="preserve">  Confidential</w:t>
            </w:r>
          </w:p>
        </w:tc>
      </w:tr>
    </w:tbl>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Purpose</w:t>
      </w:r>
    </w:p>
    <w:p>
      <w:pPr>
        <w:spacing w:after="120"/>
      </w:pPr>
      <w:r>
        <w:rPr>
          <w:rFonts w:ascii="Arial" w:cs="Arial" w:eastAsia="Arial" w:hAnsi="Arial"/>
          <w:sz w:val="22"/>
          <w:szCs w:val="22"/>
        </w:rPr>
        <w:t xml:space="preserve">This appendix accompanies the Investec pitch brief. The brief describes the base case: a narrow QA wedge, honest risks, and an 18-month scorecard. This appendix describes the strategic upside case — technical evidence discovered during investor negotiation preparation that suggests the platform’s ceiling is materially higher than the base case implies.</w:t>
      </w:r>
    </w:p>
    <w:p>
      <w:pPr>
        <w:spacing w:after="60"/>
      </w:pPr>
    </w:p>
    <w:p>
      <w:pPr>
        <w:pBdr>
          <w:left w:val="single" w:color="1B4F72" w:sz="12" w:space="8"/>
        </w:pBdr>
        <w:spacing w:after="120"/>
        <w:ind w:left="240"/>
      </w:pPr>
      <w:r>
        <w:rPr>
          <w:rFonts w:ascii="Arial" w:cs="Arial" w:eastAsia="Arial" w:hAnsi="Arial"/>
          <w:color w:val="2C3E50"/>
          <w:sz w:val="22"/>
          <w:szCs w:val="22"/>
        </w:rPr>
        <w:t xml:space="preserve">Nothing in this appendix changes the base case or the kill criteria. It documents what the architecture can already do and where the upside sits if the base case succeeds.</w:t>
      </w:r>
    </w:p>
    <w:p>
      <w:pPr>
        <w:spacing w:after="60"/>
      </w:pPr>
    </w:p>
    <w:p>
      <w:pPr>
        <w:pStyle w:val="Heading1"/>
        <w:spacing w:after="150" w:before="300"/>
      </w:pPr>
      <w:r>
        <w:rPr>
          <w:rFonts w:ascii="Arial" w:cs="Arial" w:eastAsia="Arial" w:hAnsi="Arial"/>
          <w:b/>
          <w:bCs/>
        </w:rPr>
        <w:t xml:space="preserve">1. The BAZDMEG Method</w:t>
      </w:r>
    </w:p>
    <w:p>
      <w:pPr>
        <w:spacing w:after="120"/>
      </w:pPr>
      <w:r>
        <w:rPr>
          <w:rFonts w:ascii="Arial" w:cs="Arial" w:eastAsia="Arial" w:hAnsi="Arial"/>
          <w:sz w:val="22"/>
          <w:szCs w:val="22"/>
        </w:rPr>
        <w:t xml:space="preserve">BAZDMEG is spike.land’s quality gate system. It enforces discipline at three phases of AI-assisted development: pre-code, post-code, and pre-PR. The core principle:</w:t>
      </w:r>
    </w:p>
    <w:p>
      <w:pPr>
        <w:spacing w:after="60"/>
      </w:pPr>
    </w:p>
    <w:p>
      <w:pPr>
        <w:pBdr>
          <w:left w:val="single" w:color="1B4F72" w:sz="12" w:space="8"/>
        </w:pBdr>
        <w:spacing w:after="120"/>
        <w:ind w:left="240"/>
      </w:pPr>
      <w:r>
        <w:rPr>
          <w:rFonts w:ascii="Arial" w:cs="Arial" w:eastAsia="Arial" w:hAnsi="Arial"/>
          <w:color w:val="2C3E50"/>
          <w:sz w:val="22"/>
          <w:szCs w:val="22"/>
        </w:rPr>
        <w:t xml:space="preserve">Requirements are the product. Code is just the output.</w:t>
      </w:r>
    </w:p>
    <w:p>
      <w:pPr>
        <w:spacing w:after="60"/>
      </w:pPr>
    </w:p>
    <w:p>
      <w:pPr>
        <w:pStyle w:val="Heading2"/>
        <w:spacing w:after="150" w:before="300"/>
      </w:pPr>
      <w:r>
        <w:rPr>
          <w:rFonts w:ascii="Arial" w:cs="Arial" w:eastAsia="Arial" w:hAnsi="Arial"/>
          <w:b/>
          <w:bCs/>
        </w:rPr>
        <w:t xml:space="preserve">How It Works</w:t>
      </w:r>
    </w:p>
    <w:p>
      <w:pPr>
        <w:pStyle w:val="ListParagraph"/>
        <w:numPr>
          <w:ilvl w:val="0"/>
          <w:numId w:val="2"/>
        </w:numPr>
        <w:spacing w:after="60"/>
      </w:pPr>
      <w:r>
        <w:rPr>
          <w:rFonts w:ascii="Arial" w:cs="Arial" w:eastAsia="Arial" w:hAnsi="Arial"/>
          <w:sz w:val="22"/>
          <w:szCs w:val="22"/>
        </w:rPr>
        <w:t xml:space="preserve">Write a compact PRD: who the user is, what the system must do, what states exist, what must never happen, what counts as success, which edge cases matter</w:t>
      </w:r>
    </w:p>
    <w:p>
      <w:pPr>
        <w:pStyle w:val="ListParagraph"/>
        <w:numPr>
          <w:ilvl w:val="0"/>
          <w:numId w:val="2"/>
        </w:numPr>
        <w:spacing w:after="60"/>
      </w:pPr>
      <w:r>
        <w:rPr>
          <w:rFonts w:ascii="Arial" w:cs="Arial" w:eastAsia="Arial" w:hAnsi="Arial"/>
          <w:sz w:val="22"/>
          <w:szCs w:val="22"/>
        </w:rPr>
        <w:t xml:space="preserve">Compress the PRD until an agent can explain the business story back with the minimum number of tokens. If it can’t, the requirement is still fuzzy.</w:t>
      </w:r>
    </w:p>
    <w:p>
      <w:pPr>
        <w:pStyle w:val="ListParagraph"/>
        <w:numPr>
          <w:ilvl w:val="0"/>
          <w:numId w:val="2"/>
        </w:numPr>
        <w:spacing w:after="60"/>
      </w:pPr>
      <w:r>
        <w:rPr>
          <w:rFonts w:ascii="Arial" w:cs="Arial" w:eastAsia="Arial" w:hAnsi="Arial"/>
          <w:sz w:val="22"/>
          <w:szCs w:val="22"/>
        </w:rPr>
        <w:t xml:space="preserve">Formalize the requirements as typed MCP tool contracts: named capabilities with schemas, constraints, and plain language descriptions</w:t>
      </w:r>
    </w:p>
    <w:p>
      <w:pPr>
        <w:pStyle w:val="ListParagraph"/>
        <w:numPr>
          <w:ilvl w:val="0"/>
          <w:numId w:val="2"/>
        </w:numPr>
        <w:spacing w:after="60"/>
      </w:pPr>
      <w:r>
        <w:rPr>
          <w:rFonts w:ascii="Arial" w:cs="Arial" w:eastAsia="Arial" w:hAnsi="Arial"/>
          <w:sz w:val="22"/>
          <w:szCs w:val="22"/>
        </w:rPr>
        <w:t xml:space="preserve">Enforce quality gates: if a tool contract is vague, fix the contract. If a state transition is ambiguous, fix the PRD. If a test is missing, the requirement is not finished.</w:t>
      </w:r>
    </w:p>
    <w:p>
      <w:pPr>
        <w:pStyle w:val="ListParagraph"/>
        <w:numPr>
          <w:ilvl w:val="0"/>
          <w:numId w:val="2"/>
        </w:numPr>
        <w:spacing w:after="60"/>
      </w:pPr>
      <w:r>
        <w:rPr>
          <w:rFonts w:ascii="Arial" w:cs="Arial" w:eastAsia="Arial" w:hAnsi="Arial"/>
          <w:sz w:val="22"/>
          <w:szCs w:val="22"/>
        </w:rPr>
        <w:t xml:space="preserve">Test business logic through the tool contracts directly: validation, permissions, calculations, state transitions, failure paths. No browser. No DOM.</w:t>
      </w:r>
    </w:p>
    <w:p>
      <w:pPr>
        <w:spacing w:after="60"/>
      </w:pPr>
    </w:p>
    <w:p>
      <w:pPr>
        <w:pStyle w:val="Heading2"/>
        <w:spacing w:after="150" w:before="300"/>
      </w:pPr>
      <w:r>
        <w:rPr>
          <w:rFonts w:ascii="Arial" w:cs="Arial" w:eastAsia="Arial" w:hAnsi="Arial"/>
          <w:b/>
          <w:bCs/>
        </w:rPr>
        <w:t xml:space="preserve">Why It Matters</w:t>
      </w:r>
    </w:p>
    <w:p>
      <w:pPr>
        <w:spacing w:after="120"/>
      </w:pPr>
      <w:r>
        <w:rPr>
          <w:rFonts w:ascii="Arial" w:cs="Arial" w:eastAsia="Arial" w:hAnsi="Arial"/>
          <w:sz w:val="22"/>
          <w:szCs w:val="22"/>
        </w:rPr>
        <w:t xml:space="preserve">spike.land itself is built using this method. The platform is the proof that the method works. If the quality gates broke, the product would break. This creates a tight validation loop that does not depend on external evidence.</w:t>
      </w:r>
    </w:p>
    <w:p>
      <w:pPr>
        <w:spacing w:after="60"/>
      </w:pPr>
    </w:p>
    <w:p>
      <w:pPr>
        <w:spacing w:after="120"/>
      </w:pPr>
      <w:r>
        <w:rPr>
          <w:rFonts w:ascii="Arial" w:cs="Arial" w:eastAsia="Arial" w:hAnsi="Arial"/>
          <w:sz w:val="22"/>
          <w:szCs w:val="22"/>
        </w:rPr>
        <w:t xml:space="preserve">The method has also been validated by a non-developer: Gian Pierre (gianpierre.co.uk), a chemist, shipped three production applications (GlassBank, HealthBridge, coaching platform) on spike.land by starting with requirements and formalizing them as MCP tools. This is evidence that the method can cross the developer boundary. It is not yet statistical proof of universal scalability.</w:t>
      </w:r>
    </w:p>
    <w:p>
      <w:r>
        <w:br w:type="page"/>
      </w:r>
    </w:p>
    <w:p>
      <w:pPr>
        <w:pStyle w:val="Heading1"/>
        <w:spacing w:after="150" w:before="300"/>
      </w:pPr>
      <w:r>
        <w:rPr>
          <w:rFonts w:ascii="Arial" w:cs="Arial" w:eastAsia="Arial" w:hAnsi="Arial"/>
          <w:b/>
          <w:bCs/>
        </w:rPr>
        <w:t xml:space="preserve">2. The PRD-to-Deployed-App Pipeline</w:t>
      </w:r>
    </w:p>
    <w:p>
      <w:pPr>
        <w:spacing w:after="120"/>
      </w:pPr>
      <w:r>
        <w:rPr>
          <w:rFonts w:ascii="Arial" w:cs="Arial" w:eastAsia="Arial" w:hAnsi="Arial"/>
          <w:sz w:val="22"/>
          <w:szCs w:val="22"/>
        </w:rPr>
        <w:t xml:space="preserve">The most significant technical finding is that the BAZDMEG pipeline produces running software, not just documentation.</w:t>
      </w:r>
    </w:p>
    <w:p>
      <w:pPr>
        <w:spacing w:after="60"/>
      </w:pPr>
    </w:p>
    <w:p>
      <w:pPr>
        <w:pStyle w:val="Heading2"/>
        <w:spacing w:after="150" w:before="300"/>
      </w:pPr>
      <w:r>
        <w:rPr>
          <w:rFonts w:ascii="Arial" w:cs="Arial" w:eastAsia="Arial" w:hAnsi="Arial"/>
          <w:b/>
          <w:bCs/>
        </w:rPr>
        <w:t xml:space="preserve">The Full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description: screenshots, Figma, Notion, conversation, napkin sketch</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PRD Generation</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Agent compresses input into a compact PRD (capabilities, constraints, invariants, failure modes)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BAZDMEG Gates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gates enforce clarity: vague contracts get fixed, missing tests block progress</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4</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MCP Tool Contracts</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Requirements formalized as typed tool definitions with schemas and constraints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generated from tool contracts; business logic verified without browser</w:t>
            </w:r>
          </w:p>
        </w:tc>
      </w:tr>
      <w:tr>
        <w:tc>
          <w:tcPr>
            <w:tcW w:type="dxa" w:w="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6</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MCP server deployed to {name}-mcp.spike.land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Derivation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 (forms, buttons, tables, images, session flows) programmatically derived from tool contracts via MDX-based universal runner</w:t>
            </w:r>
          </w:p>
        </w:tc>
      </w:tr>
    </w:tbl>
    <w:p>
      <w:pPr>
        <w:spacing w:after="60"/>
      </w:pPr>
    </w:p>
    <w:p>
      <w:pPr>
        <w:pStyle w:val="Heading2"/>
        <w:spacing w:after="150" w:before="300"/>
      </w:pPr>
      <w:r>
        <w:rPr>
          <w:rFonts w:ascii="Arial" w:cs="Arial" w:eastAsia="Arial" w:hAnsi="Arial"/>
          <w:b/>
          <w:bCs/>
        </w:rPr>
        <w:t xml:space="preserve">Live Example</w:t>
      </w:r>
    </w:p>
    <w:p>
      <w:pPr>
        <w:spacing w:after="120"/>
      </w:pPr>
      <w:r>
        <w:rPr>
          <w:rFonts w:ascii="Arial" w:cs="Arial" w:eastAsia="Arial" w:hAnsi="Arial"/>
          <w:sz w:val="22"/>
          <w:szCs w:val="22"/>
        </w:rPr>
        <w:t xml:space="preserve">image-studio-mcp.spike.land is a working instance of this pattern. It is a deployed MCP server that IS the app. The subdomain identifies the app. The tool contracts define scoped capabilities (image tools only). The surface renders from the contracts and adapts to execution context.</w:t>
      </w:r>
    </w:p>
    <w:p>
      <w:pPr>
        <w:spacing w:after="60"/>
      </w:pPr>
    </w:p>
    <w:p>
      <w:pPr>
        <w:pStyle w:val="Heading2"/>
        <w:spacing w:after="150" w:before="300"/>
      </w:pPr>
      <w:r>
        <w:rPr>
          <w:rFonts w:ascii="Arial" w:cs="Arial" w:eastAsia="Arial" w:hAnsi="Arial"/>
          <w:b/>
          <w:bCs/>
        </w:rPr>
        <w:t xml:space="preserve">Demonstrated Workflow</w:t>
      </w:r>
    </w:p>
    <w:p>
      <w:pPr>
        <w:spacing w:after="120"/>
      </w:pPr>
      <w:r>
        <w:rPr>
          <w:rFonts w:ascii="Arial" w:cs="Arial" w:eastAsia="Arial" w:hAnsi="Arial"/>
          <w:sz w:val="22"/>
          <w:szCs w:val="22"/>
        </w:rPr>
        <w:t xml:space="preserve">During negotiation preparation, the founder demonstrated the pipeline live: screenshots from Apple Pages were sent to Gemini, which generated a PRD. The PRD was run through BAZDMEG quality gates in Claude Code. Output: a fully specified five-feature product document with phased delivery, feature flags, security model, backward compatibility, and typed tool contracts.</w:t>
      </w:r>
    </w:p>
    <w:p>
      <w:pPr>
        <w:spacing w:after="60"/>
      </w:pPr>
    </w:p>
    <w:p>
      <w:pPr>
        <w:pStyle w:val="Heading1"/>
        <w:spacing w:after="150" w:before="300"/>
      </w:pPr>
      <w:r>
        <w:rPr>
          <w:rFonts w:ascii="Arial" w:cs="Arial" w:eastAsia="Arial" w:hAnsi="Arial"/>
          <w:b/>
          <w:bCs/>
        </w:rPr>
        <w:t xml:space="preserve">3. Naming Convention as Architecture</w:t>
      </w:r>
    </w:p>
    <w:p>
      <w:pPr>
        <w:spacing w:after="120"/>
      </w:pPr>
      <w:r>
        <w:rPr>
          <w:rFonts w:ascii="Arial" w:cs="Arial" w:eastAsia="Arial" w:hAnsi="Arial"/>
          <w:sz w:val="22"/>
          <w:szCs w:val="22"/>
        </w:rPr>
        <w:t xml:space="preserve">The URL pattern {app-name}-mcp.spike.land is not cosmetic. It is the deployment architecture:</w:t>
      </w:r>
    </w:p>
    <w:p>
      <w:pPr>
        <w:spacing w:after="60"/>
      </w:pPr>
    </w:p>
    <w:p>
      <w:pPr>
        <w:pStyle w:val="ListParagraph"/>
        <w:numPr>
          <w:ilvl w:val="0"/>
          <w:numId w:val="3"/>
        </w:numPr>
        <w:spacing w:after="60"/>
      </w:pPr>
      <w:r>
        <w:rPr>
          <w:rFonts w:ascii="Arial" w:cs="Arial" w:eastAsia="Arial" w:hAnsi="Arial"/>
          <w:sz w:val="22"/>
          <w:szCs w:val="22"/>
        </w:rPr>
        <w:t xml:space="preserve">Each subdomain is a scoped MCP server</w:t>
      </w:r>
    </w:p>
    <w:p>
      <w:pPr>
        <w:pStyle w:val="ListParagraph"/>
        <w:numPr>
          <w:ilvl w:val="0"/>
          <w:numId w:val="3"/>
        </w:numPr>
        <w:spacing w:after="60"/>
      </w:pPr>
      <w:r>
        <w:rPr>
          <w:rFonts w:ascii="Arial" w:cs="Arial" w:eastAsia="Arial" w:hAnsi="Arial"/>
          <w:sz w:val="22"/>
          <w:szCs w:val="22"/>
        </w:rPr>
        <w:t xml:space="preserve">Tool contracts define both the API and the rendered surface</w:t>
      </w:r>
    </w:p>
    <w:p>
      <w:pPr>
        <w:pStyle w:val="ListParagraph"/>
        <w:numPr>
          <w:ilvl w:val="0"/>
          <w:numId w:val="3"/>
        </w:numPr>
        <w:spacing w:after="60"/>
      </w:pPr>
      <w:r>
        <w:rPr>
          <w:rFonts w:ascii="Arial" w:cs="Arial" w:eastAsia="Arial" w:hAnsi="Arial"/>
          <w:sz w:val="22"/>
          <w:szCs w:val="22"/>
        </w:rPr>
        <w:t xml:space="preserve">Tool scoping is architectural: each app only has access to its relevant tools</w:t>
      </w:r>
    </w:p>
    <w:p>
      <w:pPr>
        <w:pStyle w:val="ListParagraph"/>
        <w:numPr>
          <w:ilvl w:val="0"/>
          <w:numId w:val="3"/>
        </w:numPr>
        <w:spacing w:after="60"/>
      </w:pPr>
      <w:r>
        <w:rPr>
          <w:rFonts w:ascii="Arial" w:cs="Arial" w:eastAsia="Arial" w:hAnsi="Arial"/>
          <w:sz w:val="22"/>
          <w:szCs w:val="22"/>
        </w:rPr>
        <w:t xml:space="preserve">Every deployed app is discoverable by name and callable by agents</w:t>
      </w:r>
    </w:p>
    <w:p>
      <w:pPr>
        <w:pStyle w:val="ListParagraph"/>
        <w:numPr>
          <w:ilvl w:val="0"/>
          <w:numId w:val="3"/>
        </w:numPr>
        <w:spacing w:after="60"/>
      </w:pPr>
      <w:r>
        <w:rPr>
          <w:rFonts w:ascii="Arial" w:cs="Arial" w:eastAsia="Arial" w:hAnsi="Arial"/>
          <w:sz w:val="22"/>
          <w:szCs w:val="22"/>
        </w:rPr>
        <w:t xml:space="preserve">The same contracts serve browser, CLI, chat, and agent surfaces</w:t>
      </w:r>
    </w:p>
    <w:p>
      <w:pPr>
        <w:spacing w:after="60"/>
      </w:pPr>
    </w:p>
    <w:p>
      <w:pPr>
        <w:pStyle w:val="Heading1"/>
        <w:spacing w:after="150" w:before="300"/>
      </w:pPr>
      <w:r>
        <w:rPr>
          <w:rFonts w:ascii="Arial" w:cs="Arial" w:eastAsia="Arial" w:hAnsi="Arial"/>
          <w:b/>
          <w:bCs/>
        </w:rPr>
        <w:t xml:space="preserve">4. The App Absorption Flywheel</w:t>
      </w:r>
    </w:p>
    <w:p>
      <w:pPr>
        <w:spacing w:after="120"/>
      </w:pPr>
      <w:r>
        <w:rPr>
          <w:rFonts w:ascii="Arial" w:cs="Arial" w:eastAsia="Arial" w:hAnsi="Arial"/>
          <w:sz w:val="22"/>
          <w:szCs w:val="22"/>
        </w:rPr>
        <w:t xml:space="preserve">The combination of BAZDMEG + PRD-to-app creates a platform growth mechanism:</w:t>
      </w:r>
    </w:p>
    <w:p>
      <w:pPr>
        <w:spacing w:after="60"/>
      </w:pPr>
    </w:p>
    <w:p>
      <w:pPr>
        <w:pBdr>
          <w:left w:val="single" w:color="1B4F72" w:sz="12" w:space="8"/>
        </w:pBdr>
        <w:spacing w:after="120"/>
        <w:ind w:left="240"/>
      </w:pPr>
      <w:r>
        <w:rPr>
          <w:rFonts w:ascii="Arial" w:cs="Arial" w:eastAsia="Arial" w:hAnsi="Arial"/>
          <w:color w:val="2C3E50"/>
          <w:sz w:val="22"/>
          <w:szCs w:val="22"/>
        </w:rPr>
        <w:t xml:space="preserve">Every app that goes through the BAZDMEG pipeline becomes spike.land inventory. Every migration is onboarding. Every PRD engagement is a deployment. The platform grows by absorbing existing software.</w:t>
      </w:r>
    </w:p>
    <w:p>
      <w:pPr>
        <w:spacing w:after="60"/>
      </w:pPr>
    </w:p>
    <w:p>
      <w:pPr>
        <w:spacing w:after="120"/>
      </w:pPr>
      <w:r>
        <w:rPr>
          <w:rFonts w:ascii="Arial" w:cs="Arial" w:eastAsia="Arial" w:hAnsi="Arial"/>
          <w:sz w:val="22"/>
          <w:szCs w:val="22"/>
        </w:rPr>
        <w:t xml:space="preserve">This reframes the migration service. It is not just “move your Next.js app to Cloudflare Workers.” It is “absorb your product into the spike.land runtime as typed, testable, multi-surface tool contracts.”</w:t>
      </w:r>
    </w:p>
    <w:p>
      <w:pPr>
        <w:spacing w:after="60"/>
      </w:pPr>
    </w:p>
    <w:p>
      <w:pPr>
        <w:pStyle w:val="Heading2"/>
        <w:spacing w:after="150" w:before="300"/>
      </w:pPr>
      <w:r>
        <w:rPr>
          <w:rFonts w:ascii="Arial" w:cs="Arial" w:eastAsia="Arial" w:hAnsi="Arial"/>
          <w:b/>
          <w:bCs/>
        </w:rPr>
        <w:t xml:space="preserve">Implications</w:t>
      </w:r>
    </w:p>
    <w:p>
      <w:pPr>
        <w:pStyle w:val="ListParagraph"/>
        <w:numPr>
          <w:ilvl w:val="0"/>
          <w:numId w:val="3"/>
        </w:numPr>
        <w:spacing w:after="60"/>
      </w:pPr>
      <w:r>
        <w:rPr>
          <w:rFonts w:ascii="Arial" w:cs="Arial" w:eastAsia="Arial" w:hAnsi="Arial"/>
          <w:sz w:val="22"/>
          <w:szCs w:val="22"/>
        </w:rPr>
        <w:t xml:space="preserve">Supply side grows through commercial activity, not just developer evangelism</w:t>
      </w:r>
    </w:p>
    <w:p>
      <w:pPr>
        <w:pStyle w:val="ListParagraph"/>
        <w:numPr>
          <w:ilvl w:val="0"/>
          <w:numId w:val="3"/>
        </w:numPr>
        <w:spacing w:after="60"/>
      </w:pPr>
      <w:r>
        <w:rPr>
          <w:rFonts w:ascii="Arial" w:cs="Arial" w:eastAsia="Arial" w:hAnsi="Arial"/>
          <w:sz w:val="22"/>
          <w:szCs w:val="22"/>
        </w:rPr>
        <w:t xml:space="preserve">Each migration/PRD engagement adds discoverable, callable apps to the platform</w:t>
      </w:r>
    </w:p>
    <w:p>
      <w:pPr>
        <w:pStyle w:val="ListParagraph"/>
        <w:numPr>
          <w:ilvl w:val="0"/>
          <w:numId w:val="3"/>
        </w:numPr>
        <w:spacing w:after="60"/>
      </w:pPr>
      <w:r>
        <w:rPr>
          <w:rFonts w:ascii="Arial" w:cs="Arial" w:eastAsia="Arial" w:hAnsi="Arial"/>
          <w:sz w:val="22"/>
          <w:szCs w:val="22"/>
        </w:rPr>
        <w:t xml:space="preserve">Network effects compound: more apps = more composability = more value for agents</w:t>
      </w:r>
    </w:p>
    <w:p>
      <w:pPr>
        <w:pStyle w:val="ListParagraph"/>
        <w:numPr>
          <w:ilvl w:val="0"/>
          <w:numId w:val="3"/>
        </w:numPr>
        <w:spacing w:after="60"/>
      </w:pPr>
      <w:r>
        <w:rPr>
          <w:rFonts w:ascii="Arial" w:cs="Arial" w:eastAsia="Arial" w:hAnsi="Arial"/>
          <w:sz w:val="22"/>
          <w:szCs w:val="22"/>
        </w:rPr>
        <w:t xml:space="preserve">The platform is not waiting for developers to publish — it is actively converting existing software</w:t>
      </w:r>
    </w:p>
    <w:p>
      <w:pPr>
        <w:spacing w:after="60"/>
      </w:pPr>
    </w:p>
    <w:p>
      <w:pPr>
        <w:pStyle w:val="Heading1"/>
        <w:spacing w:after="150" w:before="300"/>
      </w:pPr>
      <w:r>
        <w:rPr>
          <w:rFonts w:ascii="Arial" w:cs="Arial" w:eastAsia="Arial" w:hAnsi="Arial"/>
          <w:b/>
          <w:bCs/>
        </w:rPr>
        <w:t xml:space="preserve">5. Native Agent Testing</w:t>
      </w:r>
    </w:p>
    <w:p>
      <w:pPr>
        <w:spacing w:after="120"/>
      </w:pPr>
      <w:r>
        <w:rPr>
          <w:rFonts w:ascii="Arial" w:cs="Arial" w:eastAsia="Arial" w:hAnsi="Arial"/>
          <w:sz w:val="22"/>
          <w:szCs w:val="22"/>
        </w:rPr>
        <w:t xml:space="preserve">This section is flagged as a research direction, not a current commercial claim.</w:t>
      </w:r>
    </w:p>
    <w:p>
      <w:pPr>
        <w:spacing w:after="60"/>
      </w:pPr>
    </w:p>
    <w:p>
      <w:pPr>
        <w:spacing w:after="120"/>
      </w:pPr>
      <w:r>
        <w:rPr>
          <w:rFonts w:ascii="Arial" w:cs="Arial" w:eastAsia="Arial" w:hAnsi="Arial"/>
          <w:sz w:val="22"/>
          <w:szCs w:val="22"/>
        </w:rPr>
        <w:t xml:space="preserve">When a human writes unit tests, they translate business intent into test assertions. That translation is where bugs hide. When an agent tests an MCP tool, it calls a typed contract in the same protocol it already speaks natively. No translation layer. No browser. No DOM. No simulation.</w:t>
      </w:r>
    </w:p>
    <w:p>
      <w:pPr>
        <w:spacing w:after="60"/>
      </w:pPr>
    </w:p>
    <w:p>
      <w:pPr>
        <w:pBdr>
          <w:left w:val="single" w:color="1B4F72" w:sz="12" w:space="8"/>
        </w:pBdr>
        <w:spacing w:after="120"/>
        <w:ind w:left="240"/>
      </w:pPr>
      <w:r>
        <w:rPr>
          <w:rFonts w:ascii="Arial" w:cs="Arial" w:eastAsia="Arial" w:hAnsi="Arial"/>
          <w:color w:val="2C3E50"/>
          <w:sz w:val="22"/>
          <w:szCs w:val="22"/>
        </w:rPr>
        <w:t xml:space="preserve">MCP is the agent’s native language. Testing cost approaches zero when the verification language and the execution language are the same.</w:t>
      </w:r>
    </w:p>
    <w:p>
      <w:pPr>
        <w:spacing w:after="60"/>
      </w:pPr>
    </w:p>
    <w:p>
      <w:pPr>
        <w:spacing w:after="120"/>
      </w:pPr>
      <w:r>
        <w:rPr>
          <w:rFonts w:ascii="Arial" w:cs="Arial" w:eastAsia="Arial" w:hAnsi="Arial"/>
          <w:sz w:val="22"/>
          <w:szCs w:val="22"/>
        </w:rPr>
        <w:t xml:space="preserve">This has not been formally benchmarked. It is an architectural observation with strong directional implications for testing economics at scale. It should be discussed during technical diligence with Ali Somer, not included in the lead investor pitch.</w:t>
      </w:r>
    </w:p>
    <w:p>
      <w:r>
        <w:br w:type="page"/>
      </w:r>
    </w:p>
    <w:p>
      <w:pPr>
        <w:pStyle w:val="Heading1"/>
        <w:spacing w:after="150" w:before="300"/>
      </w:pPr>
      <w:r>
        <w:rPr>
          <w:rFonts w:ascii="Arial" w:cs="Arial" w:eastAsia="Arial" w:hAnsi="Arial"/>
          <w:b/>
          <w:bCs/>
        </w:rPr>
        <w:t xml:space="preserve">6. What Works Today vs. What Needs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Works Today</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Needs 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BAZDMEG quality gates enforced in development workflow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Some gates still missing; human-in-the-loop still required</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PRD-to-MCP-tool-contract pipeline demonstrated live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PRD-to-app UI derivation implemented same day; maturity unknown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natively hosted tools + 533+ via multiplexer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developer publishing not yet validated at scale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image-studio-mcp.spike.land deployed as working example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Failure rate of pipeline on diverse inputs not benchmarked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Gian Pierre shipped 3 production apps as non-developer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 not tested with mid-level analysts or templates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Migration service published with real tiered pricing</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 confirmed revenue from migration tiers yet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spike.land itself built using BAZDMEG (self-hosting proof)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Codebase documentation and onboarding for new engineers incomplete</w:t>
            </w:r>
          </w:p>
        </w:tc>
      </w:tr>
    </w:tbl>
    <w:p>
      <w:pPr>
        <w:spacing w:after="60"/>
      </w:pPr>
    </w:p>
    <w:p>
      <w:pPr>
        <w:spacing w:after="120"/>
      </w:pPr>
      <w:r>
        <w:rPr>
          <w:rFonts w:ascii="Arial" w:cs="Arial" w:eastAsia="Arial" w:hAnsi="Arial"/>
          <w:sz w:val="22"/>
          <w:szCs w:val="22"/>
        </w:rPr>
        <w:t xml:space="preserve">This honest accounting is deliberate. The upside case is real. The gaps are ordinary engineering and commercial work, not fundamental architectural problems.</w:t>
      </w:r>
    </w:p>
    <w:p>
      <w:pPr>
        <w:spacing w:after="60"/>
      </w:pPr>
    </w:p>
    <w:p>
      <w:pPr>
        <w:pStyle w:val="Heading1"/>
        <w:spacing w:after="150" w:before="300"/>
      </w:pPr>
      <w:r>
        <w:rPr>
          <w:rFonts w:ascii="Arial" w:cs="Arial" w:eastAsia="Arial" w:hAnsi="Arial"/>
          <w:b/>
          <w:bCs/>
        </w:rPr>
        <w:t xml:space="preserve">7. References</w:t>
      </w:r>
    </w:p>
    <w:p>
      <w:pPr>
        <w:pStyle w:val="ListParagraph"/>
        <w:numPr>
          <w:ilvl w:val="0"/>
          <w:numId w:val="3"/>
        </w:numPr>
        <w:spacing w:after="60"/>
      </w:pPr>
      <w:r>
        <w:rPr>
          <w:rFonts w:ascii="Arial" w:cs="Arial" w:eastAsia="Arial" w:hAnsi="Arial"/>
          <w:sz w:val="22"/>
          <w:szCs w:val="22"/>
        </w:rPr>
        <w:t xml:space="preserve">Blog: "A Chemist Walked Into a Codebase" — spike.land/blog/a-chemist-walked-into-a-codebase</w:t>
      </w:r>
    </w:p>
    <w:p>
      <w:pPr>
        <w:pStyle w:val="ListParagraph"/>
        <w:numPr>
          <w:ilvl w:val="0"/>
          <w:numId w:val="3"/>
        </w:numPr>
        <w:spacing w:after="60"/>
      </w:pPr>
      <w:r>
        <w:rPr>
          <w:rFonts w:ascii="Arial" w:cs="Arial" w:eastAsia="Arial" w:hAnsi="Arial"/>
          <w:sz w:val="22"/>
          <w:szCs w:val="22"/>
        </w:rPr>
        <w:t xml:space="preserve">Blog: "We Migrate Next.js Apps Without Guesswork" — spike.land/blog/nextjs-migration-service</w:t>
      </w:r>
    </w:p>
    <w:p>
      <w:pPr>
        <w:pStyle w:val="ListParagraph"/>
        <w:numPr>
          <w:ilvl w:val="0"/>
          <w:numId w:val="3"/>
        </w:numPr>
        <w:spacing w:after="60"/>
      </w:pPr>
      <w:r>
        <w:rPr>
          <w:rFonts w:ascii="Arial" w:cs="Arial" w:eastAsia="Arial" w:hAnsi="Arial"/>
          <w:sz w:val="22"/>
          <w:szCs w:val="22"/>
        </w:rPr>
        <w:t xml:space="preserve">Blog: "The Vibe Coding Paradox" — spike.land/blog/the-vibe-coding-paradox</w:t>
      </w:r>
    </w:p>
    <w:p>
      <w:pPr>
        <w:pStyle w:val="ListParagraph"/>
        <w:numPr>
          <w:ilvl w:val="0"/>
          <w:numId w:val="3"/>
        </w:numPr>
        <w:spacing w:after="60"/>
      </w:pPr>
      <w:r>
        <w:rPr>
          <w:rFonts w:ascii="Arial" w:cs="Arial" w:eastAsia="Arial" w:hAnsi="Arial"/>
          <w:sz w:val="22"/>
          <w:szCs w:val="22"/>
        </w:rPr>
        <w:t xml:space="preserve">Blog: "Docker Layers Are Just Like LLM Context Caching" — spike.land/blog/docker-layers-are-just-like-llm-context-caching</w:t>
      </w:r>
    </w:p>
    <w:p>
      <w:pPr>
        <w:pStyle w:val="ListParagraph"/>
        <w:numPr>
          <w:ilvl w:val="0"/>
          <w:numId w:val="3"/>
        </w:numPr>
        <w:spacing w:after="60"/>
      </w:pPr>
      <w:r>
        <w:rPr>
          <w:rFonts w:ascii="Arial" w:cs="Arial" w:eastAsia="Arial" w:hAnsi="Arial"/>
          <w:sz w:val="22"/>
          <w:szCs w:val="22"/>
        </w:rPr>
        <w:t xml:space="preserve">Blog: "Tool-First Testing vs Browser Testing: A Benchmark" — spike.land/blog/tool-first-testing-benchmark</w:t>
      </w:r>
    </w:p>
    <w:p>
      <w:pPr>
        <w:pStyle w:val="ListParagraph"/>
        <w:numPr>
          <w:ilvl w:val="0"/>
          <w:numId w:val="3"/>
        </w:numPr>
        <w:spacing w:after="60"/>
      </w:pPr>
      <w:r>
        <w:rPr>
          <w:rFonts w:ascii="Arial" w:cs="Arial" w:eastAsia="Arial" w:hAnsi="Arial"/>
          <w:sz w:val="22"/>
          <w:szCs w:val="22"/>
        </w:rPr>
        <w:t xml:space="preserve">Live app: image-studio-mcp.spike.land</w:t>
      </w:r>
    </w:p>
    <w:p>
      <w:pPr>
        <w:pStyle w:val="ListParagraph"/>
        <w:numPr>
          <w:ilvl w:val="0"/>
          <w:numId w:val="3"/>
        </w:numPr>
        <w:spacing w:after="60"/>
      </w:pPr>
      <w:r>
        <w:rPr>
          <w:rFonts w:ascii="Arial" w:cs="Arial" w:eastAsia="Arial" w:hAnsi="Arial"/>
          <w:sz w:val="22"/>
          <w:szCs w:val="22"/>
        </w:rPr>
        <w:t xml:space="preserve">Gian Pierre: gianpierre.co.uk</w:t>
      </w:r>
    </w:p>
    <w:p>
      <w:pPr>
        <w:pStyle w:val="ListParagraph"/>
        <w:numPr>
          <w:ilvl w:val="0"/>
          <w:numId w:val="3"/>
        </w:numPr>
        <w:spacing w:after="60"/>
      </w:pPr>
      <w:r>
        <w:rPr>
          <w:rFonts w:ascii="Arial" w:cs="Arial" w:eastAsia="Arial" w:hAnsi="Arial"/>
          <w:sz w:val="22"/>
          <w:szCs w:val="22"/>
        </w:rPr>
        <w:t xml:space="preserve">PRD example: PRD-Tool-Calls-v2.md (generated via Pages screenshots → Gemini → BAZDMEG)</w:t>
      </w:r>
    </w:p>
    <w:p>
      <w:pPr>
        <w:spacing w:after="60"/>
      </w:pPr>
    </w:p>
    <w:p>
      <w:pPr>
        <w:pBdr>
          <w:bottom w:val="single" w:color="1B4F72" w:sz="6" w:space="1"/>
        </w:pBdr>
        <w:spacing w:after="200" w:before="200"/>
      </w:pPr>
    </w:p>
    <w:p>
      <w:pPr>
        <w:spacing w:after="60"/>
      </w:pPr>
    </w:p>
    <w:p>
      <w:pPr>
        <w:jc w:val="center"/>
      </w:pPr>
      <w:r>
        <w:rPr>
          <w:rFonts w:ascii="Arial" w:cs="Arial" w:eastAsia="Arial" w:hAnsi="Arial"/>
          <w:color w:val="7F8C8D"/>
          <w:sz w:val="18"/>
          <w:szCs w:val="18"/>
        </w:rPr>
        <w:t xml:space="preserve">End of Appendix — Version 1.0 — 11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6"/>
        <w:szCs w:val="16"/>
      </w:rPr>
      <w:t xml:space="preserve">Confidential</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7F8C8D"/>
        <w:sz w:val="16"/>
        <w:szCs w:val="16"/>
      </w:rPr>
      <w:t xml:space="preserve">SPIKE LAND LTD — Technical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2026-03-11T03:05:35.348Z</dcterms:created>
  <dcterms:modified xsi:type="dcterms:W3CDTF">2026-03-11T03:05:35.348Z</dcterms:modified>
</cp:coreProperties>
</file>

<file path=docProps/custom.xml><?xml version="1.0" encoding="utf-8"?>
<Properties xmlns="http://schemas.openxmlformats.org/officeDocument/2006/custom-properties" xmlns:vt="http://schemas.openxmlformats.org/officeDocument/2006/docPropsVTypes"/>
</file>