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EBM — Explainable Boosting Machine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5090"/>
          <w:sz w:val="26"/>
          <w:szCs w:val="26"/>
        </w:rPr>
        <w:t xml:space="preserve">What it is, how it works, and why it matters for this dissertation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Economic Crisis Prediction: EWS for Banking Crises — MSc AI Dissertation</w:t>
      </w:r>
    </w:p>
    <w:p>
      <w:pPr>
        <w:spacing w:after="2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Pavlos Papachristos  |  PP24589  |  University of Essex</w:t>
      </w:r>
    </w:p>
    <w:p>
      <w:pPr>
        <w:pBdr>
          <w:bottom w:val="single" w:color="1F3864" w:sz="6" w:space="1"/>
        </w:pBdr>
        <w:spacing w:after="80" w:before="8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What EBM Is</w:t>
      </w:r>
    </w:p>
    <w:p>
      <w:pPr>
        <w:spacing w:after="1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EBM stands for Explainable Boosting Machine.</w:t>
      </w:r>
      <w:r>
        <w:rPr>
          <w:rFonts w:ascii="Arial" w:cs="Arial" w:eastAsia="Arial" w:hAnsi="Arial"/>
          <w:sz w:val="22"/>
          <w:szCs w:val="22"/>
        </w:rPr>
        <w:t xml:space="preserve"> It was developed by Lou, Caruana, Gehrke and Hooker (2013) at Microsoft Research. In this dissertation it is labelled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M2.5</w:t>
      </w:r>
      <w:r>
        <w:rPr>
          <w:rFonts w:ascii="Arial" w:cs="Arial" w:eastAsia="Arial" w:hAnsi="Arial"/>
          <w:sz w:val="22"/>
          <w:szCs w:val="22"/>
        </w:rPr>
        <w:t xml:space="preserve"> and sits between Random Forest (M2) and XGBoost+FinBERT (M3) in the model sequence.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 The Technical Definition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EBM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gradient-boosted Generalised Additive Model (GAM)</w:t>
      </w:r>
      <w:r>
        <w:rPr>
          <w:rFonts w:ascii="Arial" w:cs="Arial" w:eastAsia="Arial" w:hAnsi="Arial"/>
          <w:sz w:val="22"/>
          <w:szCs w:val="22"/>
        </w:rPr>
        <w:t xml:space="preserve">. A standard Generalised Additive Model predicts an outcome as the sum of individual functions of each feature: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crisis risk = f₁(term_spread) + f₂(credit_growth) + f₃(house_prices) + … + intercept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Each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shape function</w:t>
      </w:r>
      <w:r>
        <w:rPr>
          <w:rFonts w:ascii="Arial" w:cs="Arial" w:eastAsia="Arial" w:hAnsi="Arial"/>
          <w:sz w:val="22"/>
          <w:szCs w:val="22"/>
        </w:rPr>
        <w:t xml:space="preserve"> — a learned curve that maps a single feature value to its contribution to crisis probability in log-odds. The model’s prediction is the sum of all these individual contributions.</w:t>
      </w:r>
    </w:p>
    <w:p>
      <w:pPr>
        <w:spacing w:after="1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Gradient boosting</w:t>
      </w:r>
      <w:r>
        <w:rPr>
          <w:rFonts w:ascii="Arial" w:cs="Arial" w:eastAsia="Arial" w:hAnsi="Arial"/>
          <w:sz w:val="22"/>
          <w:szCs w:val="22"/>
        </w:rPr>
        <w:t xml:space="preserve"> is the training algorithm — the same family used by XGBoost and Random Forest, but applied here to learn those shape functions one feature at a time, cycling through features repeatedly until convergence. This is what makes EBM more accurate than earlier GAMs: boosting allows it to capture complex non-linear patterns within each individual feature.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EBM also learns a small number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pairwise interaction terms</w:t>
      </w:r>
      <w:r>
        <w:rPr>
          <w:rFonts w:ascii="Arial" w:cs="Arial" w:eastAsia="Arial" w:hAnsi="Arial"/>
          <w:sz w:val="22"/>
          <w:szCs w:val="22"/>
        </w:rPr>
        <w:t xml:space="preserve"> (up to five in this dissertation’s specification) — functions of two features jointly — which captures the most important cross-feature interactions without sacrificing interpretability.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Makes EBM Different from RF and XGBoost</w:t>
      </w:r>
    </w:p>
    <w:p>
      <w:pPr>
        <w:spacing w:after="160" w:before="80"/>
      </w:pPr>
      <w:r>
        <w:rPr>
          <w:rFonts w:ascii="Arial" w:cs="Arial" w:eastAsia="Arial" w:hAnsi="Arial"/>
          <w:sz w:val="22"/>
          <w:szCs w:val="22"/>
        </w:rPr>
        <w:t xml:space="preserve">The critical distinction is in how feature contributions are computed: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0"/>
        <w:gridCol w:w="238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 (M2)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XGBoost (M3)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EBM (M2.5)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Model structure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Hundreds of deep trees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Hundreds of shallow trees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Sum of shape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Feature contributions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Tangled across trees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Tangled across trees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Exact, per-feature curves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Interpretability method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SHAP (post-hoc)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SHAP (post-hoc)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Shape functions are the model itself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Attribution accuracy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Approximate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Approximate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Regime instability detection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Indirect / confounded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Indirect / confounded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Direct — reads model parameters</w:t>
            </w:r>
          </w:p>
        </w:tc>
      </w:tr>
    </w:tbl>
    <w:p>
      <w:pPr>
        <w:spacing w:after="100" w:before="160"/>
      </w:pPr>
      <w:r>
        <w:rPr>
          <w:rFonts w:ascii="Arial" w:cs="Arial" w:eastAsia="Arial" w:hAnsi="Arial"/>
          <w:sz w:val="22"/>
          <w:szCs w:val="22"/>
        </w:rPr>
        <w:t xml:space="preserve">For Random Forest and XGBoost,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SHAP is a separate approximation tool</w:t>
      </w:r>
      <w:r>
        <w:rPr>
          <w:rFonts w:ascii="Arial" w:cs="Arial" w:eastAsia="Arial" w:hAnsi="Arial"/>
          <w:sz w:val="22"/>
          <w:szCs w:val="22"/>
        </w:rPr>
        <w:t xml:space="preserve"> applied after training. It estimates what each feature contributed, but those estimates can be wrong — especially under distribution shift. For EBM, there is no approximation step. The shape function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</w:t>
      </w:r>
      <w:r>
        <w:rPr>
          <w:rFonts w:ascii="Arial" w:cs="Arial" w:eastAsia="Arial" w:hAnsi="Arial"/>
          <w:sz w:val="22"/>
          <w:szCs w:val="22"/>
        </w:rPr>
        <w:t xml:space="preserve"> the model’s learned relationship. When you plot f(term_spread_lag3), you are reading the model’s actual internal parameters directly, not an estimate of them.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Making Failure Visible Rather Than Merely Documenting It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The key phrase in the dissertation’s contribution statement is that EBM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“make[s] the failure mechanism directly visible”</w:t>
      </w:r>
      <w:r>
        <w:rPr>
          <w:rFonts w:ascii="Arial" w:cs="Arial" w:eastAsia="Arial" w:hAnsi="Arial"/>
          <w:sz w:val="22"/>
          <w:szCs w:val="22"/>
        </w:rPr>
        <w:t xml:space="preserve"> rather than merely documenting performance collapse. Here is precisely what that means.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 The Regime Instability Test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In this dissertation, EBM is trained twice — once on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pre-GFC window (2003–2006)</w:t>
      </w:r>
      <w:r>
        <w:rPr>
          <w:rFonts w:ascii="Arial" w:cs="Arial" w:eastAsia="Arial" w:hAnsi="Arial"/>
          <w:sz w:val="22"/>
          <w:szCs w:val="22"/>
        </w:rPr>
        <w:t xml:space="preserve"> and once on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GFC-inclusive window (2003–2010)</w:t>
      </w:r>
      <w:r>
        <w:rPr>
          <w:rFonts w:ascii="Arial" w:cs="Arial" w:eastAsia="Arial" w:hAnsi="Arial"/>
          <w:sz w:val="22"/>
          <w:szCs w:val="22"/>
        </w:rPr>
        <w:t xml:space="preserve"> — and the shape functions for the same features are plotted side by side (Figure 4.7).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 Why This Cannot Be Done with RF or XGBoost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If you performed the same comparison using SHAP values on a Random Forest, any differences across the two training windows would have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possible explanations:</w:t>
      </w:r>
    </w:p>
    <w:p>
      <w:pPr>
        <w:spacing w:after="6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1.  The model genuinely learned a different feature-risk relationship</w:t>
      </w:r>
    </w:p>
    <w:p>
      <w:pPr>
        <w:spacing w:after="100" w:before="60"/>
        <w:ind w:left="720"/>
      </w:pPr>
      <w:r>
        <w:rPr>
          <w:rFonts w:ascii="Arial" w:cs="Arial" w:eastAsia="Arial" w:hAnsi="Arial"/>
          <w:sz w:val="22"/>
          <w:szCs w:val="22"/>
        </w:rPr>
        <w:t xml:space="preserve">2.  The SHAP approximation behaved differently under the two data distributions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You cannot separate these two explanations. The attribution tool introduces noise that is indistinguishable from signal.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For EBM, there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only one explanation.</w:t>
      </w:r>
      <w:r>
        <w:rPr>
          <w:rFonts w:ascii="Arial" w:cs="Arial" w:eastAsia="Arial" w:hAnsi="Arial"/>
          <w:sz w:val="22"/>
          <w:szCs w:val="22"/>
        </w:rPr>
        <w:t xml:space="preserve"> The shape functions are the model’s exact fitted parameters. When the pre-GFC term_spread_lag3 shape function is monotonically increasing and the GFC-inclusive one reverses sign and crosses it — that is not an approximation artefact. That is a direct, unambiguous measurement of how the model’s learned mapping changed between regimes.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4"/>
              <w:left w:val="single" w:color="1F3864" w:sz="12"/>
              <w:bottom w:val="single" w:color="2E5090" w:sz="4"/>
              <w:right w:val="single" w:color="2E5090" w:sz="4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20"/>
                <w:szCs w:val="20"/>
              </w:rPr>
              <w:t xml:space="preserve">Core finding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At term_spread_lag3 — the highest-ranked EBM feature (native importance 1.717) — the same spread value is associated with reduced crisis risk in the pre-GFC regime and increased crisis risk in the GFC-inclusive regime. The curves cross. This sign reversal is read directly off the model’s own parameters, not inferred from any post-hoc tool.</w:t>
            </w:r>
          </w:p>
        </w:tc>
      </w:tr>
    </w:tbl>
    <w:p>
      <w:pPr>
        <w:spacing w:after="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Why This Matters Beyond Performance Metrics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If this dissertation had only reported AUROC and AUPRC, the finding would be: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“EBM collapses to AUROC 0.333 under Split B.”</w:t>
      </w:r>
      <w:r>
        <w:rPr>
          <w:rFonts w:ascii="Arial" w:cs="Arial" w:eastAsia="Arial" w:hAnsi="Arial"/>
          <w:sz w:val="22"/>
          <w:szCs w:val="22"/>
        </w:rPr>
        <w:t xml:space="preserve"> That tells you the model failed. It does not tell you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why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through which mechanism.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The shape function analysis converts the performance collapse into a legible explanation: the model trained on pre-GFC data learned that high three-year lagged term spreads signal elevated crisis risk. When evaluated on GFC data, where that relationship had reversed, it systematically assigned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risk to high-risk observations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risk to low-risk ones</w:t>
      </w:r>
      <w:r>
        <w:rPr>
          <w:rFonts w:ascii="Arial" w:cs="Arial" w:eastAsia="Arial" w:hAnsi="Arial"/>
          <w:sz w:val="22"/>
          <w:szCs w:val="22"/>
        </w:rPr>
        <w:t xml:space="preserve"> — driving AUROC below random.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 Parametric Confirmation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The panel logistic sign reversal provides independent confirmation from a completely different analytical framework: the lag-one term spread coefficient is β = −0.646 (p = 0.004) against lag-three β = +0.630 (p = 0.003). The logistic regression and the EBM shape function are pointing at the same structural property from different angles — together establishing that the term spread relationship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non-monotonic across time</w:t>
      </w:r>
      <w:r>
        <w:rPr>
          <w:rFonts w:ascii="Arial" w:cs="Arial" w:eastAsia="Arial" w:hAnsi="Arial"/>
          <w:sz w:val="22"/>
          <w:szCs w:val="22"/>
        </w:rPr>
        <w:t xml:space="preserve"> and cannot be captured by any model that treats it as fixed.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 The Theoretical Implication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Because EBM shape functions are exact model parameters, the instability observed across training windows reflects a property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data-generating process</w:t>
      </w:r>
      <w:r>
        <w:rPr>
          <w:rFonts w:ascii="Arial" w:cs="Arial" w:eastAsia="Arial" w:hAnsi="Arial"/>
          <w:sz w:val="22"/>
          <w:szCs w:val="22"/>
        </w:rPr>
        <w:t xml:space="preserve"> rather than an attribution approximation error. This places banking crisis prediction within the broader class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non-stationary ML problems under distribution shift</w:t>
      </w:r>
      <w:r>
        <w:rPr>
          <w:rFonts w:ascii="Arial" w:cs="Arial" w:eastAsia="Arial" w:hAnsi="Arial"/>
          <w:sz w:val="22"/>
          <w:szCs w:val="22"/>
        </w:rPr>
        <w:t xml:space="preserve"> — the dissertation’s theoretical contribution (Section 1.4).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Static, pooled EWS models are therefore not merely empirically limited — they may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conceptually misaligned</w:t>
      </w:r>
      <w:r>
        <w:rPr>
          <w:rFonts w:ascii="Arial" w:cs="Arial" w:eastAsia="Arial" w:hAnsi="Arial"/>
          <w:sz w:val="22"/>
          <w:szCs w:val="22"/>
        </w:rPr>
        <w:t xml:space="preserve"> with structural break environments. A correctly specified model trained on one crisis regime will systematically misread the signal in the next. No amount of additional data, model complexity, or standard interpretability enhancements resolves this.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EBM’s Role in the Model Sequence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EBM sits at a specific position in the dissertation’s argument: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 (Logistic Regression)</w:t>
      </w:r>
      <w:r>
        <w:rPr>
          <w:rFonts w:ascii="Arial" w:cs="Arial" w:eastAsia="Arial" w:hAnsi="Arial"/>
          <w:sz w:val="22"/>
          <w:szCs w:val="22"/>
        </w:rPr>
        <w:t xml:space="preserve"> — transparent, linear, constrained. Baseline.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M2 (Random Forest)</w:t>
      </w:r>
      <w:r>
        <w:rPr>
          <w:rFonts w:ascii="Arial" w:cs="Arial" w:eastAsia="Arial" w:hAnsi="Arial"/>
          <w:sz w:val="22"/>
          <w:szCs w:val="22"/>
        </w:rPr>
        <w:t xml:space="preserve"> — non-linear, opaque. Better in-sample; still fails prospectively.</w:t>
      </w:r>
    </w:p>
    <w:p>
      <w:pPr>
        <w:spacing w:after="60" w:before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M2.5 (EBM)</w:t>
      </w:r>
      <w:r>
        <w:rPr>
          <w:rFonts w:ascii="Arial" w:cs="Arial" w:eastAsia="Arial" w:hAnsi="Arial"/>
          <w:sz w:val="22"/>
          <w:szCs w:val="22"/>
        </w:rPr>
        <w:t xml:space="preserve"> — non-linear, interpretable. Higher in-sample metrics; worse prospective collapse (AUROC 0.333 vs RF 0.481). Makes the failure mechanism visible.</w:t>
      </w:r>
    </w:p>
    <w:p>
      <w:pPr>
        <w:spacing w:after="120" w:before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M3 (XGBoost + FinBERT)</w:t>
      </w:r>
      <w:r>
        <w:rPr>
          <w:rFonts w:ascii="Arial" w:cs="Arial" w:eastAsia="Arial" w:hAnsi="Arial"/>
          <w:sz w:val="22"/>
          <w:szCs w:val="22"/>
        </w:rPr>
        <w:t xml:space="preserve"> — non-linear, opaque, sentiment-augmented. Tests whether text adds signal beyond macro.</w:t>
      </w:r>
    </w:p>
    <w:p>
      <w:pPr>
        <w:spacing w:after="140" w:before="100"/>
      </w:pPr>
      <w:r>
        <w:rPr>
          <w:rFonts w:ascii="Arial" w:cs="Arial" w:eastAsia="Arial" w:hAnsi="Arial"/>
          <w:sz w:val="22"/>
          <w:szCs w:val="22"/>
        </w:rPr>
        <w:t xml:space="preserve">EBM’s worse prospective performance relative to RF is itself analytically important. It demonstrates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very flexibility that enables interpretability (shape functions) is the same mechanism that produces regime-specific overfitting</w:t>
      </w:r>
      <w:r>
        <w:rPr>
          <w:rFonts w:ascii="Arial" w:cs="Arial" w:eastAsia="Arial" w:hAnsi="Arial"/>
          <w:sz w:val="22"/>
          <w:szCs w:val="22"/>
        </w:rPr>
        <w:t xml:space="preserve">. This is not a conventional interpretability-performance trade-off — it is a unified structural explanation of why both interpretability and performance collapse simultaneously under distribution shift.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4"/>
              <w:left w:val="single" w:color="1F3864" w:sz="12"/>
              <w:bottom w:val="single" w:color="2E5090" w:sz="4"/>
              <w:right w:val="single" w:color="2E5090" w:sz="4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F3864"/>
                <w:sz w:val="20"/>
                <w:szCs w:val="20"/>
              </w:rPr>
              <w:t xml:space="preserve">Key point for the dissertation’s argument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EBM should be adopted in EWS design for its interpretability contribution — the ability to make regime instability directly visible — not as a claim of prospective superiority. Its Split B AUROC of 0.333 is not a failure of the model; it is a measurement of the structural non-stationarity in the data-generating process, made legible by the model’s native transparency.</w:t>
            </w:r>
          </w:p>
        </w:tc>
      </w:tr>
    </w:tbl>
    <w:p>
      <w:pPr>
        <w:spacing w:after="0" w:before="120"/>
      </w:pPr>
    </w:p>
    <w:p>
      <w:pPr>
        <w:pBdr>
          <w:bottom w:val="single" w:color="1F3864" w:sz="6" w:space="1"/>
        </w:pBdr>
        <w:spacing w:after="80" w:before="80"/>
      </w:pPr>
    </w:p>
    <w:p>
      <w:pPr>
        <w:spacing w:after="0" w:before="1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Reference: Lou, Y., Caruana, R., Gehrke, J. and Hooker, G. (2013) ‘Accurate intelligible models with pairwise interactions’,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Proceedings of the 19th ACM SIGKDD International Conference on Knowledge Discovery and Data Mining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, pp. 623–631.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spacing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Pavlos Papachristos — PP24589 — University of Essex MSc AI  |  p.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EBM — Explainable Boosting Machine</w:t>
    </w:r>
    <w:r>
      <w:rPr>
        <w:rFonts w:ascii="Arial" w:cs="Arial" w:eastAsia="Arial" w:hAnsi="Arial"/>
        <w:color w:val="888888"/>
        <w:sz w:val="18"/>
        <w:szCs w:val="18"/>
      </w:rPr>
      <w:t xml:space="preserve">  |  MSc AI Dissertation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2026-06-06T17:57:41.853Z</dcterms:created>
  <dcterms:modified xsi:type="dcterms:W3CDTF">2026-06-06T17:57:41.870Z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