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000000">
      <w:pPr>
        <w:pStyle w:val="Heading1"/>
      </w:pPr>
      <w:r>
        <w:t>Abstract</w:t>
      </w:r>
    </w:p>
    <w:p w14:paraId="66AC2CE0" w14:textId="77777777" w:rsidR="00FE494B" w:rsidRDefault="00000000">
      <w:pPr>
        <w:pStyle w:val="FirstParagraph"/>
      </w:pPr>
      <w:r>
        <w:rPr>
          <w:i/>
          <w:iCs/>
        </w:rPr>
        <w:t>Economic Crisis Prediction: Improving the Trade-off Between Interpretability and Statistical Accuracy in ML-Enhanced Crisis Prediction Models</w:t>
      </w:r>
    </w:p>
    <w:p w14:paraId="66AC2CE1" w14:textId="77777777" w:rsidR="00FE494B" w:rsidRDefault="00000000">
      <w:pPr>
        <w:pStyle w:val="BodyText"/>
      </w:pPr>
      <w:r>
        <w:t>Pavlos Papachristos • PP24589 • MSc Artificial Intelligence, University of Essex Online • April 2026</w:t>
      </w:r>
    </w:p>
    <w:p w14:paraId="66AC2CE2" w14:textId="77777777" w:rsidR="00FE494B" w:rsidRDefault="00000000">
      <w:r>
        <w:pict w14:anchorId="66AC3046">
          <v:rect id="_x0000_i1025" style="width:0;height:1.5pt" o:hralign="center" o:hrstd="t" o:hr="t"/>
        </w:pict>
      </w:r>
    </w:p>
    <w:p w14:paraId="5D172A40" w14:textId="77777777" w:rsidR="00EA51B2" w:rsidRPr="00FA70A8" w:rsidRDefault="00EA51B2" w:rsidP="00EA51B2">
      <w:r w:rsidRPr="00FA70A8">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reveals about the EWS modelling framework.</w:t>
      </w:r>
    </w:p>
    <w:p w14:paraId="5CBCB197" w14:textId="77777777" w:rsidR="00EA51B2" w:rsidRPr="00FA70A8" w:rsidRDefault="00EA51B2" w:rsidP="00EA51B2">
      <w:r w:rsidRPr="00FA70A8">
        <w:t xml:space="preserve">The analysis extends a two-stage pipeline built on the JST </w:t>
      </w:r>
      <w:proofErr w:type="spellStart"/>
      <w:r w:rsidRPr="00FA70A8">
        <w:t>Macrohistory</w:t>
      </w:r>
      <w:proofErr w:type="spellEnd"/>
      <w:r w:rsidRPr="00FA70A8">
        <w:t xml:space="preserve"> Database R6 (Jordà, </w:t>
      </w:r>
      <w:proofErr w:type="spellStart"/>
      <w:r w:rsidRPr="00FA70A8">
        <w:t>Schularick</w:t>
      </w:r>
      <w:proofErr w:type="spellEnd"/>
      <w:r w:rsidRPr="00FA70A8">
        <w:t xml:space="preserve"> and Taylor, 2017), covering 18 advanced economies over 1989–2020. Stage 1 evaluates macro-only models — logistic regression (M1), Random Forest (M2), and an Explainable Boosting Machine (EBM, M2.5) — across 37 crisis events. Stage 2 evaluates </w:t>
      </w:r>
      <w:proofErr w:type="spellStart"/>
      <w:r w:rsidRPr="00FA70A8">
        <w:t>XGBoost</w:t>
      </w:r>
      <w:proofErr w:type="spellEnd"/>
      <w:r w:rsidRPr="00FA70A8">
        <w:t xml:space="preserve"> augmented with </w:t>
      </w:r>
      <w:proofErr w:type="spellStart"/>
      <w:r w:rsidRPr="00FA70A8">
        <w:t>FinBERT</w:t>
      </w:r>
      <w:proofErr w:type="spellEnd"/>
      <w:r w:rsidRPr="00FA70A8">
        <w:t xml:space="preserve">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4DF5CD9D" w14:textId="77777777" w:rsidR="00EA51B2" w:rsidRPr="00FA70A8" w:rsidRDefault="00EA51B2" w:rsidP="00EA51B2">
      <w:r w:rsidRPr="00FA70A8">
        <w:t xml:space="preserve">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w:t>
      </w:r>
      <w:proofErr w:type="spellStart"/>
      <w:r w:rsidRPr="00FA70A8">
        <w:t>FinBERT</w:t>
      </w:r>
      <w:proofErr w:type="spellEnd"/>
      <w:r w:rsidRPr="00FA70A8">
        <w:t xml:space="preserve"> sentiment produces a directional AUPRC gain of 6.8 percentage points, but the confidence interval spans zero and the gain cannot be cleanly separated from model-class effects.</w:t>
      </w:r>
    </w:p>
    <w:p w14:paraId="69DDDF1E" w14:textId="77777777" w:rsidR="00EA51B2" w:rsidRPr="00FA70A8" w:rsidRDefault="00EA51B2" w:rsidP="00EA51B2">
      <w:r w:rsidRPr="00FA70A8">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159FD489" w14:textId="77777777" w:rsidR="00EA51B2" w:rsidRDefault="00EA51B2">
      <w:pPr>
        <w:pStyle w:val="BodyText"/>
      </w:pPr>
    </w:p>
    <w:p w14:paraId="0E811C4F" w14:textId="77777777" w:rsidR="00EA51B2" w:rsidRDefault="00EA51B2">
      <w:pPr>
        <w:pStyle w:val="BodyText"/>
      </w:pPr>
    </w:p>
    <w:p w14:paraId="66AC2CE6" w14:textId="77777777" w:rsidR="00EA51B2" w:rsidRDefault="00EA51B2">
      <w:pPr>
        <w:pStyle w:val="BodyText"/>
        <w:sectPr w:rsidR="00EA51B2">
          <w:footerReference w:type="default" r:id="rId7"/>
          <w:pgSz w:w="11906" w:h="16838"/>
          <w:pgMar w:top="1440" w:right="1440" w:bottom="1440" w:left="1440" w:header="708" w:footer="708" w:gutter="0"/>
          <w:cols w:space="720"/>
          <w:docGrid w:linePitch="360"/>
        </w:sectPr>
      </w:pPr>
    </w:p>
    <w:p w14:paraId="66AC2CE7" w14:textId="77777777" w:rsidR="00FE494B" w:rsidRDefault="00000000">
      <w:pPr>
        <w:pStyle w:val="Heading1"/>
      </w:pPr>
      <w:r>
        <w:lastRenderedPageBreak/>
        <w:t>Chapter 1: Introduction</w:t>
      </w:r>
    </w:p>
    <w:p w14:paraId="66AC2CE8" w14:textId="77777777" w:rsidR="00FE494B" w:rsidRDefault="00000000">
      <w:r>
        <w:pict w14:anchorId="66AC3047">
          <v:rect id="_x0000_i1026" style="width:0;height:1.5pt" o:hralign="center" o:hrstd="t" o:hr="t"/>
        </w:pict>
      </w:r>
    </w:p>
    <w:p w14:paraId="66AC2CE9" w14:textId="77777777" w:rsidR="00FE494B" w:rsidRDefault="00000000">
      <w:pPr>
        <w:pStyle w:val="Heading2"/>
      </w:pPr>
      <w:r>
        <w:t>1.1 Background and Motivation</w:t>
      </w:r>
    </w:p>
    <w:p w14:paraId="66AC2CEA" w14:textId="77777777" w:rsidR="00FE494B" w:rsidRDefault="00000000">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000000">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000000">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000000">
      <w:r>
        <w:pict w14:anchorId="66AC3048">
          <v:rect id="_x0000_i1027" style="width:0;height:1.5pt" o:hralign="center" o:hrstd="t" o:hr="t"/>
        </w:pict>
      </w:r>
    </w:p>
    <w:p w14:paraId="66AC2CEE" w14:textId="77777777" w:rsidR="00FE494B" w:rsidRDefault="00000000">
      <w:pPr>
        <w:pStyle w:val="Heading2"/>
      </w:pPr>
      <w:r>
        <w:t>1.2 Research Problem</w:t>
      </w:r>
    </w:p>
    <w:p w14:paraId="66AC2CEF" w14:textId="77777777" w:rsidR="00FE494B" w:rsidRDefault="00000000">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000000">
      <w:r>
        <w:pict w14:anchorId="66AC3049">
          <v:rect id="_x0000_i1028" style="width:0;height:1.5pt" o:hralign="center" o:hrstd="t" o:hr="t"/>
        </w:pict>
      </w:r>
    </w:p>
    <w:p w14:paraId="66AC2CF1" w14:textId="77777777" w:rsidR="00FE494B" w:rsidRDefault="00000000">
      <w:pPr>
        <w:pStyle w:val="Heading2"/>
      </w:pPr>
      <w:r>
        <w:t>1.3 Aim, Objectives and Hypotheses</w:t>
      </w:r>
    </w:p>
    <w:p w14:paraId="66AC2CF2" w14:textId="77777777" w:rsidR="00FE494B" w:rsidRDefault="00000000">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000000">
      <w:pPr>
        <w:pStyle w:val="BodyText"/>
      </w:pPr>
      <w:r>
        <w:rPr>
          <w:b/>
          <w:bCs/>
        </w:rPr>
        <w:t>Objectives:</w:t>
      </w:r>
      <w:r>
        <w:t xml:space="preserve"> (O1) Extend the JST panel from 2003–2020 to 1989–2020 incorporating multiple pre-GFC episodes; (O2) evaluate a model sequence — M1 (logistic regression), M2 </w:t>
      </w:r>
      <w:r>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000000">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000000">
      <w:r>
        <w:pict w14:anchorId="66AC304A">
          <v:rect id="_x0000_i1029" style="width:0;height:1.5pt" o:hralign="center" o:hrstd="t" o:hr="t"/>
        </w:pict>
      </w:r>
    </w:p>
    <w:p w14:paraId="66AC2CF6" w14:textId="77777777" w:rsidR="00FE494B" w:rsidRDefault="00000000">
      <w:pPr>
        <w:pStyle w:val="Heading2"/>
      </w:pPr>
      <w:r>
        <w:t>1.4 Contribution</w:t>
      </w:r>
    </w:p>
    <w:p w14:paraId="66AC2CF7" w14:textId="77777777" w:rsidR="00FE494B" w:rsidRDefault="00000000">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000000">
      <w:r>
        <w:pict w14:anchorId="66AC304B">
          <v:rect id="_x0000_i1030" style="width:0;height:1.5pt" o:hralign="center" o:hrstd="t" o:hr="t"/>
        </w:pict>
      </w:r>
    </w:p>
    <w:p w14:paraId="66AC2CF9" w14:textId="77777777" w:rsidR="00FE494B" w:rsidRDefault="00000000">
      <w:pPr>
        <w:pStyle w:val="Heading2"/>
      </w:pPr>
      <w:r>
        <w:t>1.5 MSc AI Requirement</w:t>
      </w:r>
    </w:p>
    <w:p w14:paraId="66AC2CFA" w14:textId="77777777" w:rsidR="00FE494B" w:rsidRDefault="00000000">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sidR="00FE494B">
          <w:rPr>
            <w:rStyle w:val="Hyperlink"/>
          </w:rPr>
          <w:t>https://github.com/spike2025-art/eportfolio-uoe/tree/main</w:t>
        </w:r>
      </w:hyperlink>
      <w:r>
        <w:t xml:space="preserve"> and the ePortfolio at </w:t>
      </w:r>
      <w:hyperlink r:id="rId9">
        <w:r w:rsidR="00FE494B">
          <w:rPr>
            <w:rStyle w:val="Hyperlink"/>
          </w:rPr>
          <w:t>https://spike2025-art.github.io/eportfolio-uoe/</w:t>
        </w:r>
      </w:hyperlink>
      <w:r>
        <w:t>.</w:t>
      </w:r>
    </w:p>
    <w:p w14:paraId="66AC2CFB" w14:textId="77777777" w:rsidR="00FE494B" w:rsidRDefault="00000000">
      <w:r>
        <w:pict w14:anchorId="66AC304C">
          <v:rect id="_x0000_i1031" style="width:0;height:1.5pt" o:hralign="center" o:hrstd="t" o:hr="t"/>
        </w:pict>
      </w:r>
    </w:p>
    <w:p w14:paraId="66AC2CFC" w14:textId="77777777" w:rsidR="00FE494B" w:rsidRDefault="00000000">
      <w:pPr>
        <w:pStyle w:val="Heading2"/>
      </w:pPr>
      <w:r>
        <w:t>1.6 Dissertation Structure</w:t>
      </w:r>
    </w:p>
    <w:p w14:paraId="66AC2CFD" w14:textId="77777777" w:rsidR="00FE494B" w:rsidRDefault="00000000">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000000">
      <w:r>
        <w:pict w14:anchorId="66AC304D">
          <v:rect id="_x0000_i1032" style="width:0;height:1.5pt" o:hralign="center" o:hrstd="t" o:hr="t"/>
        </w:pict>
      </w:r>
    </w:p>
    <w:p w14:paraId="66AC2CFF" w14:textId="27E3625C" w:rsidR="00FE494B" w:rsidRDefault="00000000">
      <w:r>
        <w:br w:type="page"/>
      </w:r>
    </w:p>
    <w:p w14:paraId="7CDFF49B" w14:textId="77777777" w:rsidR="00FA70A8" w:rsidRDefault="00FA70A8"/>
    <w:p w14:paraId="66AC2D00" w14:textId="77777777" w:rsidR="00FE494B" w:rsidRDefault="00000000">
      <w:pPr>
        <w:pStyle w:val="Heading1"/>
      </w:pPr>
      <w:r>
        <w:t>Chapter 2: Literature Review</w:t>
      </w:r>
    </w:p>
    <w:p w14:paraId="66AC2D01" w14:textId="77777777" w:rsidR="00FE494B" w:rsidRDefault="00000000">
      <w:r>
        <w:pict w14:anchorId="66AC304E">
          <v:rect id="_x0000_i1033" style="width:0;height:1.5pt" o:hralign="center" o:hrstd="t" o:hr="t"/>
        </w:pict>
      </w:r>
    </w:p>
    <w:p w14:paraId="66AC2D02" w14:textId="77777777" w:rsidR="00FE494B" w:rsidRDefault="00000000">
      <w:pPr>
        <w:pStyle w:val="Heading2"/>
      </w:pPr>
      <w:r>
        <w:t>2.1 Early-Warning Systems for Banking Crises</w:t>
      </w:r>
    </w:p>
    <w:p w14:paraId="66AC2D03" w14:textId="77777777" w:rsidR="00FE494B" w:rsidRDefault="00000000">
      <w:pPr>
        <w:pStyle w:val="FirstParagraph"/>
      </w:pPr>
      <w:r>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000000">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000000">
      <w:r>
        <w:pict w14:anchorId="66AC304F">
          <v:rect id="_x0000_i1034" style="width:0;height:1.5pt" o:hralign="center" o:hrstd="t" o:hr="t"/>
        </w:pict>
      </w:r>
    </w:p>
    <w:p w14:paraId="66AC2D06" w14:textId="77777777" w:rsidR="00FE494B" w:rsidRDefault="00000000">
      <w:pPr>
        <w:pStyle w:val="Heading2"/>
      </w:pPr>
      <w:r>
        <w:t>2.2 Machine Learning in Crisis Prediction</w:t>
      </w:r>
    </w:p>
    <w:p w14:paraId="66AC2D07" w14:textId="77777777" w:rsidR="00FE494B" w:rsidRDefault="00000000">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000000">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000000">
      <w:r>
        <w:pict w14:anchorId="66AC3050">
          <v:rect id="_x0000_i1035" style="width:0;height:1.5pt" o:hralign="center" o:hrstd="t" o:hr="t"/>
        </w:pict>
      </w:r>
    </w:p>
    <w:p w14:paraId="66AC2D0A" w14:textId="77777777" w:rsidR="00FE494B" w:rsidRDefault="00000000">
      <w:pPr>
        <w:pStyle w:val="Heading2"/>
      </w:pPr>
      <w:r>
        <w:t>2.3 Central Bank Communication and Text Analysis</w:t>
      </w:r>
    </w:p>
    <w:p w14:paraId="66AC2D0B" w14:textId="77777777" w:rsidR="00FE494B" w:rsidRDefault="00000000">
      <w:pPr>
        <w:pStyle w:val="FirstParagraph"/>
      </w:pPr>
      <w:r>
        <w:t xml:space="preserve">The BIS Central Bank Speech Archive provides a consistent multilingual corpus spanning over two decades for the countries in the EWS panel. FinBERT (Yang, Uy and Huang, 2020), </w:t>
      </w:r>
      <w:r>
        <w:lastRenderedPageBreak/>
        <w:t>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000000">
      <w:r>
        <w:pict w14:anchorId="66AC3051">
          <v:rect id="_x0000_i1036" style="width:0;height:1.5pt" o:hralign="center" o:hrstd="t" o:hr="t"/>
        </w:pict>
      </w:r>
    </w:p>
    <w:p w14:paraId="66AC2D0D" w14:textId="77777777" w:rsidR="00FE494B" w:rsidRDefault="00000000">
      <w:pPr>
        <w:pStyle w:val="Heading2"/>
      </w:pPr>
      <w:r>
        <w:t>2.4 Interpretability in Machine Learning</w:t>
      </w:r>
    </w:p>
    <w:p w14:paraId="66AC2D0E" w14:textId="77777777" w:rsidR="00FE494B" w:rsidRDefault="00000000">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000000">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000000">
      <w:r>
        <w:pict w14:anchorId="66AC3052">
          <v:rect id="_x0000_i1037" style="width:0;height:1.5pt" o:hralign="center" o:hrstd="t" o:hr="t"/>
        </w:pict>
      </w:r>
    </w:p>
    <w:p w14:paraId="66AC2D11" w14:textId="77777777" w:rsidR="00FE494B" w:rsidRDefault="00000000">
      <w:pPr>
        <w:pStyle w:val="Heading2"/>
      </w:pPr>
      <w:r>
        <w:t>2.5 Ensemble Methods and Financial Contagion</w:t>
      </w:r>
    </w:p>
    <w:p w14:paraId="66AC2D12" w14:textId="77777777" w:rsidR="00FE494B" w:rsidRDefault="00000000">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000000">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000000">
      <w:r>
        <w:pict w14:anchorId="66AC3053">
          <v:rect id="_x0000_i1038" style="width:0;height:1.5pt" o:hralign="center" o:hrstd="t" o:hr="t"/>
        </w:pict>
      </w:r>
    </w:p>
    <w:p w14:paraId="66AC2D15" w14:textId="77777777" w:rsidR="00FE494B" w:rsidRDefault="00000000">
      <w:pPr>
        <w:pStyle w:val="Heading2"/>
      </w:pPr>
      <w:r>
        <w:lastRenderedPageBreak/>
        <w:t>2.6 Research Gap</w:t>
      </w:r>
    </w:p>
    <w:p w14:paraId="66AC2D16" w14:textId="77777777" w:rsidR="00FE494B" w:rsidRDefault="00000000">
      <w:pPr>
        <w:pStyle w:val="FirstParagraph"/>
      </w:pPr>
      <w:r>
        <w:t>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000000">
      <w:r>
        <w:pict w14:anchorId="66AC3054">
          <v:rect id="_x0000_i1039" style="width:0;height:1.5pt" o:hralign="center" o:hrstd="t" o:hr="t"/>
        </w:pict>
      </w:r>
    </w:p>
    <w:p w14:paraId="66AC2D18" w14:textId="77777777" w:rsidR="00FE494B" w:rsidRDefault="00000000">
      <w:r>
        <w:br w:type="page"/>
      </w:r>
    </w:p>
    <w:p w14:paraId="66AC2D19" w14:textId="77777777" w:rsidR="00FE494B" w:rsidRDefault="00000000">
      <w:pPr>
        <w:pStyle w:val="Heading1"/>
      </w:pPr>
      <w:r>
        <w:lastRenderedPageBreak/>
        <w:t>Chapter 3: Methodology</w:t>
      </w:r>
    </w:p>
    <w:p w14:paraId="66AC2D1A" w14:textId="77777777" w:rsidR="00FE494B" w:rsidRDefault="00000000">
      <w:r>
        <w:pict w14:anchorId="66AC3055">
          <v:rect id="_x0000_i1040" style="width:0;height:1.5pt" o:hralign="center" o:hrstd="t" o:hr="t"/>
        </w:pict>
      </w:r>
    </w:p>
    <w:p w14:paraId="66AC2D1B" w14:textId="77777777" w:rsidR="00FE494B" w:rsidRDefault="00000000">
      <w:pPr>
        <w:pStyle w:val="Heading2"/>
      </w:pPr>
      <w:r>
        <w:t>3.1 Research Design</w:t>
      </w:r>
    </w:p>
    <w:p w14:paraId="66AC2D1C" w14:textId="77777777" w:rsidR="00FE494B" w:rsidRDefault="00000000">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000000">
      <w:r>
        <w:pict w14:anchorId="66AC3056">
          <v:rect id="_x0000_i1041" style="width:0;height:1.5pt" o:hralign="center" o:hrstd="t" o:hr="t"/>
        </w:pict>
      </w:r>
    </w:p>
    <w:p w14:paraId="66AC2D1E" w14:textId="77777777" w:rsidR="00FE494B" w:rsidRDefault="00000000">
      <w:pPr>
        <w:pStyle w:val="Heading2"/>
      </w:pPr>
      <w:r>
        <w:t>3.2 Data Sources and Ethics</w:t>
      </w:r>
    </w:p>
    <w:p w14:paraId="66AC2D1F" w14:textId="77777777" w:rsidR="00FE494B" w:rsidRDefault="00000000">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000000">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7777777" w:rsidR="00FE494B" w:rsidRDefault="00000000">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sidR="00FE494B">
          <w:rPr>
            <w:rStyle w:val="Hyperlink"/>
          </w:rPr>
          <w:t>https://github.com/spike2025-art/eportfolio-uoe/tree/main</w:t>
        </w:r>
      </w:hyperlink>
      <w:r>
        <w:t xml:space="preserve">; ePortfolio at </w:t>
      </w:r>
      <w:hyperlink r:id="rId11">
        <w:r w:rsidR="00FE494B">
          <w:rPr>
            <w:rStyle w:val="Hyperlink"/>
          </w:rPr>
          <w:t>https://spike2025-art.github.io/eportfolio-uoe/</w:t>
        </w:r>
      </w:hyperlink>
      <w:r>
        <w:t>.</w:t>
      </w:r>
    </w:p>
    <w:p w14:paraId="66AC2D22" w14:textId="77777777" w:rsidR="00FE494B" w:rsidRDefault="00000000">
      <w:r>
        <w:pict w14:anchorId="66AC3057">
          <v:rect id="_x0000_i1042" style="width:0;height:1.5pt" o:hralign="center" o:hrstd="t" o:hr="t"/>
        </w:pict>
      </w:r>
    </w:p>
    <w:p w14:paraId="66AC2D23" w14:textId="77777777" w:rsidR="00FE494B" w:rsidRDefault="00000000">
      <w:pPr>
        <w:pStyle w:val="Heading2"/>
      </w:pPr>
      <w:r>
        <w:t>3.3 Target Variable and Features</w:t>
      </w:r>
    </w:p>
    <w:p w14:paraId="66AC2D24" w14:textId="77777777" w:rsidR="00FE494B" w:rsidRDefault="00000000">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000000">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000000">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000000">
      <w:r>
        <w:pict w14:anchorId="66AC3058">
          <v:rect id="_x0000_i1043" style="width:0;height:1.5pt" o:hralign="center" o:hrstd="t" o:hr="t"/>
        </w:pict>
      </w:r>
    </w:p>
    <w:p w14:paraId="66AC2D28" w14:textId="77777777" w:rsidR="00FE494B" w:rsidRDefault="00000000">
      <w:pPr>
        <w:pStyle w:val="Heading2"/>
      </w:pPr>
      <w:r>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000000">
            <w:pPr>
              <w:spacing w:before="40" w:after="40"/>
            </w:pPr>
            <w:r>
              <w:rPr>
                <w:b/>
                <w:color w:val="1F4E79"/>
                <w:sz w:val="18"/>
              </w:rPr>
              <w:lastRenderedPageBreak/>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000000">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000000">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000000">
            <w:pPr>
              <w:spacing w:before="40" w:after="40"/>
            </w:pPr>
            <w:r>
              <w:rPr>
                <w:b/>
                <w:color w:val="1F4E79"/>
                <w:sz w:val="18"/>
              </w:rPr>
              <w:t>Key settings</w:t>
            </w:r>
          </w:p>
        </w:tc>
      </w:tr>
      <w:tr w:rsidR="00FE494B" w14:paraId="66AC2D32"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000000">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000000">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000000">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000000">
            <w:pPr>
              <w:spacing w:before="40" w:after="40"/>
            </w:pPr>
            <w:r>
              <w:rPr>
                <w:sz w:val="18"/>
              </w:rPr>
              <w:t>L2 C=0.1, balanced weights</w:t>
            </w:r>
          </w:p>
        </w:tc>
      </w:tr>
      <w:tr w:rsidR="00FE494B" w14:paraId="66AC2D37"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000000">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000000">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000000">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000000">
            <w:pPr>
              <w:spacing w:before="40" w:after="40"/>
            </w:pPr>
            <w:r>
              <w:rPr>
                <w:sz w:val="18"/>
              </w:rPr>
              <w:t>Bridge specification</w:t>
            </w:r>
          </w:p>
        </w:tc>
      </w:tr>
      <w:tr w:rsidR="00FE494B" w14:paraId="66AC2D3C"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000000">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000000">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000000">
            <w:pPr>
              <w:spacing w:before="40" w:after="40"/>
            </w:pPr>
            <w:r>
              <w:rPr>
                <w:sz w:val="18"/>
              </w:rPr>
              <w:t>500 trees, depth 5, balanced weights</w:t>
            </w:r>
          </w:p>
        </w:tc>
      </w:tr>
      <w:tr w:rsidR="00FE494B" w14:paraId="66AC2D41"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000000">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000000">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000000">
            <w:pPr>
              <w:spacing w:before="40" w:after="40"/>
            </w:pPr>
            <w:r>
              <w:rPr>
                <w:sz w:val="18"/>
              </w:rPr>
              <w:t>5,000 rounds, 5 interactions, sample weights, no isotonic calibration</w:t>
            </w:r>
          </w:p>
        </w:tc>
      </w:tr>
      <w:tr w:rsidR="00FE494B" w14:paraId="66AC2D46"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000000">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000000">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000000">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000000">
            <w:pPr>
              <w:spacing w:before="40" w:after="40"/>
            </w:pPr>
            <w:r>
              <w:rPr>
                <w:sz w:val="18"/>
              </w:rPr>
              <w:t>300 trees, depth 4, isotonic calibration (CalibratedClassifierCV)</w:t>
            </w:r>
          </w:p>
        </w:tc>
      </w:tr>
      <w:tr w:rsidR="00FE494B" w14:paraId="66AC2D4B"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000000">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000000">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000000">
            <w:pPr>
              <w:spacing w:before="40" w:after="40"/>
            </w:pPr>
            <w:r>
              <w:rPr>
                <w:sz w:val="18"/>
              </w:rPr>
              <w:t>Trained on 2003–2020 only</w:t>
            </w:r>
          </w:p>
        </w:tc>
      </w:tr>
    </w:tbl>
    <w:p w14:paraId="66AC2D4C" w14:textId="77777777" w:rsidR="00FE494B" w:rsidRDefault="00000000">
      <w:pPr>
        <w:pStyle w:val="BodyText"/>
      </w:pPr>
      <w:r>
        <w:rPr>
          <w:i/>
          <w:iCs/>
        </w:rPr>
        <w:t>Table 3.1. Model specifications summary.</w:t>
      </w:r>
    </w:p>
    <w:p w14:paraId="66AC2D4D" w14:textId="77777777" w:rsidR="00FE494B" w:rsidRDefault="00000000">
      <w:pPr>
        <w:pStyle w:val="BodyText"/>
      </w:pPr>
      <w:r>
        <w:t>Class imbalance is handled by per-fold sample weights: fold_spw = n_neg / n_pos applied within each expanding-window training fold. EBM uses the interpret package v0.7.8.</w:t>
      </w:r>
    </w:p>
    <w:p w14:paraId="66AC2D4E" w14:textId="77777777" w:rsidR="00FE494B" w:rsidRDefault="00000000">
      <w:r>
        <w:pict w14:anchorId="66AC3059">
          <v:rect id="_x0000_i1044" style="width:0;height:1.5pt" o:hralign="center" o:hrstd="t" o:hr="t"/>
        </w:pict>
      </w:r>
    </w:p>
    <w:p w14:paraId="66AC2D4F" w14:textId="77777777" w:rsidR="00FE494B" w:rsidRDefault="00000000">
      <w:pPr>
        <w:pStyle w:val="Heading2"/>
      </w:pPr>
      <w:r>
        <w:t>3.5 Evaluation Framework</w:t>
      </w:r>
    </w:p>
    <w:p w14:paraId="66AC2D50" w14:textId="77777777" w:rsidR="00FE494B" w:rsidRDefault="00000000">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000000">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000000">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000000">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000000">
      <w:r>
        <w:pict w14:anchorId="66AC305A">
          <v:rect id="_x0000_i1045" style="width:0;height:1.5pt" o:hralign="center" o:hrstd="t" o:hr="t"/>
        </w:pict>
      </w:r>
    </w:p>
    <w:p w14:paraId="66AC2D55" w14:textId="77777777" w:rsidR="00FE494B" w:rsidRDefault="00000000">
      <w:pPr>
        <w:pStyle w:val="Heading2"/>
      </w:pPr>
      <w:r>
        <w:t>3.6 EBM Shape Function Analysis and Ensemble Design</w:t>
      </w:r>
    </w:p>
    <w:p w14:paraId="66AC2D56" w14:textId="77777777" w:rsidR="00FE494B" w:rsidRDefault="00000000">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000000">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000000">
      <w:pPr>
        <w:pStyle w:val="BodyText"/>
      </w:pPr>
      <w:r>
        <w:t>The full notebook pipeline (NB00–NB09B) is documented in Appendix A.</w:t>
      </w:r>
    </w:p>
    <w:p w14:paraId="66AC2D59" w14:textId="77777777" w:rsidR="00FE494B" w:rsidRDefault="00000000">
      <w:r>
        <w:pict w14:anchorId="66AC305B">
          <v:rect id="_x0000_i1046" style="width:0;height:1.5pt" o:hralign="center" o:hrstd="t" o:hr="t"/>
        </w:pict>
      </w:r>
    </w:p>
    <w:p w14:paraId="66AC2D5A" w14:textId="77777777" w:rsidR="00FE494B" w:rsidRDefault="00000000">
      <w:r>
        <w:br w:type="page"/>
      </w:r>
    </w:p>
    <w:p w14:paraId="66AC2D5B" w14:textId="77777777" w:rsidR="00FE494B" w:rsidRDefault="00000000">
      <w:r>
        <w:lastRenderedPageBreak/>
        <w:br w:type="page"/>
      </w:r>
    </w:p>
    <w:p w14:paraId="66AC2D5C" w14:textId="77777777" w:rsidR="003D2567" w:rsidRDefault="00000000">
      <w:pPr>
        <w:pStyle w:val="Heading1"/>
      </w:pPr>
      <w:r>
        <w:lastRenderedPageBreak/>
        <w:t>Chapter 4: Results and Interpretation</w:t>
      </w:r>
    </w:p>
    <w:p w14:paraId="66AC2D5D" w14:textId="77777777" w:rsidR="003D2567" w:rsidRDefault="00000000">
      <w:r>
        <w:pict w14:anchorId="66AC305C">
          <v:rect id="_x0000_i1047" style="width:0;height:1.5pt" o:hralign="center" o:hrstd="t" o:hr="t"/>
        </w:pict>
      </w:r>
    </w:p>
    <w:p w14:paraId="66AC2D5E" w14:textId="77777777" w:rsidR="003D2567" w:rsidRDefault="00000000">
      <w:pPr>
        <w:pStyle w:val="Heading2"/>
      </w:pPr>
      <w:r>
        <w:t>4.1 Dataset and Experimental Setup</w:t>
      </w:r>
    </w:p>
    <w:p w14:paraId="66AC2D5F" w14:textId="77777777" w:rsidR="003D2567" w:rsidRDefault="00000000">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chapter — because the evaluation constraints established here apply with equal force to all models regardless of their algorithmic sophistication or interpretability properties.</w:t>
      </w:r>
    </w:p>
    <w:p w14:paraId="66AC2D60" w14:textId="77777777" w:rsidR="003D2567" w:rsidRDefault="00000000">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66AC2D61" w14:textId="77777777" w:rsidR="003D2567" w:rsidRDefault="00000000">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66AC2D62" w14:textId="77777777" w:rsidR="003D2567" w:rsidRDefault="00000000">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r>
      <w:r>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3D2567" w:rsidRDefault="00000000">
      <w:r>
        <w:pict w14:anchorId="66AC305D">
          <v:rect id="_x0000_i1048" style="width:0;height:1.5pt" o:hralign="center" o:hrstd="t" o:hr="t"/>
        </w:pict>
      </w:r>
    </w:p>
    <w:p w14:paraId="66AC2D64" w14:textId="77777777" w:rsidR="003D2567" w:rsidRDefault="00000000">
      <w:pPr>
        <w:pStyle w:val="Heading2"/>
      </w:pPr>
      <w:r>
        <w:t>4.2 Primary Model Comparison</w:t>
      </w:r>
    </w:p>
    <w:p w14:paraId="66AC2D65" w14:textId="77777777" w:rsidR="003D2567" w:rsidRDefault="00000000">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3D2567" w:rsidRDefault="003D2567"/>
    <w:p w14:paraId="66AC2D67" w14:textId="77777777" w:rsidR="003D2567" w:rsidRDefault="00000000">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3D2567"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3D2567"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3D2567"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3D2567"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3D2567"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3D2567" w:rsidRDefault="00000000">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3D2567" w:rsidRDefault="00000000">
            <w:pPr>
              <w:spacing w:before="20" w:after="20"/>
            </w:pPr>
            <w:r>
              <w:rPr>
                <w:b/>
                <w:color w:val="1F4E79"/>
                <w:sz w:val="18"/>
              </w:rPr>
              <w:t>Brier</w:t>
            </w:r>
          </w:p>
        </w:tc>
      </w:tr>
      <w:tr w:rsidR="001F5E5B" w14:paraId="66AC2D7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3D2567" w:rsidRDefault="00000000">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3D2567" w:rsidRDefault="00000000">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3D2567" w:rsidRDefault="00000000">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3D2567" w:rsidRDefault="00000000">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3D2567" w:rsidRDefault="00000000">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3D2567" w:rsidRDefault="00000000">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3D2567" w:rsidRDefault="00000000">
            <w:pPr>
              <w:spacing w:before="20" w:after="20"/>
            </w:pPr>
            <w:r>
              <w:rPr>
                <w:color w:val="000000"/>
                <w:sz w:val="18"/>
              </w:rPr>
              <w:t>0.157</w:t>
            </w:r>
          </w:p>
        </w:tc>
      </w:tr>
      <w:tr w:rsidR="001F5E5B" w14:paraId="66AC2D7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3D2567" w:rsidRDefault="00000000">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3D2567"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3D2567" w:rsidRDefault="00000000">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3D2567"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3D2567" w:rsidRDefault="00000000">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3D2567" w:rsidRDefault="00000000">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3D2567" w:rsidRDefault="00000000">
            <w:pPr>
              <w:spacing w:before="20" w:after="20"/>
            </w:pPr>
            <w:r>
              <w:rPr>
                <w:color w:val="000000"/>
                <w:sz w:val="18"/>
              </w:rPr>
              <w:t>0.136</w:t>
            </w:r>
          </w:p>
        </w:tc>
      </w:tr>
      <w:tr w:rsidR="001F5E5B" w14:paraId="66AC2D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3D2567" w:rsidRDefault="00000000">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3D2567"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3D2567" w:rsidRDefault="00000000">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3D2567" w:rsidRDefault="00000000">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3D2567" w:rsidRDefault="00000000">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3D2567" w:rsidRDefault="00000000">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3D2567" w:rsidRDefault="00000000">
            <w:pPr>
              <w:spacing w:before="20" w:after="20"/>
            </w:pPr>
            <w:r>
              <w:rPr>
                <w:color w:val="000000"/>
                <w:sz w:val="18"/>
              </w:rPr>
              <w:t>0.060</w:t>
            </w:r>
          </w:p>
        </w:tc>
      </w:tr>
      <w:tr w:rsidR="001F5E5B" w14:paraId="66AC2D8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3D2567" w:rsidRDefault="00000000">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3D2567"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3D2567" w:rsidRDefault="00000000">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3D2567" w:rsidRDefault="00000000">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3D2567" w:rsidRDefault="00000000">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3D2567" w:rsidRDefault="00000000">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3D2567" w:rsidRDefault="00000000">
            <w:pPr>
              <w:spacing w:before="20" w:after="20"/>
            </w:pPr>
            <w:r>
              <w:rPr>
                <w:color w:val="000000"/>
                <w:sz w:val="18"/>
              </w:rPr>
              <w:t>0.064</w:t>
            </w:r>
          </w:p>
        </w:tc>
      </w:tr>
    </w:tbl>
    <w:p w14:paraId="66AC2D90" w14:textId="77777777" w:rsidR="003D2567" w:rsidRDefault="00000000">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3D2567" w:rsidRPr="00615854" w:rsidRDefault="003D2567"/>
    <w:p w14:paraId="66AC2D92" w14:textId="77777777" w:rsidR="003D2567" w:rsidRDefault="00000000">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3D2567"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3D2567"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3D2567"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3D2567"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3D2567"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3D2567" w:rsidRDefault="00000000">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3D2567" w:rsidRDefault="00000000">
            <w:pPr>
              <w:spacing w:before="20" w:after="20"/>
            </w:pPr>
            <w:r>
              <w:rPr>
                <w:b/>
                <w:color w:val="1F4E79"/>
                <w:sz w:val="18"/>
              </w:rPr>
              <w:t>Brier</w:t>
            </w:r>
          </w:p>
        </w:tc>
      </w:tr>
      <w:tr w:rsidR="001F5E5B" w14:paraId="66AC2DA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3D2567" w:rsidRDefault="00000000">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3D2567"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3D2567" w:rsidRDefault="00000000">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3D2567" w:rsidRDefault="00000000">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3D2567" w:rsidRDefault="00000000">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3D2567" w:rsidRDefault="00000000">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3D2567" w:rsidRDefault="00000000">
            <w:pPr>
              <w:spacing w:before="20" w:after="20"/>
            </w:pPr>
            <w:r>
              <w:rPr>
                <w:color w:val="000000"/>
                <w:sz w:val="18"/>
              </w:rPr>
              <w:t>0.060</w:t>
            </w:r>
          </w:p>
        </w:tc>
      </w:tr>
      <w:tr w:rsidR="001F5E5B" w14:paraId="66AC2DA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3D2567" w:rsidRDefault="00000000">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3D2567"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3D2567" w:rsidRDefault="00000000">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3D2567" w:rsidRDefault="00000000">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3D2567" w:rsidRDefault="00000000">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3D2567" w:rsidRDefault="00000000">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3D2567" w:rsidRDefault="00000000">
            <w:pPr>
              <w:spacing w:before="20" w:after="20"/>
            </w:pPr>
            <w:r>
              <w:rPr>
                <w:color w:val="000000"/>
                <w:sz w:val="18"/>
              </w:rPr>
              <w:t>0.067</w:t>
            </w:r>
          </w:p>
        </w:tc>
      </w:tr>
      <w:tr w:rsidR="001F5E5B" w14:paraId="66AC2DB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3D2567" w:rsidRDefault="00000000">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3D2567" w:rsidRDefault="00000000">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3D2567" w:rsidRDefault="00000000">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3D2567" w:rsidRDefault="00000000">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3D2567" w:rsidRDefault="00000000">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3D2567" w:rsidRDefault="00000000">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3D2567" w:rsidRDefault="00000000">
            <w:pPr>
              <w:spacing w:before="20" w:after="20"/>
            </w:pPr>
            <w:r>
              <w:rPr>
                <w:color w:val="000000"/>
                <w:sz w:val="18"/>
              </w:rPr>
              <w:t>0.061</w:t>
            </w:r>
          </w:p>
        </w:tc>
      </w:tr>
      <w:tr w:rsidR="001F5E5B" w14:paraId="66AC2DB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3D2567" w:rsidRDefault="00000000">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3D2567"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3D2567" w:rsidRDefault="00000000">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3D2567" w:rsidRDefault="00000000">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3D2567" w:rsidRDefault="00000000">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3D2567" w:rsidRDefault="00000000">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3D2567" w:rsidRDefault="00000000">
            <w:pPr>
              <w:spacing w:before="20" w:after="20"/>
            </w:pPr>
            <w:r>
              <w:rPr>
                <w:color w:val="000000"/>
                <w:sz w:val="18"/>
              </w:rPr>
              <w:t>0.057</w:t>
            </w:r>
          </w:p>
        </w:tc>
      </w:tr>
    </w:tbl>
    <w:p w14:paraId="66AC2DBB" w14:textId="77777777" w:rsidR="003D2567" w:rsidRDefault="00000000">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 All AUROC and AUPRC figures in this table are measures of in-crisis </w:t>
      </w:r>
      <w:r>
        <w:rPr>
          <w:i/>
          <w:iCs/>
        </w:rPr>
        <w:lastRenderedPageBreak/>
        <w:t>discrimination within the 2007 GFC episode and should not be interpreted as evidence of generalised prospective predictive performance.</w:t>
      </w:r>
    </w:p>
    <w:p w14:paraId="66AC2DBC" w14:textId="77777777" w:rsidR="003D2567" w:rsidRPr="00615854" w:rsidRDefault="003D2567"/>
    <w:p w14:paraId="66AC2DBD" w14:textId="77777777" w:rsidR="003D2567" w:rsidRDefault="00000000">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3D2567" w:rsidRDefault="00000000">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3D2567" w:rsidRDefault="003D2567"/>
    <w:p w14:paraId="66AC2DC0" w14:textId="77777777" w:rsidR="003D2567" w:rsidRDefault="00000000">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3D2567" w:rsidRDefault="00000000">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66AC2DC2" w14:textId="77777777" w:rsidR="003D2567" w:rsidRDefault="00000000">
      <w:r>
        <w:t xml:space="preserve">Stage 2 metrics are broadly comparable to the original analysis. M2-matched achieves AUROC 0.939 and AUPRC 0.343. M3 achieves AUROC 0.932 and AUPRC 0.411, a 5.0× </w:t>
      </w:r>
      <w:r>
        <w:lastRenderedPageBreak/>
        <w:t>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 at least as sensitive to model class as to the sentiment feature extension; the current design cannot cleanly isolate sentiment’s independent contribution because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 of M3 over M2-matched, but it substantially qualifies its interpretation as evidence of sentiment value.</w:t>
      </w:r>
    </w:p>
    <w:p w14:paraId="66AC2DC3" w14:textId="77777777" w:rsidR="003D2567" w:rsidRDefault="003D2567"/>
    <w:p w14:paraId="66AC2DC4" w14:textId="77777777" w:rsidR="003D2567" w:rsidRDefault="00000000">
      <w:r>
        <w:t>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14:paraId="66AC2DC5" w14:textId="77777777" w:rsidR="003D2567" w:rsidRDefault="00000000">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3D2567" w:rsidRPr="004075D1" w:rsidRDefault="00000000">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3D2567" w:rsidRDefault="003D2567">
      <w:pPr>
        <w:rPr>
          <w:b/>
          <w:bCs/>
        </w:rPr>
      </w:pPr>
    </w:p>
    <w:p w14:paraId="66AC2DC8" w14:textId="77777777" w:rsidR="003D2567" w:rsidRDefault="00000000">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3D2567" w:rsidRDefault="00000000">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3D2567" w:rsidRDefault="00000000">
      <w:r>
        <w:br w:type="page"/>
      </w:r>
    </w:p>
    <w:p w14:paraId="66AC2DCB" w14:textId="77777777" w:rsidR="003D2567" w:rsidRDefault="003D2567"/>
    <w:p w14:paraId="66AC2DCC" w14:textId="77777777" w:rsidR="003D2567" w:rsidRDefault="00000000">
      <w:r>
        <w:pict w14:anchorId="66AC3062">
          <v:rect id="_x0000_i1049" style="width:0;height:1.5pt" o:hralign="center" o:hrstd="t" o:hr="t"/>
        </w:pict>
      </w:r>
    </w:p>
    <w:p w14:paraId="66AC2DCD" w14:textId="77777777" w:rsidR="003D2567" w:rsidRDefault="00000000">
      <w:pPr>
        <w:pStyle w:val="Heading2"/>
      </w:pPr>
      <w:r>
        <w:t>4.3 Exploratory Decomposition of Model Changes</w:t>
      </w:r>
    </w:p>
    <w:p w14:paraId="66AC2DCE" w14:textId="77777777" w:rsidR="003D2567" w:rsidRDefault="00000000">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3D2567" w:rsidRDefault="003D2567"/>
    <w:p w14:paraId="66AC2DD0" w14:textId="77777777" w:rsidR="003D2567" w:rsidRDefault="00000000">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3D2567"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3D2567" w:rsidRDefault="00000000">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3D2567"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3D2567"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3D2567"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3D2567" w:rsidRDefault="00000000">
            <w:pPr>
              <w:spacing w:before="20" w:after="20"/>
            </w:pPr>
            <w:r>
              <w:rPr>
                <w:b/>
                <w:color w:val="1F4E79"/>
                <w:sz w:val="18"/>
              </w:rPr>
              <w:t>Brier</w:t>
            </w:r>
          </w:p>
        </w:tc>
      </w:tr>
      <w:tr w:rsidR="001F5E5B" w14:paraId="66AC2DD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3D2567" w:rsidRDefault="00000000">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3D2567" w:rsidRDefault="00000000">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3D2567" w:rsidRDefault="00000000">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3D2567" w:rsidRDefault="00000000">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3D2567" w:rsidRDefault="00000000">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3D2567" w:rsidRDefault="00000000">
            <w:pPr>
              <w:spacing w:before="20" w:after="20"/>
            </w:pPr>
            <w:r>
              <w:rPr>
                <w:color w:val="000000"/>
                <w:sz w:val="18"/>
              </w:rPr>
              <w:t>0.157</w:t>
            </w:r>
          </w:p>
        </w:tc>
      </w:tr>
      <w:tr w:rsidR="001F5E5B" w14:paraId="66AC2DE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3D2567" w:rsidRDefault="00000000">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3D2567" w:rsidRDefault="00000000">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3D2567"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3D2567" w:rsidRDefault="00000000">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3D2567" w:rsidRDefault="00000000">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3D2567" w:rsidRDefault="00000000">
            <w:pPr>
              <w:spacing w:before="20" w:after="20"/>
            </w:pPr>
            <w:r>
              <w:rPr>
                <w:color w:val="000000"/>
                <w:sz w:val="18"/>
              </w:rPr>
              <w:t>0.136</w:t>
            </w:r>
          </w:p>
        </w:tc>
      </w:tr>
      <w:tr w:rsidR="001F5E5B" w14:paraId="66AC2DE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3D2567" w:rsidRDefault="00000000">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3D2567" w:rsidRDefault="00000000">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3D2567"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3D2567" w:rsidRDefault="00000000">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3D2567" w:rsidRDefault="00000000">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3D2567" w:rsidRDefault="00000000">
            <w:pPr>
              <w:spacing w:before="20" w:after="20"/>
            </w:pPr>
            <w:r>
              <w:rPr>
                <w:color w:val="000000"/>
                <w:sz w:val="18"/>
              </w:rPr>
              <w:t>0.060</w:t>
            </w:r>
          </w:p>
        </w:tc>
      </w:tr>
      <w:tr w:rsidR="001F5E5B" w14:paraId="66AC2DF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3D2567" w:rsidRDefault="00000000">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3D2567" w:rsidRDefault="00000000">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3D2567"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3D2567" w:rsidRDefault="00000000">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3D2567" w:rsidRDefault="00000000">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3D2567" w:rsidRDefault="00000000">
            <w:pPr>
              <w:spacing w:before="20" w:after="20"/>
            </w:pPr>
            <w:r>
              <w:rPr>
                <w:color w:val="000000"/>
                <w:sz w:val="18"/>
              </w:rPr>
              <w:t>0.064</w:t>
            </w:r>
          </w:p>
        </w:tc>
      </w:tr>
    </w:tbl>
    <w:p w14:paraId="66AC2DF4" w14:textId="77777777" w:rsidR="003D2567" w:rsidRDefault="00000000">
      <w:r>
        <w:rPr>
          <w:i/>
          <w:iCs/>
        </w:rPr>
        <w:t>Table 4.3. Exploratory decomposition, Stage 1. Base rate = 0.065. Transitions are not orthogonal treatments. All metrics are upper bounds on prospective performance.</w:t>
      </w:r>
    </w:p>
    <w:p w14:paraId="66AC2DF5" w14:textId="77777777" w:rsidR="003D2567" w:rsidRDefault="003D2567"/>
    <w:p w14:paraId="66AC2DF6" w14:textId="77777777" w:rsidR="003D2567" w:rsidRDefault="00000000">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3D2567" w:rsidRDefault="003D2567">
      <w:pPr>
        <w:rPr>
          <w:b/>
          <w:bCs/>
        </w:rPr>
      </w:pPr>
    </w:p>
    <w:p w14:paraId="66AC2DF8" w14:textId="77777777" w:rsidR="003D2567" w:rsidRDefault="00000000">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66AC2DF9" w14:textId="77777777" w:rsidR="003D2567" w:rsidRDefault="00000000">
      <w:r>
        <w:pict w14:anchorId="66AC3063">
          <v:rect id="_x0000_i1050" style="width:0;height:1.5pt" o:hralign="center" o:hrstd="t" o:hr="t"/>
        </w:pict>
      </w:r>
    </w:p>
    <w:p w14:paraId="66AC2DFA" w14:textId="77777777" w:rsidR="003D2567" w:rsidRDefault="00000000">
      <w:pPr>
        <w:pStyle w:val="Heading2"/>
      </w:pPr>
      <w:r>
        <w:t>4.4 Multi-Horizon Analysis</w:t>
      </w:r>
    </w:p>
    <w:p w14:paraId="66AC2DFB" w14:textId="77777777" w:rsidR="003D2567" w:rsidRDefault="003D2567"/>
    <w:p w14:paraId="66AC2DFC" w14:textId="77777777" w:rsidR="003D2567" w:rsidRDefault="00000000">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3D2567" w:rsidRDefault="00000000">
      <w:r>
        <w:pict w14:anchorId="66AC3064">
          <v:rect id="_x0000_i1051" style="width:0;height:1.5pt" o:hralign="center" o:hrstd="t" o:hr="t"/>
        </w:pict>
      </w:r>
    </w:p>
    <w:p w14:paraId="66AC2DFE" w14:textId="77777777" w:rsidR="003D2567" w:rsidRDefault="00000000">
      <w:pPr>
        <w:pStyle w:val="Heading2"/>
      </w:pPr>
      <w:r>
        <w:t>4.5 Robustness: Temporal Validation and Leave-One-Country-Out</w:t>
      </w:r>
    </w:p>
    <w:p w14:paraId="66AC2DFF" w14:textId="77777777" w:rsidR="003D2567" w:rsidRDefault="003D2567">
      <w:pPr>
        <w:pStyle w:val="Heading3"/>
      </w:pPr>
    </w:p>
    <w:p w14:paraId="66AC2E00" w14:textId="77777777" w:rsidR="003D2567" w:rsidRDefault="00000000">
      <w:pPr>
        <w:pStyle w:val="Heading3"/>
      </w:pPr>
      <w:r>
        <w:t>4.5.1 Strict Temporal Validation</w:t>
      </w:r>
    </w:p>
    <w:p w14:paraId="66AC2E01" w14:textId="77777777" w:rsidR="003D2567" w:rsidRDefault="00000000">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3D2567" w:rsidRDefault="003D2567"/>
    <w:p w14:paraId="66AC2E03" w14:textId="77777777" w:rsidR="003D2567" w:rsidRDefault="00000000">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3D2567" w:rsidRDefault="00000000">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3D2567" w:rsidRDefault="00000000">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3D2567" w:rsidRDefault="00000000">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3D2567" w:rsidRDefault="00000000">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3D2567" w:rsidRDefault="00000000">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3D2567" w:rsidRDefault="00000000">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3D2567" w:rsidRDefault="00000000">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3D2567" w:rsidRDefault="00000000">
            <w:pPr>
              <w:spacing w:before="20" w:after="20"/>
            </w:pPr>
            <w:r>
              <w:rPr>
                <w:b/>
                <w:color w:val="1F4E79"/>
                <w:sz w:val="18"/>
              </w:rPr>
              <w:t>Benchmark</w:t>
            </w:r>
          </w:p>
        </w:tc>
      </w:tr>
      <w:tr w:rsidR="001F5E5B" w14:paraId="66AC2E1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3D2567" w:rsidRDefault="00000000">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3D2567" w:rsidRDefault="00000000">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3D2567" w:rsidRDefault="00000000">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3D2567" w:rsidRDefault="00000000">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3D2567" w:rsidRDefault="00000000">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3D2567" w:rsidRDefault="00000000">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3D2567" w:rsidRDefault="00000000">
            <w:pPr>
              <w:spacing w:before="20" w:after="20"/>
            </w:pPr>
            <w:r>
              <w:rPr>
                <w:color w:val="000000"/>
                <w:sz w:val="18"/>
              </w:rPr>
              <w:t>0.75</w:t>
            </w:r>
          </w:p>
        </w:tc>
      </w:tr>
      <w:tr w:rsidR="001F5E5B" w14:paraId="66AC2E1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3D2567" w:rsidRDefault="00000000">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3D2567" w:rsidRDefault="00000000">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3D2567" w:rsidRDefault="00000000">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3D2567" w:rsidRDefault="00000000">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3D2567" w:rsidRDefault="00000000">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3D2567" w:rsidRDefault="00000000">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3D2567" w:rsidRDefault="00000000">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3D2567" w:rsidRDefault="00000000">
            <w:pPr>
              <w:spacing w:before="20" w:after="20"/>
            </w:pPr>
            <w:r>
              <w:rPr>
                <w:color w:val="000000"/>
                <w:sz w:val="18"/>
              </w:rPr>
              <w:t>0.75</w:t>
            </w:r>
          </w:p>
        </w:tc>
      </w:tr>
      <w:tr w:rsidR="001F5E5B" w14:paraId="66AC2E2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3D2567" w:rsidRDefault="00000000">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3D2567" w:rsidRDefault="00000000">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3D2567" w:rsidRDefault="00000000">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3D2567" w:rsidRDefault="00000000">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3D2567"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3D2567"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3D2567"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3D2567" w:rsidRDefault="00000000">
            <w:pPr>
              <w:spacing w:before="20" w:after="20"/>
            </w:pPr>
            <w:r>
              <w:rPr>
                <w:color w:val="000000"/>
                <w:sz w:val="18"/>
              </w:rPr>
              <w:t>—</w:t>
            </w:r>
          </w:p>
        </w:tc>
      </w:tr>
    </w:tbl>
    <w:p w14:paraId="66AC2E28" w14:textId="77777777" w:rsidR="003D2567" w:rsidRDefault="00000000">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3D2567" w:rsidRDefault="003D2567"/>
    <w:p w14:paraId="66AC2E2A" w14:textId="77777777" w:rsidR="003D2567" w:rsidRDefault="00000000">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r>
      <w:r>
        <w:lastRenderedPageBreak/>
        <w:t>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3D2567" w:rsidRDefault="00000000">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3D2567" w:rsidRDefault="003D2567"/>
    <w:p w14:paraId="66AC2E2D" w14:textId="77777777" w:rsidR="003D2567" w:rsidRDefault="00000000">
      <w:pPr>
        <w:pStyle w:val="Heading3"/>
      </w:pPr>
      <w:r>
        <w:t>4.5.2 Leave-One-Country-Out Validation</w:t>
      </w:r>
    </w:p>
    <w:p w14:paraId="66AC2E2E" w14:textId="77777777" w:rsidR="003D2567" w:rsidRDefault="00000000">
      <w:r>
        <w:t>Figure 4.3 presents the LOCO AUROC comparison for M2 RF and M2.5 EBM across 15 countries with hold-out crisis events. Three countries with no hold-out crisis events (Australia, Canada, Norway) are excluded.</w:t>
      </w:r>
    </w:p>
    <w:p w14:paraId="66AC2E2F" w14:textId="77777777" w:rsidR="003D2567" w:rsidRDefault="00000000">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3D2567" w:rsidRPr="004075D1" w:rsidRDefault="00000000">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3D2567" w:rsidRDefault="003D2567"/>
    <w:p w14:paraId="66AC2E32" w14:textId="77777777" w:rsidR="003D2567" w:rsidRDefault="00000000">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3D2567" w:rsidRDefault="00000000">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3D2567" w:rsidRDefault="00000000">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3D2567" w:rsidRDefault="00000000">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3D2567" w:rsidRDefault="00000000">
            <w:pPr>
              <w:spacing w:before="20" w:after="20"/>
            </w:pPr>
            <w:r>
              <w:rPr>
                <w:b/>
                <w:color w:val="1F4E79"/>
                <w:sz w:val="18"/>
              </w:rPr>
              <w:t>EBM AUROC</w:t>
            </w:r>
          </w:p>
        </w:tc>
      </w:tr>
      <w:tr w:rsidR="001F5E5B" w14:paraId="66AC2E3C"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3D2567" w:rsidRDefault="00000000">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3D2567"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3D2567" w:rsidRDefault="00000000">
            <w:pPr>
              <w:spacing w:before="20" w:after="20"/>
            </w:pPr>
            <w:r>
              <w:rPr>
                <w:color w:val="000000"/>
                <w:sz w:val="18"/>
              </w:rPr>
              <w:t>1.000</w:t>
            </w:r>
          </w:p>
        </w:tc>
      </w:tr>
      <w:tr w:rsidR="001F5E5B" w14:paraId="66AC2E41"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3D2567" w:rsidRDefault="00000000">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3D2567"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3D2567" w:rsidRDefault="00000000">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3D2567" w:rsidRDefault="00000000">
            <w:pPr>
              <w:spacing w:before="20" w:after="20"/>
            </w:pPr>
            <w:r>
              <w:rPr>
                <w:color w:val="000000"/>
                <w:sz w:val="18"/>
              </w:rPr>
              <w:t>0.967</w:t>
            </w:r>
          </w:p>
        </w:tc>
      </w:tr>
      <w:tr w:rsidR="001F5E5B" w14:paraId="66AC2E46"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3D2567" w:rsidRDefault="00000000">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3D2567" w:rsidRDefault="00000000">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3D2567" w:rsidRDefault="00000000">
            <w:pPr>
              <w:spacing w:before="20" w:after="20"/>
            </w:pPr>
            <w:r>
              <w:rPr>
                <w:color w:val="000000"/>
                <w:sz w:val="18"/>
              </w:rPr>
              <w:t>0.968</w:t>
            </w:r>
          </w:p>
        </w:tc>
      </w:tr>
      <w:tr w:rsidR="001F5E5B" w14:paraId="66AC2E4B"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3D2567" w:rsidRDefault="00000000">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3D2567"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3D2567" w:rsidRDefault="00000000">
            <w:pPr>
              <w:spacing w:before="20" w:after="20"/>
            </w:pPr>
            <w:r>
              <w:rPr>
                <w:color w:val="000000"/>
                <w:sz w:val="18"/>
              </w:rPr>
              <w:t>1.000</w:t>
            </w:r>
          </w:p>
        </w:tc>
      </w:tr>
      <w:tr w:rsidR="001F5E5B" w14:paraId="66AC2E50"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3D2567" w:rsidRDefault="00000000">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3D2567"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3D2567" w:rsidRDefault="00000000">
            <w:pPr>
              <w:spacing w:before="20" w:after="20"/>
            </w:pPr>
            <w:r>
              <w:rPr>
                <w:color w:val="000000"/>
                <w:sz w:val="18"/>
              </w:rPr>
              <w:t>1.000</w:t>
            </w:r>
          </w:p>
        </w:tc>
      </w:tr>
      <w:tr w:rsidR="001F5E5B" w14:paraId="66AC2E5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3D2567" w:rsidRDefault="00000000">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3D2567"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3D2567" w:rsidRDefault="00000000">
            <w:pPr>
              <w:spacing w:before="20" w:after="20"/>
            </w:pPr>
            <w:r>
              <w:rPr>
                <w:color w:val="000000"/>
                <w:sz w:val="18"/>
              </w:rPr>
              <w:t>1.000</w:t>
            </w:r>
          </w:p>
        </w:tc>
      </w:tr>
      <w:tr w:rsidR="001F5E5B" w14:paraId="66AC2E5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3D2567" w:rsidRDefault="00000000">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3D2567" w:rsidRDefault="00000000">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3D2567" w:rsidRDefault="00000000">
            <w:pPr>
              <w:spacing w:before="20" w:after="20"/>
            </w:pPr>
            <w:r>
              <w:rPr>
                <w:color w:val="000000"/>
                <w:sz w:val="18"/>
              </w:rPr>
              <w:t>0.968</w:t>
            </w:r>
          </w:p>
        </w:tc>
      </w:tr>
      <w:tr w:rsidR="001F5E5B" w14:paraId="66AC2E5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3D2567" w:rsidRDefault="00000000">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3D2567"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3D2567" w:rsidRDefault="00000000">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3D2567" w:rsidRDefault="00000000">
            <w:pPr>
              <w:spacing w:before="20" w:after="20"/>
            </w:pPr>
            <w:r>
              <w:rPr>
                <w:color w:val="000000"/>
                <w:sz w:val="18"/>
              </w:rPr>
              <w:t>0.983</w:t>
            </w:r>
          </w:p>
        </w:tc>
      </w:tr>
      <w:tr w:rsidR="001F5E5B" w14:paraId="66AC2E64"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3D2567" w:rsidRDefault="00000000">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3D2567" w:rsidRDefault="00000000">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3D2567" w:rsidRDefault="00000000">
            <w:pPr>
              <w:spacing w:before="20" w:after="20"/>
            </w:pPr>
            <w:r>
              <w:rPr>
                <w:color w:val="000000"/>
                <w:sz w:val="18"/>
              </w:rPr>
              <w:t>0.903</w:t>
            </w:r>
          </w:p>
        </w:tc>
      </w:tr>
      <w:tr w:rsidR="001F5E5B" w14:paraId="66AC2E69"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3D2567" w:rsidRDefault="00000000">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3D2567"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3D2567" w:rsidRDefault="00000000">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3D2567" w:rsidRDefault="00000000">
            <w:pPr>
              <w:spacing w:before="20" w:after="20"/>
            </w:pPr>
            <w:r>
              <w:rPr>
                <w:color w:val="000000"/>
                <w:sz w:val="18"/>
              </w:rPr>
              <w:t>0.867</w:t>
            </w:r>
          </w:p>
        </w:tc>
      </w:tr>
      <w:tr w:rsidR="001F5E5B" w14:paraId="66AC2E6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3D2567" w:rsidRDefault="00000000">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3D2567" w:rsidRDefault="00000000">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3D2567" w:rsidRDefault="00000000">
            <w:pPr>
              <w:spacing w:before="20" w:after="20"/>
            </w:pPr>
            <w:r>
              <w:rPr>
                <w:color w:val="000000"/>
                <w:sz w:val="18"/>
              </w:rPr>
              <w:t>0.138</w:t>
            </w:r>
          </w:p>
        </w:tc>
      </w:tr>
      <w:tr w:rsidR="001F5E5B" w14:paraId="66AC2E73"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3D2567" w:rsidRDefault="00000000">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3D2567" w:rsidRDefault="00000000">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3D2567" w:rsidRDefault="00000000">
            <w:pPr>
              <w:spacing w:before="20" w:after="20"/>
            </w:pPr>
            <w:r>
              <w:rPr>
                <w:color w:val="000000"/>
                <w:sz w:val="18"/>
              </w:rPr>
              <w:t>0.903</w:t>
            </w:r>
          </w:p>
        </w:tc>
      </w:tr>
      <w:tr w:rsidR="001F5E5B" w14:paraId="66AC2E78"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3D2567" w:rsidRDefault="00000000">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3D2567" w:rsidRDefault="00000000">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3D2567" w:rsidRDefault="00000000">
            <w:pPr>
              <w:spacing w:before="20" w:after="20"/>
            </w:pPr>
            <w:r>
              <w:rPr>
                <w:color w:val="000000"/>
                <w:sz w:val="18"/>
              </w:rPr>
              <w:t>0.862</w:t>
            </w:r>
          </w:p>
        </w:tc>
      </w:tr>
      <w:tr w:rsidR="001F5E5B" w14:paraId="66AC2E7D"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3D2567" w:rsidRDefault="00000000">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3D2567"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3D2567" w:rsidRDefault="00000000">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3D2567" w:rsidRDefault="00000000">
            <w:pPr>
              <w:spacing w:before="20" w:after="20"/>
            </w:pPr>
            <w:r>
              <w:rPr>
                <w:color w:val="000000"/>
                <w:sz w:val="18"/>
              </w:rPr>
              <w:t>0.967</w:t>
            </w:r>
          </w:p>
        </w:tc>
      </w:tr>
      <w:tr w:rsidR="001F5E5B" w14:paraId="66AC2E8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3D2567" w:rsidRDefault="00000000">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3D2567"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3D2567" w:rsidRDefault="00000000">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3D2567" w:rsidRDefault="00000000">
            <w:pPr>
              <w:spacing w:before="20" w:after="20"/>
            </w:pPr>
            <w:r>
              <w:rPr>
                <w:color w:val="000000"/>
                <w:sz w:val="18"/>
              </w:rPr>
              <w:t>0.871</w:t>
            </w:r>
          </w:p>
        </w:tc>
      </w:tr>
      <w:tr w:rsidR="001F5E5B" w14:paraId="66AC2E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3D2567" w:rsidRDefault="00000000">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3D2567" w:rsidRDefault="003D2567">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3D2567" w:rsidRDefault="00000000">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3D2567" w:rsidRDefault="00000000">
            <w:pPr>
              <w:spacing w:before="20" w:after="20"/>
            </w:pPr>
            <w:r>
              <w:rPr>
                <w:bCs/>
                <w:color w:val="000000"/>
                <w:sz w:val="18"/>
              </w:rPr>
              <w:t>0.893 (0.215)</w:t>
            </w:r>
          </w:p>
        </w:tc>
      </w:tr>
    </w:tbl>
    <w:p w14:paraId="66AC2E88" w14:textId="77777777" w:rsidR="003D2567" w:rsidRDefault="00000000">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3D2567" w:rsidRDefault="003D2567"/>
    <w:p w14:paraId="66AC2E8A" w14:textId="77777777" w:rsidR="003D2567" w:rsidRDefault="00000000">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3D2567" w:rsidRDefault="003D2567"/>
    <w:p w14:paraId="66AC2E8C" w14:textId="77777777" w:rsidR="003D2567" w:rsidRDefault="00000000">
      <w:r>
        <w:pict w14:anchorId="66AC3067">
          <v:rect id="_x0000_i1052" style="width:0;height:1.5pt" o:hralign="center" o:hrstd="t" o:hr="t"/>
        </w:pict>
      </w:r>
    </w:p>
    <w:p w14:paraId="66AC2E8D" w14:textId="77777777" w:rsidR="003D2567" w:rsidRDefault="00000000">
      <w:pPr>
        <w:pStyle w:val="Heading2"/>
      </w:pPr>
      <w:r>
        <w:t>4.6 SHAP Feature Attribution</w:t>
      </w:r>
    </w:p>
    <w:p w14:paraId="66AC2E8E" w14:textId="77777777" w:rsidR="003D2567" w:rsidRDefault="00000000">
      <w:pPr>
        <w:pStyle w:val="Heading3"/>
      </w:pPr>
      <w:r>
        <w:t>4.6.1 Aggregate Attribution by Lag Group</w:t>
      </w:r>
    </w:p>
    <w:p w14:paraId="66AC2E8F" w14:textId="77777777" w:rsidR="003D2567" w:rsidRDefault="00000000">
      <w:r>
        <w:t>Figure 4.4 presents SHAP attribution for M3 in Stage 2 decomposed by lag group. The total macro share is 73.8 per cent and the FinBERT sentiment share is 26.2 per cent.</w:t>
      </w:r>
    </w:p>
    <w:p w14:paraId="66AC2E90" w14:textId="77777777" w:rsidR="003D2567" w:rsidRDefault="003D2567"/>
    <w:p w14:paraId="66AC2E91" w14:textId="77777777" w:rsidR="003D2567" w:rsidRDefault="00000000">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3D2567" w:rsidRPr="004075D1" w:rsidRDefault="00000000">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3D2567" w:rsidRDefault="003D2567"/>
    <w:p w14:paraId="66AC2E94" w14:textId="77777777" w:rsidR="003D2567" w:rsidRDefault="00000000">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3D2567" w:rsidRDefault="003D2567"/>
    <w:p w14:paraId="66AC2E96" w14:textId="77777777" w:rsidR="003D2567" w:rsidRDefault="00000000">
      <w:pPr>
        <w:pStyle w:val="Heading3"/>
      </w:pPr>
      <w:r>
        <w:t>4.6.2 Individual Feature Rankings</w:t>
      </w:r>
    </w:p>
    <w:p w14:paraId="66AC2E97" w14:textId="77777777" w:rsidR="003D2567" w:rsidRDefault="00000000">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3D2567" w:rsidRDefault="00000000">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3D2567" w:rsidRDefault="003D2567"/>
    <w:p w14:paraId="66AC2E9A" w14:textId="77777777" w:rsidR="003D2567" w:rsidRDefault="00000000">
      <w:pPr>
        <w:pStyle w:val="Heading3"/>
      </w:pPr>
      <w:r>
        <w:t>4.6.3 Convergence with EBM Native Importance</w:t>
      </w:r>
    </w:p>
    <w:p w14:paraId="66AC2E9B" w14:textId="77777777" w:rsidR="003D2567" w:rsidRDefault="00000000">
      <w:r>
        <w:lastRenderedPageBreak/>
        <w:t>Figure 4.5 presents SHAP feature rankings for M3 alongside EBM native feature importance for M2.5, derived without post-hoc attribution.</w:t>
      </w:r>
    </w:p>
    <w:p w14:paraId="66AC2E9C" w14:textId="77777777" w:rsidR="003D2567" w:rsidRDefault="003D2567"/>
    <w:p w14:paraId="66AC2E9D" w14:textId="77777777" w:rsidR="003D2567" w:rsidRDefault="00000000">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3D2567" w:rsidRPr="004075D1" w:rsidRDefault="00000000">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3D2567" w:rsidRDefault="003D2567"/>
    <w:p w14:paraId="66AC2EA0" w14:textId="77777777" w:rsidR="003D2567" w:rsidRDefault="00000000">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66AC2EA1" w14:textId="77777777" w:rsidR="003D2567" w:rsidRDefault="003D2567"/>
    <w:p w14:paraId="66AC2EA2" w14:textId="77777777" w:rsidR="003D2567" w:rsidRDefault="00000000">
      <w:r>
        <w:pict w14:anchorId="66AC306C">
          <v:rect id="_x0000_i1053" style="width:0;height:1.5pt" o:hralign="center" o:hrstd="t" o:hr="t"/>
        </w:pict>
      </w:r>
    </w:p>
    <w:p w14:paraId="66AC2EA3" w14:textId="77777777" w:rsidR="003D2567" w:rsidRDefault="00000000">
      <w:pPr>
        <w:pStyle w:val="Heading2"/>
      </w:pPr>
      <w:r>
        <w:t>4.7 EBM Interpretability Benchmark</w:t>
      </w:r>
    </w:p>
    <w:p w14:paraId="66AC2EA4" w14:textId="77777777" w:rsidR="003D2567" w:rsidRDefault="003D2567">
      <w:pPr>
        <w:pStyle w:val="Heading2"/>
      </w:pPr>
    </w:p>
    <w:p w14:paraId="66AC2EA5" w14:textId="77777777" w:rsidR="003D2567" w:rsidRDefault="00000000">
      <w:pPr>
        <w:pStyle w:val="Heading3"/>
      </w:pPr>
      <w:r>
        <w:t>4.7.1 Motivation and Design</w:t>
      </w:r>
    </w:p>
    <w:p w14:paraId="66AC2EA6" w14:textId="77777777" w:rsidR="003D2567" w:rsidRDefault="00000000">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r>
      <w:r>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3D2567" w:rsidRDefault="003D2567"/>
    <w:p w14:paraId="66AC2EA8" w14:textId="77777777" w:rsidR="003D2567" w:rsidRDefault="00000000">
      <w:pPr>
        <w:pStyle w:val="Heading3"/>
      </w:pPr>
      <w:r>
        <w:t>4.7.2 Feature Importance</w:t>
      </w:r>
    </w:p>
    <w:p w14:paraId="66AC2EA9" w14:textId="77777777" w:rsidR="003D2567" w:rsidRDefault="003D2567">
      <w:pPr>
        <w:pStyle w:val="Heading3"/>
      </w:pPr>
    </w:p>
    <w:p w14:paraId="66AC2EAA" w14:textId="77777777" w:rsidR="003D2567" w:rsidRDefault="00000000">
      <w:r>
        <w:t>Figure 4.6 presents EBM’s global feature importance for the Stage 2 full-data fit.</w:t>
      </w:r>
    </w:p>
    <w:p w14:paraId="66AC2EAB" w14:textId="77777777" w:rsidR="003D2567" w:rsidRDefault="003D2567"/>
    <w:p w14:paraId="66AC2EAC" w14:textId="77777777" w:rsidR="003D2567" w:rsidRDefault="00000000">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3D2567" w:rsidRDefault="00000000">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3D2567" w:rsidRDefault="003D2567"/>
    <w:p w14:paraId="66AC2EAF" w14:textId="77777777" w:rsidR="003D2567" w:rsidRDefault="00000000">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r>
      <w:r>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3D2567" w:rsidRDefault="00000000">
      <w:pPr>
        <w:pStyle w:val="Heading3"/>
      </w:pPr>
      <w:r>
        <w:t>4.7.3 Shape Function Analysis: Regime Instability</w:t>
      </w:r>
    </w:p>
    <w:p w14:paraId="66AC2EB1" w14:textId="77777777" w:rsidR="003D2567" w:rsidRDefault="00000000">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3D2567" w:rsidRDefault="003D2567"/>
    <w:p w14:paraId="66AC2EB3" w14:textId="77777777" w:rsidR="003D2567" w:rsidRDefault="00000000">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3D2567" w:rsidRDefault="00000000">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3D2567" w:rsidRDefault="003D2567"/>
    <w:p w14:paraId="66AC2EB6" w14:textId="77777777" w:rsidR="003D2567" w:rsidRDefault="00000000">
      <w:r>
        <w:t>The lag-3 term spread panel (top right) shows qualitatively distinct shapes — not merely scaled versions — confirming structural instability in EBM’s highest-ranked feature.</w:t>
      </w:r>
    </w:p>
    <w:p w14:paraId="66AC2EB7" w14:textId="77777777" w:rsidR="003D2567" w:rsidRDefault="00000000">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3D2567" w:rsidRDefault="00000000">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pre-GFC model learns a monotonically increasing risk relationship at positive spread values, </w:t>
      </w:r>
      <w:r>
        <w:lastRenderedPageBreak/>
        <w:t>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3D2567" w:rsidRDefault="00000000">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66AC2EBA" w14:textId="77777777" w:rsidR="003D2567" w:rsidRDefault="003D2567"/>
    <w:p w14:paraId="66AC2EBB" w14:textId="77777777" w:rsidR="003D2567" w:rsidRDefault="00000000">
      <w:r>
        <w:pict w14:anchorId="66AC3071">
          <v:rect id="_x0000_i1054" style="width:0;height:1.5pt" o:hralign="center" o:hrstd="t" o:hr="t"/>
        </w:pict>
      </w:r>
    </w:p>
    <w:p w14:paraId="66AC2EBC" w14:textId="77777777" w:rsidR="003D2567" w:rsidRDefault="00000000">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66AC2EBD" w14:textId="77777777" w:rsidR="003D2567" w:rsidRDefault="003D2567">
      <w:pPr>
        <w:jc w:val="both"/>
      </w:pPr>
    </w:p>
    <w:p w14:paraId="66AC2EBE" w14:textId="77777777" w:rsidR="003D2567" w:rsidRDefault="00000000">
      <w:pPr>
        <w:pStyle w:val="Heading2"/>
      </w:pPr>
      <w:r>
        <w:t>4.8 Calibration Analysis</w:t>
      </w:r>
    </w:p>
    <w:p w14:paraId="66AC2EBF" w14:textId="77777777" w:rsidR="003D2567" w:rsidRDefault="00000000">
      <w:r>
        <w:t>Figure 4.8 presents the calibration reliability diagrams for all three Stage 2 models.</w:t>
      </w:r>
    </w:p>
    <w:p w14:paraId="66AC2EC0" w14:textId="77777777" w:rsidR="003D2567" w:rsidRDefault="003D2567"/>
    <w:p w14:paraId="66AC2EC1" w14:textId="77777777" w:rsidR="003D2567" w:rsidRDefault="00000000">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3D2567" w:rsidRPr="00004A8E" w:rsidRDefault="00000000">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3D2567" w:rsidRDefault="003D2567"/>
    <w:p w14:paraId="66AC2EC4" w14:textId="77777777" w:rsidR="003D2567" w:rsidRDefault="00000000">
      <w:r>
        <w:lastRenderedPageBreak/>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3D2567" w:rsidRDefault="00000000">
      <w:r>
        <w:pict w14:anchorId="66AC3074">
          <v:rect id="_x0000_i1055" style="width:0;height:1.5pt" o:hralign="center" o:hrstd="t" o:hr="t"/>
        </w:pict>
      </w:r>
    </w:p>
    <w:p w14:paraId="66AC2EC6" w14:textId="77777777" w:rsidR="003D2567" w:rsidRDefault="00000000">
      <w:pPr>
        <w:pStyle w:val="Heading2"/>
      </w:pPr>
      <w:r>
        <w:t>4.9 Auxiliary Statistical Tests</w:t>
      </w:r>
    </w:p>
    <w:p w14:paraId="66AC2EC7" w14:textId="77777777" w:rsidR="003D2567" w:rsidRDefault="003D2567">
      <w:pPr>
        <w:pStyle w:val="Heading2"/>
      </w:pPr>
    </w:p>
    <w:p w14:paraId="66AC2EC8" w14:textId="77777777" w:rsidR="003D2567" w:rsidRDefault="00000000">
      <w:pPr>
        <w:pStyle w:val="Heading3"/>
      </w:pPr>
      <w:r>
        <w:t>4.9.1 Granger Causality: Credit Growth</w:t>
      </w:r>
    </w:p>
    <w:p w14:paraId="66AC2EC9" w14:textId="77777777" w:rsidR="003D2567" w:rsidRDefault="00000000">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66AC2ECA" w14:textId="77777777" w:rsidR="003D2567" w:rsidRDefault="003D2567"/>
    <w:p w14:paraId="66AC2ECB" w14:textId="77777777" w:rsidR="003D2567" w:rsidRDefault="00000000">
      <w:pPr>
        <w:pStyle w:val="Heading3"/>
      </w:pPr>
      <w:r>
        <w:t>4.9.2 Granger Causality: Term Spread</w:t>
      </w:r>
    </w:p>
    <w:p w14:paraId="66AC2ECC" w14:textId="77777777" w:rsidR="003D2567" w:rsidRDefault="00000000">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66AC2ECD" w14:textId="77777777" w:rsidR="003D2567" w:rsidRDefault="003D2567"/>
    <w:p w14:paraId="66AC2ECE" w14:textId="77777777" w:rsidR="003D2567" w:rsidRDefault="00000000">
      <w:pPr>
        <w:pStyle w:val="Heading3"/>
      </w:pPr>
      <w:r>
        <w:t>4.9.3 Panel Logistic: Term Spread</w:t>
      </w:r>
    </w:p>
    <w:p w14:paraId="66AC2ECF" w14:textId="77777777" w:rsidR="003D2567" w:rsidRDefault="00000000">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r>
      <w:r>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3D2567" w:rsidRDefault="003D2567"/>
    <w:p w14:paraId="66AC2ED1" w14:textId="77777777" w:rsidR="003D2567" w:rsidRDefault="00000000">
      <w:pPr>
        <w:pStyle w:val="Heading3"/>
      </w:pPr>
      <w:r>
        <w:t>4.9.4 Panel Logistic: Sentiment</w:t>
      </w:r>
    </w:p>
    <w:p w14:paraId="66AC2ED2" w14:textId="77777777" w:rsidR="003D2567" w:rsidRDefault="00000000">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3D2567" w:rsidRDefault="00000000">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66AC2ED4" w14:textId="77777777" w:rsidR="003D2567" w:rsidRDefault="003D2567">
      <w:pPr>
        <w:jc w:val="both"/>
      </w:pPr>
    </w:p>
    <w:p w14:paraId="66AC2ED5" w14:textId="77777777" w:rsidR="003D2567" w:rsidRDefault="00000000">
      <w:pPr>
        <w:pStyle w:val="Heading3"/>
      </w:pPr>
      <w:r>
        <w:t>4.9.5 ML Discrimination vs Statistical Tests</w:t>
      </w:r>
    </w:p>
    <w:p w14:paraId="66AC2ED6" w14:textId="77777777" w:rsidR="003D2567" w:rsidRDefault="00000000">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3D2567" w:rsidRDefault="003D2567"/>
    <w:p w14:paraId="66AC2ED8" w14:textId="77777777" w:rsidR="003D2567" w:rsidRDefault="00000000">
      <w:r>
        <w:pict w14:anchorId="66AC3075">
          <v:rect id="_x0000_i1056" style="width:0;height:1.5pt" o:hralign="center" o:hrstd="t" o:hr="t"/>
        </w:pict>
      </w:r>
    </w:p>
    <w:p w14:paraId="66AC2ED9" w14:textId="77777777" w:rsidR="003D2567" w:rsidRDefault="00000000">
      <w:pPr>
        <w:pStyle w:val="Heading2"/>
      </w:pPr>
      <w:r>
        <w:t>4.10 EBM Ensemble Extension</w:t>
      </w:r>
    </w:p>
    <w:p w14:paraId="66AC2EDA" w14:textId="77777777" w:rsidR="003D2567" w:rsidRDefault="003D2567">
      <w:pPr>
        <w:pStyle w:val="Heading2"/>
      </w:pPr>
    </w:p>
    <w:p w14:paraId="66AC2EDB" w14:textId="77777777" w:rsidR="003D2567" w:rsidRDefault="00000000">
      <w:pPr>
        <w:pStyle w:val="Heading3"/>
      </w:pPr>
      <w:r>
        <w:t>4.10.1 Design and Primary Results</w:t>
      </w:r>
    </w:p>
    <w:p w14:paraId="66AC2EDC" w14:textId="77777777" w:rsidR="003D2567" w:rsidRDefault="00000000">
      <w:r>
        <w:t>Following Holopainen and Sarlin (2017), an EBM-based ensemble is constructed as E1-EBM = 0.5 · P(M2-matched) + 0.5 · P(M2.5-matched) using equal weights throughout. Figure 4.9 presents the ROC and PR curves for all ensemble variants.</w:t>
      </w:r>
    </w:p>
    <w:p w14:paraId="66AC2EDD" w14:textId="77777777" w:rsidR="003D2567" w:rsidRDefault="003D2567"/>
    <w:p w14:paraId="66AC2EDE" w14:textId="77777777" w:rsidR="003D2567" w:rsidRDefault="00000000">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3D2567" w:rsidRPr="00004A8E" w:rsidRDefault="00000000">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3D2567" w:rsidRDefault="003D2567"/>
    <w:p w14:paraId="66AC2EE1" w14:textId="77777777" w:rsidR="003D2567" w:rsidRDefault="00000000">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 values reflect coincidence of rank ordering across the two evaluation windows rather than direct reproduction.</w:t>
      </w:r>
    </w:p>
    <w:p w14:paraId="66AC2EE2" w14:textId="77777777" w:rsidR="003D2567" w:rsidRDefault="003D2567"/>
    <w:p w14:paraId="66AC2EE3" w14:textId="77777777" w:rsidR="003D2567" w:rsidRDefault="00000000">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3D2567"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3D2567"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3D2567"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3D2567"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3D2567" w:rsidRDefault="00000000">
            <w:pPr>
              <w:spacing w:before="20" w:after="20"/>
            </w:pPr>
            <w:r>
              <w:rPr>
                <w:b/>
                <w:color w:val="1F4E79"/>
                <w:sz w:val="18"/>
              </w:rPr>
              <w:t>Brier</w:t>
            </w:r>
          </w:p>
        </w:tc>
      </w:tr>
      <w:tr w:rsidR="001F5E5B" w14:paraId="66AC2EE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3D2567" w:rsidRDefault="00000000">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3D2567" w:rsidRDefault="00000000">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3D2567" w:rsidRDefault="00000000">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3D2567" w:rsidRDefault="00000000">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3D2567" w:rsidRDefault="00000000">
            <w:pPr>
              <w:spacing w:before="20" w:after="20"/>
            </w:pPr>
            <w:r>
              <w:rPr>
                <w:color w:val="000000"/>
                <w:sz w:val="18"/>
              </w:rPr>
              <w:t>0.060</w:t>
            </w:r>
          </w:p>
        </w:tc>
      </w:tr>
      <w:tr w:rsidR="001F5E5B" w14:paraId="66AC2EF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3D2567" w:rsidRDefault="00000000">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3D2567" w:rsidRDefault="00000000">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3D2567" w:rsidRDefault="00000000">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3D2567" w:rsidRDefault="00000000">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3D2567" w:rsidRDefault="00000000">
            <w:pPr>
              <w:spacing w:before="20" w:after="20"/>
            </w:pPr>
            <w:r>
              <w:rPr>
                <w:color w:val="000000"/>
                <w:sz w:val="18"/>
              </w:rPr>
              <w:t>0.067</w:t>
            </w:r>
          </w:p>
        </w:tc>
      </w:tr>
      <w:tr w:rsidR="001F5E5B" w14:paraId="66AC2EF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3D2567" w:rsidRDefault="00000000">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3D2567" w:rsidRDefault="00000000">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3D2567" w:rsidRDefault="00000000">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3D2567" w:rsidRDefault="00000000">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3D2567" w:rsidRDefault="00000000">
            <w:pPr>
              <w:spacing w:before="20" w:after="20"/>
            </w:pPr>
            <w:r>
              <w:rPr>
                <w:color w:val="000000"/>
                <w:sz w:val="18"/>
              </w:rPr>
              <w:t>0.061</w:t>
            </w:r>
          </w:p>
        </w:tc>
      </w:tr>
      <w:tr w:rsidR="001F5E5B" w14:paraId="66AC2F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3D2567" w:rsidRDefault="00000000">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3D2567" w:rsidRDefault="00000000">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3D2567" w:rsidRDefault="00000000">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3D2567" w:rsidRDefault="00000000">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3D2567" w:rsidRDefault="00000000">
            <w:pPr>
              <w:spacing w:before="20" w:after="20"/>
            </w:pPr>
            <w:r>
              <w:rPr>
                <w:bCs/>
                <w:color w:val="000000"/>
                <w:sz w:val="18"/>
              </w:rPr>
              <w:t>0.056</w:t>
            </w:r>
          </w:p>
        </w:tc>
      </w:tr>
      <w:tr w:rsidR="001F5E5B" w14:paraId="66AC2F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3D2567" w:rsidRDefault="00000000">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3D2567" w:rsidRDefault="00000000">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3D2567" w:rsidRDefault="00000000">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3D2567" w:rsidRDefault="00000000">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3D2567" w:rsidRDefault="00000000">
            <w:pPr>
              <w:spacing w:before="20" w:after="20"/>
            </w:pPr>
            <w:r>
              <w:rPr>
                <w:color w:val="000000"/>
                <w:sz w:val="18"/>
              </w:rPr>
              <w:t>0.057</w:t>
            </w:r>
          </w:p>
        </w:tc>
      </w:tr>
    </w:tbl>
    <w:p w14:paraId="66AC2F08" w14:textId="77777777" w:rsidR="003D2567" w:rsidRDefault="00000000">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3D2567" w:rsidRDefault="003D2567"/>
    <w:p w14:paraId="66AC2F0A" w14:textId="77777777" w:rsidR="003D2567" w:rsidRDefault="00000000">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3D2567" w:rsidRDefault="003D2567"/>
    <w:p w14:paraId="66AC2F0C" w14:textId="77777777" w:rsidR="003D2567" w:rsidRDefault="00000000">
      <w:pPr>
        <w:pStyle w:val="Heading3"/>
      </w:pPr>
      <w:r>
        <w:t>4.10.2 Disagreement Analysis</w:t>
      </w:r>
    </w:p>
    <w:p w14:paraId="66AC2F0D" w14:textId="77777777" w:rsidR="003D2567" w:rsidRDefault="00000000">
      <w:r>
        <w:t>Figure 4.10 presents the model disagreement analysis for all three model pairs.</w:t>
      </w:r>
    </w:p>
    <w:p w14:paraId="66AC2F0E" w14:textId="77777777" w:rsidR="003D2567" w:rsidRDefault="003D2567"/>
    <w:p w14:paraId="66AC2F0F" w14:textId="77777777" w:rsidR="003D2567" w:rsidRDefault="00000000">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3D2567" w:rsidRDefault="00000000">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3D2567" w:rsidRDefault="003D2567"/>
    <w:p w14:paraId="66AC2F12" w14:textId="77777777" w:rsidR="003D2567" w:rsidRDefault="00000000">
      <w:r>
        <w:t>Crisis observations show substantially higher disagreement than non-crisis observations across all pairs, consistent with the Holopainen and Sarlin (2017) motivation.</w:t>
      </w:r>
    </w:p>
    <w:p w14:paraId="66AC2F13" w14:textId="77777777" w:rsidR="003D2567" w:rsidRDefault="00000000">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3D2567" w:rsidRDefault="003D2567"/>
    <w:p w14:paraId="66AC2F15" w14:textId="77777777" w:rsidR="003D2567" w:rsidRDefault="00000000">
      <w:pPr>
        <w:pStyle w:val="Heading3"/>
      </w:pPr>
      <w:r>
        <w:t>4.10.3 2007 Cross-Sectional Ranking</w:t>
      </w:r>
    </w:p>
    <w:p w14:paraId="66AC2F16" w14:textId="77777777" w:rsidR="003D2567" w:rsidRDefault="00000000">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66AC2F17" w14:textId="77777777" w:rsidR="003D2567" w:rsidRDefault="00000000">
      <w:r>
        <w:lastRenderedPageBreak/>
        <w:t>Figure 4.11 presents the E1-EBM 2007 country ranking by crisis type.</w:t>
      </w:r>
    </w:p>
    <w:p w14:paraId="66AC2F18" w14:textId="77777777" w:rsidR="003D2567" w:rsidRDefault="003D2567"/>
    <w:p w14:paraId="66AC2F19" w14:textId="77777777" w:rsidR="003D2567" w:rsidRDefault="00000000">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3D2567" w:rsidRPr="00004A8E" w:rsidRDefault="00000000">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6AC2F1B" w14:textId="77777777" w:rsidR="003D2567" w:rsidRDefault="003D2567"/>
    <w:p w14:paraId="66AC2F1C" w14:textId="77777777" w:rsidR="003D2567" w:rsidRDefault="00000000">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3D2567" w:rsidRDefault="00000000">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66AC2F1E" w14:textId="77777777" w:rsidR="003D2567" w:rsidRDefault="00000000">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66AC2F1F" w14:textId="77777777" w:rsidR="003D2567" w:rsidRDefault="00000000">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3D2567" w:rsidRDefault="00000000">
      <w:r>
        <w:pict w14:anchorId="66AC307C">
          <v:rect id="_x0000_i1057" style="width:0;height:1.5pt" o:hralign="center" o:hrstd="t" o:hr="t"/>
        </w:pict>
      </w:r>
    </w:p>
    <w:p w14:paraId="66AC2F21" w14:textId="77777777" w:rsidR="003D2567" w:rsidRDefault="00000000">
      <w:pPr>
        <w:pStyle w:val="Heading2"/>
      </w:pPr>
      <w:r>
        <w:t>4.11 Hypothesis Assessment</w:t>
      </w:r>
    </w:p>
    <w:p w14:paraId="66AC2F22" w14:textId="77777777" w:rsidR="003D2567" w:rsidRDefault="00000000">
      <w:pPr>
        <w:rPr>
          <w:b/>
          <w:bCs/>
        </w:rPr>
      </w:pPr>
      <w:r>
        <w:rPr>
          <w:b/>
          <w:bCs/>
        </w:rPr>
        <w:t>Table 4.7. Hypothesis assessment under the augmented two-stage pipeline with EBM extension</w:t>
      </w:r>
    </w:p>
    <w:p w14:paraId="66AC2F23" w14:textId="77777777" w:rsidR="003D2567" w:rsidRDefault="003D2567"/>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3D2567" w:rsidRDefault="00000000">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3D2567" w:rsidRDefault="00000000">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3D2567" w:rsidRDefault="00000000">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3D2567" w:rsidRDefault="00000000">
            <w:pPr>
              <w:spacing w:before="20" w:after="20"/>
            </w:pPr>
            <w:r>
              <w:rPr>
                <w:b/>
                <w:color w:val="1F4E79"/>
                <w:sz w:val="18"/>
              </w:rPr>
              <w:t>Verdict</w:t>
            </w:r>
          </w:p>
        </w:tc>
      </w:tr>
      <w:tr w:rsidR="001F5E5B" w14:paraId="66AC2F2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3D2567" w:rsidRDefault="00000000">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3D2567" w:rsidRDefault="00000000">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3D2567" w:rsidRDefault="00000000">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3D2567" w:rsidRDefault="00000000">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3D2567" w:rsidRDefault="00000000">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3D2567" w:rsidRDefault="00000000">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3D2567" w:rsidRDefault="00000000">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3D2567" w:rsidRDefault="00000000">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3D2567" w:rsidRDefault="00000000">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3D2567" w:rsidRDefault="00000000">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3D2567" w:rsidRDefault="00000000">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3D2567" w:rsidRDefault="00000000">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3D2567" w:rsidRDefault="00000000">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3D2567" w:rsidRDefault="003D2567"/>
    <w:p w14:paraId="66AC2F3A" w14:textId="77777777" w:rsidR="003D2567" w:rsidRDefault="00000000">
      <w:r>
        <w:t xml:space="preserve">The three hypotheses together trace a coherent argument about the structural limits of ML-based crisis prediction. H1 is directionally supported but Stage 2 performance differences </w:t>
      </w:r>
      <w:r>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3D2567" w:rsidRDefault="00000000">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66AC2F3C" w14:textId="77777777" w:rsidR="003D2567" w:rsidRDefault="003D2567"/>
    <w:p w14:paraId="66AC2F3D" w14:textId="77777777" w:rsidR="003D2567" w:rsidRDefault="00000000">
      <w:r>
        <w:t>This indicates that the limitation of early-warning systems lies not in insufficient model capacity, but in the absence of a stable relationship to be learned.</w:t>
      </w:r>
    </w:p>
    <w:p w14:paraId="66AC2F3E" w14:textId="77777777" w:rsidR="003D2567" w:rsidRDefault="00000000">
      <w:r>
        <w:br w:type="page"/>
      </w:r>
    </w:p>
    <w:p w14:paraId="66AC2F3F" w14:textId="77777777" w:rsidR="00FE494B" w:rsidRDefault="00000000">
      <w:r>
        <w:lastRenderedPageBreak/>
        <w:br w:type="page"/>
      </w:r>
    </w:p>
    <w:p w14:paraId="66AC2F40" w14:textId="77777777" w:rsidR="003D2567" w:rsidRDefault="00000000">
      <w:pPr>
        <w:pStyle w:val="Heading1"/>
      </w:pPr>
      <w:r>
        <w:lastRenderedPageBreak/>
        <w:t>Chapter 5: Discussion</w:t>
      </w:r>
    </w:p>
    <w:p w14:paraId="66AC2F41" w14:textId="77777777" w:rsidR="003D2567" w:rsidRDefault="00000000">
      <w:r>
        <w:pict w14:anchorId="66AC307D">
          <v:rect id="_x0000_i1058" style="width:0;height:1.5pt" o:hralign="center" o:hrstd="t" o:hr="t"/>
        </w:pict>
      </w:r>
    </w:p>
    <w:p w14:paraId="66AC2F42" w14:textId="77777777" w:rsidR="003D2567" w:rsidRDefault="00000000">
      <w:pPr>
        <w:pStyle w:val="Heading2"/>
      </w:pPr>
      <w:r>
        <w:t>5.1 Overview of Findings</w:t>
      </w:r>
    </w:p>
    <w:p w14:paraId="66AC2F43" w14:textId="77777777" w:rsidR="003D2567" w:rsidRDefault="00000000">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3D2567" w:rsidRDefault="003D2567"/>
    <w:p w14:paraId="66AC2F45" w14:textId="77777777" w:rsidR="003D2567" w:rsidRDefault="00000000">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3D2567" w:rsidRDefault="003D2567"/>
    <w:p w14:paraId="66AC2F47" w14:textId="77777777" w:rsidR="003D2567" w:rsidRDefault="00000000">
      <w:r>
        <w:t>The second finding concerns sentiment augmentation. Within the Stage 2 Cross-Sectional Case Study, M3 achieves AUPRC 0.411 against M2-matched’s 0.343, but the bootstrap 95% CI spans zero, auxiliary statistical tests find no significant sentiment–crisis relationship, and the EBM benchmark (macro-only, AUPRC 0.532) outperforms M3 without any sentiment features. The M3 advantage cannot be attributed to a stable sentiment signal: Stage 2 performance differences are at least as sensitive to model class as to the sentiment feature extension.</w:t>
      </w:r>
    </w:p>
    <w:p w14:paraId="66AC2F48" w14:textId="77777777" w:rsidR="003D2567" w:rsidRDefault="003D2567"/>
    <w:p w14:paraId="66AC2F49" w14:textId="77777777" w:rsidR="003D2567" w:rsidRDefault="00000000">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appears to produce more aggressive regime-specific fitting, not greater generalisability.</w:t>
      </w:r>
    </w:p>
    <w:p w14:paraId="66AC2F4A" w14:textId="77777777" w:rsidR="003D2567" w:rsidRDefault="003D2567"/>
    <w:p w14:paraId="66AC2F4B" w14:textId="77777777" w:rsidR="003D2567" w:rsidRDefault="00000000">
      <w:r>
        <w:t>The fourth finding is the ensemble extension. E1-EBM achieves AUROC 0.955 and Brier 0.056 — the best global probability accuracy in Stage 2 — while E1-Orig achieves comparable AUPRC (0.440 versus E1-EBM’s 0.433) but slightly higher Brier (0.057). All ensemble results are conditioned on the single-episode GFC evaluation and do not establish prospective reliability.</w:t>
      </w:r>
    </w:p>
    <w:p w14:paraId="66AC2F4C" w14:textId="77777777" w:rsidR="003D2567" w:rsidRDefault="003D2567"/>
    <w:p w14:paraId="66AC2F4D" w14:textId="77777777" w:rsidR="003D2567" w:rsidRDefault="00000000">
      <w:r>
        <w:lastRenderedPageBreak/>
        <w:t>The fifth finding is the 2007 cross-sectional crisis-type discrimination. E1-EBM assigns mean probability 0.695 to fundamental credit-boom crises (n=9), 0.395 to contagion-driven cases (n=5), and 0.325 to no-crisis countries (n=4) — following Sweden’s reclassification as Contagion per JST R6. This stratification indicates mechanism-specific signal in the macro features, as a post-hoc exploratory result for a single episode.</w:t>
      </w:r>
    </w:p>
    <w:p w14:paraId="66AC2F4E" w14:textId="77777777" w:rsidR="003D2567" w:rsidRDefault="003D2567"/>
    <w:p w14:paraId="66AC2F4F" w14:textId="77777777" w:rsidR="003D2567" w:rsidRDefault="00000000">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3D2567" w:rsidRDefault="003D2567"/>
    <w:p w14:paraId="66AC2F51" w14:textId="77777777" w:rsidR="003D2567" w:rsidRDefault="00000000">
      <w:r>
        <w:pict w14:anchorId="66AC307E">
          <v:rect id="_x0000_i1059" style="width:0;height:1.5pt" o:hralign="center" o:hrstd="t" o:hr="t"/>
        </w:pict>
      </w:r>
    </w:p>
    <w:p w14:paraId="66AC2F52" w14:textId="77777777" w:rsidR="003D2567" w:rsidRDefault="00000000">
      <w:pPr>
        <w:pStyle w:val="Heading2"/>
      </w:pPr>
      <w:r>
        <w:t>5.2 The EBM Interpretability Benchmark: What Native Transparency Reveals</w:t>
      </w:r>
    </w:p>
    <w:p w14:paraId="66AC2F53" w14:textId="77777777" w:rsidR="003D2567" w:rsidRDefault="003D2567"/>
    <w:p w14:paraId="66AC2F54" w14:textId="77777777" w:rsidR="003D2567" w:rsidRDefault="00000000">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3D2567" w:rsidRDefault="003D2567"/>
    <w:p w14:paraId="66AC2F56" w14:textId="77777777" w:rsidR="003D2567" w:rsidRDefault="00000000">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66AC2F57" w14:textId="77777777" w:rsidR="003D2567" w:rsidRDefault="00000000">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EWS designs are not merely empirically limited — they may be conceptually misaligned with structural break environments. Regime-switching models, mechanism-specific </w:t>
      </w:r>
      <w:r>
        <w:lastRenderedPageBreak/>
        <w:t>classifiers, or Bayesian updating frameworks could partially address this, but are beyond the present scope.</w:t>
      </w:r>
    </w:p>
    <w:p w14:paraId="66AC2F58" w14:textId="77777777" w:rsidR="003D2567" w:rsidRDefault="003D2567"/>
    <w:p w14:paraId="66AC2F59" w14:textId="77777777" w:rsidR="003D2567" w:rsidRDefault="00000000">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3D2567" w:rsidRDefault="00000000">
      <w:r>
        <w:pict w14:anchorId="66AC307F">
          <v:rect id="_x0000_i1060" style="width:0;height:1.5pt" o:hralign="center" o:hrstd="t" o:hr="t"/>
        </w:pict>
      </w:r>
    </w:p>
    <w:p w14:paraId="66AC2F5B" w14:textId="77777777" w:rsidR="003D2567" w:rsidRDefault="00000000">
      <w:pPr>
        <w:pStyle w:val="Heading2"/>
      </w:pPr>
      <w:r>
        <w:t>5.3 The Ensemble as a Response to Model Uncertainty</w:t>
      </w:r>
    </w:p>
    <w:p w14:paraId="66AC2F5C" w14:textId="77777777" w:rsidR="003D2567" w:rsidRDefault="003D2567"/>
    <w:p w14:paraId="66AC2F5D" w14:textId="77777777" w:rsidR="003D2567" w:rsidRDefault="00000000">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3D2567" w:rsidRDefault="00000000">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3D2567" w:rsidRDefault="00000000">
      <w:r>
        <w:t>This is the condition Holopainen and Sarlin (2017) identify as the primary motivation for ensemble averaging.</w:t>
      </w:r>
    </w:p>
    <w:p w14:paraId="66AC2F60" w14:textId="77777777" w:rsidR="003D2567" w:rsidRDefault="00000000">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3D2567" w:rsidRDefault="00000000">
      <w:r>
        <w:pict w14:anchorId="66AC3080">
          <v:rect id="_x0000_i1061" style="width:0;height:1.5pt" o:hralign="center" o:hrstd="t" o:hr="t"/>
        </w:pict>
      </w:r>
    </w:p>
    <w:p w14:paraId="66AC2F62" w14:textId="77777777" w:rsidR="003D2567" w:rsidRDefault="00000000">
      <w:pPr>
        <w:pStyle w:val="Heading2"/>
      </w:pPr>
      <w:r>
        <w:t>5.4 Crisis Heterogeneity and Model Scope</w:t>
      </w:r>
    </w:p>
    <w:p w14:paraId="66AC2F63" w14:textId="77777777" w:rsidR="003D2567" w:rsidRDefault="00000000">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w:t>
      </w:r>
      <w:r>
        <w:lastRenderedPageBreak/>
        <w:t>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3D2567" w:rsidRDefault="003D2567"/>
    <w:p w14:paraId="66AC2F65" w14:textId="77777777" w:rsidR="003D2567" w:rsidRDefault="00000000">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from the crisis chronology. Training on an undifferentiated target that conflates all four introduces noise into the learning problem.</w:t>
      </w:r>
    </w:p>
    <w:p w14:paraId="66AC2F66" w14:textId="77777777" w:rsidR="003D2567" w:rsidRDefault="00000000">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3D2567" w:rsidRDefault="003D2567"/>
    <w:p w14:paraId="66AC2F68" w14:textId="77777777" w:rsidR="003D2567" w:rsidRDefault="00000000">
      <w:r>
        <w:t xml:space="preserve">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is the most prominent qualitative scope failure: the JST target_h2 label is 0 in 2007, placing it outside the statistical crisis window. It is therefore not a statistical false negative under the binary evaluation criterion, but a qualitative economic </w:t>
      </w:r>
      <w:r>
        <w:lastRenderedPageBreak/>
        <w:t>mismatch — the model assigns low risk to a country whose banking stress is economically central to the GFC narrative. The mechanism behind this mismatch is examined in detail in Section 5.4.1. Both cases illustrate the limits of the macro precursor approach and are consistent with the crisis heterogeneity argument developed above.</w:t>
      </w:r>
    </w:p>
    <w:p w14:paraId="66AC2F69" w14:textId="77777777" w:rsidR="003D2567" w:rsidRDefault="003D2567"/>
    <w:p w14:paraId="66AC2F6A" w14:textId="77777777" w:rsidR="003D2567" w:rsidRDefault="00000000">
      <w:pPr>
        <w:pStyle w:val="Heading3"/>
      </w:pPr>
      <w:r>
        <w:t>5.4.1 Feature-Level Evidence: Spain, Sweden, and the United Kingdom</w:t>
      </w:r>
    </w:p>
    <w:p w14:paraId="66AC2F6B" w14:textId="77777777" w:rsidR="003D2567" w:rsidRDefault="00000000">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66AC2F6C" w14:textId="77777777" w:rsidR="003D2567" w:rsidRDefault="003D2567"/>
    <w:p w14:paraId="66AC2F6D" w14:textId="77777777" w:rsidR="003D2567" w:rsidRDefault="00000000">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3D2567" w:rsidRDefault="003D2567"/>
    <w:p w14:paraId="66AC2F6F" w14:textId="77777777" w:rsidR="003D2567" w:rsidRDefault="003D2567"/>
    <w:p w14:paraId="66AC2F70" w14:textId="77777777" w:rsidR="003D2567" w:rsidRDefault="00000000">
      <w:r>
        <w:t xml:space="preserve">Figure 5.1a presents credit and housing conditions averaged over 2004–2006. Spain’s credit growth (19.8% p.a.) and house price growth (17.6%) are consistent with the classic pre-crisis domestic boom pattern (Schularick and Taylor, 2012); EBM shape functions assign increasing crisis probability at elevated credit growth, and Spain sits well into the high-risk </w:t>
      </w:r>
      <w:r>
        <w:lastRenderedPageBreak/>
        <w:t>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3D2567" w:rsidRDefault="003D2567"/>
    <w:p w14:paraId="66AC2F72" w14:textId="77777777" w:rsidR="003D2567" w:rsidRDefault="00000000">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3D2567" w:rsidRDefault="003D2567"/>
    <w:p w14:paraId="66AC2F74" w14:textId="77777777" w:rsidR="003D2567" w:rsidRDefault="00000000">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3D2567" w:rsidRDefault="003D2567"/>
    <w:p w14:paraId="66AC2F76" w14:textId="77777777" w:rsidR="003D2567" w:rsidRDefault="00000000">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combined with steepened yield curves, reflect the shared low-rate environment of the mid-</w:t>
      </w:r>
      <w:r>
        <w:lastRenderedPageBreak/>
        <w:t>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3D2567" w:rsidRDefault="003D2567"/>
    <w:p w14:paraId="66AC2F78" w14:textId="77777777" w:rsidR="003D2567" w:rsidRDefault="00000000">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 contribution.</w:t>
      </w:r>
    </w:p>
    <w:p w14:paraId="66AC2F79" w14:textId="77777777" w:rsidR="003D2567" w:rsidRDefault="003D2567"/>
    <w:p w14:paraId="66AC2F7A" w14:textId="77777777" w:rsidR="003D2567" w:rsidRDefault="00000000">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3D2567" w:rsidRDefault="003D2567"/>
    <w:p w14:paraId="66AC2F7C" w14:textId="77777777" w:rsidR="003D2567" w:rsidRDefault="00000000">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3D2567" w:rsidRDefault="00000000">
      <w:r>
        <w:br w:type="page"/>
      </w:r>
    </w:p>
    <w:p w14:paraId="66AC2F7E" w14:textId="77777777" w:rsidR="003D2567" w:rsidRDefault="003D2567"/>
    <w:p w14:paraId="66AC2F7F" w14:textId="77777777" w:rsidR="003D2567" w:rsidRDefault="00000000">
      <w:r>
        <w:pict w14:anchorId="66AC3087">
          <v:rect id="_x0000_i1062" style="width:0;height:1.5pt" o:hralign="center" o:hrstd="t" o:hr="t"/>
        </w:pict>
      </w:r>
    </w:p>
    <w:p w14:paraId="66AC2F80" w14:textId="77777777" w:rsidR="003D2567" w:rsidRDefault="00000000">
      <w:pPr>
        <w:pStyle w:val="Heading2"/>
      </w:pPr>
      <w:r>
        <w:t>5.5 Implications for Early-Warning System Design</w:t>
      </w:r>
    </w:p>
    <w:p w14:paraId="66AC2F81" w14:textId="77777777" w:rsidR="003D2567" w:rsidRDefault="003D2567"/>
    <w:p w14:paraId="66AC2F82" w14:textId="77777777" w:rsidR="003D2567" w:rsidRDefault="00000000">
      <w:r>
        <w:t>Four practical implications follow from the augmented analysis, stated with appropriate caution given the evaluation constraints throughout Chapter 4.</w:t>
      </w:r>
    </w:p>
    <w:p w14:paraId="66AC2F83" w14:textId="77777777" w:rsidR="003D2567" w:rsidRDefault="003D2567"/>
    <w:p w14:paraId="66AC2F84" w14:textId="77777777" w:rsidR="003D2567" w:rsidRDefault="00000000">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3D2567" w:rsidRDefault="003D2567"/>
    <w:p w14:paraId="66AC2F86" w14:textId="77777777" w:rsidR="003D2567" w:rsidRDefault="00000000">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this recommendation comes with the Split B qualification: greater interpretability via EBM does not confer prospective robustness and may increase sensitivity to regime-specific overfitting.</w:t>
      </w:r>
    </w:p>
    <w:p w14:paraId="66AC2F87" w14:textId="77777777" w:rsidR="003D2567" w:rsidRDefault="003D2567"/>
    <w:p w14:paraId="66AC2F88" w14:textId="77777777" w:rsidR="003D2567" w:rsidRDefault="00000000">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3D2567" w:rsidRDefault="003D2567"/>
    <w:p w14:paraId="66AC2F8A" w14:textId="77777777" w:rsidR="003D2567" w:rsidRDefault="00000000">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3D2567" w:rsidRDefault="00000000">
      <w:r>
        <w:pict w14:anchorId="66AC3088">
          <v:rect id="_x0000_i1063" style="width:0;height:1.5pt" o:hralign="center" o:hrstd="t" o:hr="t"/>
        </w:pict>
      </w:r>
    </w:p>
    <w:p w14:paraId="66AC2F8C" w14:textId="77777777" w:rsidR="003D2567" w:rsidRDefault="00000000">
      <w:pPr>
        <w:pStyle w:val="Heading2"/>
      </w:pPr>
      <w:r>
        <w:t>5.6 Limitations</w:t>
      </w:r>
    </w:p>
    <w:p w14:paraId="66AC2F8D" w14:textId="77777777" w:rsidR="003D2567" w:rsidRDefault="00000000">
      <w:r>
        <w:t>Several limitations constrain the interpretation of results throughout this analysis.</w:t>
      </w:r>
    </w:p>
    <w:p w14:paraId="66AC2F8E" w14:textId="77777777" w:rsidR="003D2567" w:rsidRDefault="003D2567"/>
    <w:p w14:paraId="66AC2F8F" w14:textId="77777777" w:rsidR="003D2567" w:rsidRDefault="00000000">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66AC2F90" w14:textId="77777777" w:rsidR="003D2567" w:rsidRDefault="003D2567"/>
    <w:p w14:paraId="66AC2F91" w14:textId="77777777" w:rsidR="003D2567" w:rsidRDefault="00000000">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3D2567" w:rsidRDefault="003D2567"/>
    <w:p w14:paraId="66AC2F93" w14:textId="77777777" w:rsidR="003D2567" w:rsidRDefault="00000000">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3D2567" w:rsidRDefault="003D2567"/>
    <w:p w14:paraId="66AC2F95" w14:textId="77777777" w:rsidR="003D2567" w:rsidRDefault="00000000">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3D2567" w:rsidRDefault="003D2567"/>
    <w:p w14:paraId="66AC2F97" w14:textId="77777777" w:rsidR="003D2567" w:rsidRDefault="00000000">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3D2567" w:rsidRDefault="00000000">
      <w:r>
        <w:pict w14:anchorId="66AC3089">
          <v:rect id="_x0000_i1064" style="width:0;height:1.5pt" o:hralign="center" o:hrstd="t" o:hr="t"/>
        </w:pict>
      </w:r>
    </w:p>
    <w:p w14:paraId="66AC2F99" w14:textId="77777777" w:rsidR="003D2567" w:rsidRDefault="00000000">
      <w:pPr>
        <w:pStyle w:val="Heading2"/>
      </w:pPr>
      <w:r>
        <w:t>5.7 Extensions and Future Research</w:t>
      </w:r>
    </w:p>
    <w:p w14:paraId="66AC2F9A" w14:textId="77777777" w:rsidR="003D2567" w:rsidRDefault="003D2567"/>
    <w:p w14:paraId="66AC2F9B" w14:textId="77777777" w:rsidR="003D2567" w:rsidRDefault="00000000">
      <w:r>
        <w:t>Three extensions follow directly from the present analysis, ordered by feasibility and proximity to the existing framework.</w:t>
      </w:r>
    </w:p>
    <w:p w14:paraId="66AC2F9C" w14:textId="77777777" w:rsidR="003D2567" w:rsidRDefault="003D2567"/>
    <w:p w14:paraId="66AC2F9D" w14:textId="77777777" w:rsidR="003D2567" w:rsidRDefault="00000000">
      <w:r>
        <w:rPr>
          <w:b/>
          <w:bCs/>
        </w:rPr>
        <w:lastRenderedPageBreak/>
        <w:t>Completed Extension — Topic-specific text features:</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66AC2F9E" w14:textId="77777777" w:rsidR="003D2567" w:rsidRDefault="00000000">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66AC2F9F" w14:textId="77777777" w:rsidR="003D2567" w:rsidRDefault="00000000">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66AC2FA0" w14:textId="77777777" w:rsidR="003D2567" w:rsidRDefault="003D2567">
      <w:pPr>
        <w:rPr>
          <w:b/>
          <w:bCs/>
        </w:rPr>
      </w:pPr>
    </w:p>
    <w:p w14:paraId="66AC2FA1" w14:textId="77777777" w:rsidR="003D2567" w:rsidRDefault="00000000">
      <w:r>
        <w:rPr>
          <w:b/>
          <w:bCs/>
        </w:rPr>
        <w:t>Proposed Extension 1 — Regime-conditional modelling: EBM shape functions from disjoint sub-periods could serve as inputs to a clustering algorithm identifying distinct crisis regimes, replacing exogenous regime boundary specification. A regime-conditioning layer applying regime-specific prediction models directly addresses the core non-stationarity finding and represents the most impactful single extension.</w:t>
      </w:r>
    </w:p>
    <w:p w14:paraId="66AC2FA2" w14:textId="77777777" w:rsidR="003D2567" w:rsidRDefault="00000000">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66AC2FA3" w14:textId="77777777" w:rsidR="003D2567" w:rsidRDefault="00000000">
      <w:r>
        <w:t>This extension directly addresses the core finding of this dissertation and would constitute the most substantive methodological advancement.</w:t>
      </w:r>
    </w:p>
    <w:p w14:paraId="66AC2FA4" w14:textId="77777777" w:rsidR="003D2567" w:rsidRDefault="003D2567">
      <w:pPr>
        <w:rPr>
          <w:b/>
          <w:bCs/>
        </w:rPr>
      </w:pPr>
    </w:p>
    <w:p w14:paraId="66AC2FA5" w14:textId="77777777" w:rsidR="003D2567" w:rsidRDefault="00000000">
      <w:r>
        <w:rPr>
          <w:b/>
          <w:bCs/>
        </w:rPr>
        <w:t>Proposed Extension 2 — Network contagion features: incorporating bilateral bank exposure data from the BIS consolidated banking statistics (following Cetorelli and Goldberg, 2011) would capture cross-country financial linkages currently invisible to the model. This is the most ambitious extension but would most directly address the crisis heterogeneity limitation identified in Section 5.4.</w:t>
      </w:r>
    </w:p>
    <w:p w14:paraId="66AC2FA6" w14:textId="77777777" w:rsidR="003D2567" w:rsidRDefault="00000000">
      <w:r>
        <w:t>This extension requires substantial additional data collection and represents a more fundamental departure from the present modelling framework but would directly address the crisis heterogeneity limitation identified in Section 5.4.</w:t>
      </w:r>
    </w:p>
    <w:p w14:paraId="66AC2FA7" w14:textId="77777777" w:rsidR="003D2567" w:rsidRDefault="003D2567"/>
    <w:p w14:paraId="66AC2FA8" w14:textId="77777777" w:rsidR="003D2567" w:rsidRDefault="00000000">
      <w:r>
        <w:pict w14:anchorId="66AC308A">
          <v:rect id="_x0000_i1065" style="width:0;height:1.5pt" o:hralign="center" o:bullet="t" o:hrstd="t" o:hr="t"/>
        </w:pict>
      </w:r>
    </w:p>
    <w:p w14:paraId="66AC2FA9" w14:textId="77777777" w:rsidR="003D2567" w:rsidRDefault="003D2567"/>
    <w:p w14:paraId="66AC2FAA" w14:textId="77777777" w:rsidR="003D2567" w:rsidRDefault="00000000">
      <w:pPr>
        <w:pStyle w:val="Heading2"/>
      </w:pPr>
      <w:r>
        <w:t>5.8 Conclusion</w:t>
      </w:r>
    </w:p>
    <w:p w14:paraId="66AC2FAB" w14:textId="77777777" w:rsidR="003D2567" w:rsidRDefault="003D2567"/>
    <w:p w14:paraId="66AC2FAC" w14:textId="77777777" w:rsidR="003D2567" w:rsidRDefault="00000000">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choice.</w:t>
      </w:r>
    </w:p>
    <w:p w14:paraId="66AC2FAD" w14:textId="77777777" w:rsidR="003D2567" w:rsidRDefault="003D2567"/>
    <w:p w14:paraId="66AC2FAE" w14:textId="77777777" w:rsidR="003D2567" w:rsidRDefault="00000000">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14:paraId="66AC2FAF" w14:textId="77777777" w:rsidR="003D2567" w:rsidRDefault="003D2567">
      <w:pPr>
        <w:rPr>
          <w:i/>
          <w:iCs/>
        </w:rPr>
      </w:pPr>
    </w:p>
    <w:p w14:paraId="66AC2FB0" w14:textId="77777777" w:rsidR="003D2567" w:rsidRDefault="00000000">
      <w:r>
        <w:br w:type="page"/>
      </w:r>
    </w:p>
    <w:p w14:paraId="66AC2FB1" w14:textId="77777777" w:rsidR="00FE494B" w:rsidRDefault="00000000">
      <w:r>
        <w:lastRenderedPageBreak/>
        <w:br w:type="page"/>
      </w:r>
    </w:p>
    <w:p w14:paraId="66AC2FB2" w14:textId="77777777" w:rsidR="00FE494B" w:rsidRDefault="00000000">
      <w:pPr>
        <w:pStyle w:val="Heading1"/>
      </w:pPr>
      <w:r>
        <w:lastRenderedPageBreak/>
        <w:t>Chapter 6: Conclusions and Recommendations</w:t>
      </w:r>
    </w:p>
    <w:p w14:paraId="66AC2FB3" w14:textId="77777777" w:rsidR="00FE494B" w:rsidRDefault="00000000">
      <w:r>
        <w:pict w14:anchorId="66AC308B">
          <v:rect id="_x0000_i1066" style="width:0;height:1.5pt" o:hralign="center" o:hrstd="t" o:hr="t"/>
        </w:pict>
      </w:r>
    </w:p>
    <w:p w14:paraId="66AC2FB4" w14:textId="77777777" w:rsidR="00FE494B" w:rsidRDefault="00000000">
      <w:pPr>
        <w:pStyle w:val="Heading2"/>
      </w:pPr>
      <w:r>
        <w:t>6.1 Summary of the Research</w:t>
      </w:r>
    </w:p>
    <w:p w14:paraId="66AC2FB5" w14:textId="77777777" w:rsidR="00FE494B" w:rsidRDefault="00000000">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000000">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000000">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14:paraId="66AC2FB8" w14:textId="77777777" w:rsidR="00FE494B" w:rsidRDefault="00000000">
      <w:r>
        <w:pict w14:anchorId="66AC308C">
          <v:rect id="_x0000_i1067" style="width:0;height:1.5pt" o:hralign="center" o:hrstd="t" o:hr="t"/>
        </w:pict>
      </w:r>
    </w:p>
    <w:p w14:paraId="66AC2FB9" w14:textId="77777777" w:rsidR="00FE494B" w:rsidRDefault="00000000">
      <w:pPr>
        <w:pStyle w:val="Heading2"/>
      </w:pPr>
      <w:r>
        <w:t>6.2 Principal Conclusions</w:t>
      </w:r>
    </w:p>
    <w:p w14:paraId="66AC2FBA" w14:textId="77777777" w:rsidR="00FE494B" w:rsidRDefault="00000000">
      <w:pPr>
        <w:pStyle w:val="Heading3"/>
      </w:pPr>
      <w:r>
        <w:t>6.2.1 Extending Training History Does Not Resolve the Generalisation Problem</w:t>
      </w:r>
    </w:p>
    <w:p w14:paraId="66AC2FBB" w14:textId="77777777" w:rsidR="00FE494B" w:rsidRDefault="00000000">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000000">
      <w:pPr>
        <w:pStyle w:val="BodyText"/>
      </w:pPr>
      <w:r>
        <w:t>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p w14:paraId="66AC2FBD" w14:textId="77777777" w:rsidR="00FE494B" w:rsidRDefault="00000000">
      <w:pPr>
        <w:pStyle w:val="Heading3"/>
      </w:pPr>
      <w:r>
        <w:t>6.2.2 The Interpretability-Accuracy Trade-off Is Not Binary</w:t>
      </w:r>
    </w:p>
    <w:p w14:paraId="66AC2FBE" w14:textId="77777777" w:rsidR="00FE494B" w:rsidRDefault="00000000">
      <w:pPr>
        <w:pStyle w:val="FirstParagraph"/>
      </w:pPr>
      <w:r>
        <w:t xml:space="preserve">The second conclusion concerns the interpretability-accuracy trade-off. Within expanding-window evaluation, M2.5 (EBM) achieves higher point estimates on both AUROC and AUPRC than M2 and M3 while providing natively interpretable shape functions. However, EBM achieves AUROC 0.333 in Split B — below M2’s 0.481 and below random. The trade-off must be understood in regime-conditional terms: within a training regime EBM fits the </w:t>
      </w:r>
      <w:r>
        <w:lastRenderedPageBreak/>
        <w:t>crisis signature more precisely; across regime boundaries the same flexibility appears to produce more aggressive overfitting, yielding a worse prospective outcome. This interpretation should be treated as diagnostic given the small pre-GFC training sample.</w:t>
      </w:r>
    </w:p>
    <w:p w14:paraId="66AC2FBF" w14:textId="77777777" w:rsidR="00FE494B" w:rsidRDefault="00000000">
      <w:pPr>
        <w:pStyle w:val="BodyText"/>
      </w:pPr>
      <w:r>
        <w:t>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66AC2FC0" w14:textId="77777777" w:rsidR="00FE494B" w:rsidRDefault="00000000">
      <w:pPr>
        <w:pStyle w:val="Heading3"/>
      </w:pPr>
      <w:r>
        <w:t>6.2.3 EBM Shape Functions Make the Failure Mechanism Directly Visible</w:t>
      </w:r>
    </w:p>
    <w:p w14:paraId="66AC2FC1" w14:textId="77777777" w:rsidR="00FE494B" w:rsidRDefault="00000000">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000000">
      <w:pPr>
        <w:pStyle w:val="BodyText"/>
      </w:pPr>
      <w:r>
        <w:t>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p w14:paraId="66AC2FC3" w14:textId="77777777" w:rsidR="00FE494B" w:rsidRDefault="00000000">
      <w:pPr>
        <w:pStyle w:val="Heading3"/>
      </w:pPr>
      <w:r>
        <w:t>6.2.4 Sentiment Augmentation Contributes a Directional but Unstable Signal</w:t>
      </w:r>
    </w:p>
    <w:p w14:paraId="66AC2FC4" w14:textId="77777777" w:rsidR="00FE494B" w:rsidRDefault="00000000">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000000">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w:t>
      </w:r>
      <w:r>
        <w:lastRenderedPageBreak/>
        <w:t>significant (p = 0.103). Taken together, the evidence characterises sentiment as a directional but unstable episode-specific pattern rather than a generalisable predictive channel.</w:t>
      </w:r>
    </w:p>
    <w:p w14:paraId="66AC2FC6" w14:textId="77777777" w:rsidR="00FE494B" w:rsidRDefault="00000000">
      <w:pPr>
        <w:pStyle w:val="Heading3"/>
      </w:pPr>
      <w:r>
        <w:t>6.2.5 Ensemble Averaging Provides Calibration Benefits Under Single-Episode Constraints</w:t>
      </w:r>
    </w:p>
    <w:p w14:paraId="66AC2FC7" w14:textId="77777777" w:rsidR="00FE494B" w:rsidRDefault="00000000">
      <w:pPr>
        <w:pStyle w:val="FirstParagraph"/>
      </w:pPr>
      <w:r>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000000">
      <w:r>
        <w:pict w14:anchorId="66AC308D">
          <v:rect id="_x0000_i1068" style="width:0;height:1.5pt" o:hralign="center" o:hrstd="t" o:hr="t"/>
        </w:pict>
      </w:r>
    </w:p>
    <w:p w14:paraId="66AC2FC9" w14:textId="77777777" w:rsidR="00FE494B" w:rsidRDefault="00000000">
      <w:pPr>
        <w:pStyle w:val="Heading2"/>
      </w:pPr>
      <w:r>
        <w:t>6.3 Practical Recommendations</w:t>
      </w:r>
    </w:p>
    <w:p w14:paraId="66AC2FCA" w14:textId="77777777" w:rsidR="00FE494B" w:rsidRDefault="00000000">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000000">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000000">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000000">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 Ensemble Brier performance should be validated across additional crisis episodes before operational deployment.</w:t>
      </w:r>
    </w:p>
    <w:p w14:paraId="66AC2FCE" w14:textId="77777777" w:rsidR="00FE494B" w:rsidRDefault="00000000">
      <w:pPr>
        <w:pStyle w:val="BodyText"/>
      </w:pPr>
      <w:r>
        <w:rPr>
          <w:b/>
          <w:bCs/>
        </w:rPr>
        <w:t>Recommendation 4: Sentiment augmentation requires multi-episode validation before operational deployment.</w:t>
      </w:r>
      <w:r>
        <w:t xml:space="preserve"> The directional AUPRC gain from FinBERT sentiment is episode-specific, statistically unconfirmed, and partially attributable to algorithm non-linearity. Validation across at least two structurally distinct crisis episodes is required before operational deployment. Topic-specific text features (Ho, Moench and Steeley, 2022) are a more promising avenue than aggregate sentiment polarity.</w:t>
      </w:r>
    </w:p>
    <w:p w14:paraId="66AC2FCF" w14:textId="77777777" w:rsidR="00FE494B" w:rsidRDefault="00000000">
      <w:r>
        <w:pict w14:anchorId="66AC308E">
          <v:rect id="_x0000_i1069" style="width:0;height:1.5pt" o:hralign="center" o:hrstd="t" o:hr="t"/>
        </w:pict>
      </w:r>
    </w:p>
    <w:p w14:paraId="66AC2FD0" w14:textId="77777777" w:rsidR="00FE494B" w:rsidRDefault="00000000">
      <w:pPr>
        <w:pStyle w:val="Heading2"/>
      </w:pPr>
      <w:r>
        <w:t>6.4 Contribution to the MSc in Artificial Intelligence</w:t>
      </w:r>
    </w:p>
    <w:p w14:paraId="66AC2FD1" w14:textId="77777777" w:rsidR="00FE494B" w:rsidRDefault="00000000">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w:t>
      </w:r>
      <w:r>
        <w:lastRenderedPageBreak/>
        <w:t>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clearance, fixed random seeds, documented software environment, public code at https://github.com/spike2025-art/eportfolio-uoe/tree/main and ePortfolio at https://spike2025-art.github.io/eportfolio-uoe/).</w:t>
      </w:r>
    </w:p>
    <w:p w14:paraId="66AC2FD2" w14:textId="77777777" w:rsidR="00FE494B" w:rsidRDefault="00000000">
      <w:r>
        <w:pict w14:anchorId="66AC308F">
          <v:rect id="_x0000_i1070" style="width:0;height:1.5pt" o:hralign="center" o:hrstd="t" o:hr="t"/>
        </w:pict>
      </w:r>
    </w:p>
    <w:p w14:paraId="66AC2FD3" w14:textId="77777777" w:rsidR="00FE494B" w:rsidRDefault="00000000">
      <w:pPr>
        <w:pStyle w:val="Heading2"/>
      </w:pPr>
      <w:r>
        <w:t>6.5 Extensions and Future Development</w:t>
      </w:r>
    </w:p>
    <w:p w14:paraId="66AC2FD4" w14:textId="77777777" w:rsidR="00FE494B" w:rsidRDefault="00000000">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000000">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14:paraId="66AC2FD6" w14:textId="77777777" w:rsidR="00FE494B" w:rsidRDefault="00000000">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000000">
      <w:r>
        <w:pict w14:anchorId="66AC3090">
          <v:rect id="_x0000_i1071" style="width:0;height:1.5pt" o:hralign="center" o:hrstd="t" o:hr="t"/>
        </w:pict>
      </w:r>
    </w:p>
    <w:p w14:paraId="66AC2FD8" w14:textId="77777777" w:rsidR="00FE494B" w:rsidRDefault="00000000">
      <w:pPr>
        <w:pStyle w:val="Heading2"/>
      </w:pPr>
      <w:r>
        <w:t>6.6 Final Reflection</w:t>
      </w:r>
    </w:p>
    <w:p w14:paraId="66AC2FD9" w14:textId="77777777" w:rsidR="00FE494B" w:rsidRDefault="00000000">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000000">
      <w:pPr>
        <w:pStyle w:val="BodyText"/>
      </w:pPr>
      <w:r>
        <w:lastRenderedPageBreak/>
        <w:t>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000000">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000000">
      <w:r>
        <w:pict w14:anchorId="66AC3091">
          <v:rect id="_x0000_i1072" style="width:0;height:1.5pt" o:hralign="center" o:hrstd="t" o:hr="t"/>
        </w:pict>
      </w:r>
    </w:p>
    <w:p w14:paraId="66AC2FDD" w14:textId="77777777" w:rsidR="00FE494B" w:rsidRDefault="00000000">
      <w:r>
        <w:br w:type="page"/>
      </w:r>
    </w:p>
    <w:p w14:paraId="66AC2FDE" w14:textId="77777777" w:rsidR="00FE494B" w:rsidRDefault="00000000">
      <w:r>
        <w:lastRenderedPageBreak/>
        <w:br w:type="page"/>
      </w:r>
    </w:p>
    <w:p w14:paraId="66AC2FDF" w14:textId="77777777" w:rsidR="00FE494B" w:rsidRDefault="00000000">
      <w:pPr>
        <w:spacing w:after="240"/>
      </w:pPr>
      <w:r>
        <w:rPr>
          <w:b/>
          <w:color w:val="1F4E79"/>
          <w:sz w:val="28"/>
        </w:rPr>
        <w:lastRenderedPageBreak/>
        <w:t>References</w:t>
      </w:r>
    </w:p>
    <w:p w14:paraId="66AC2FE0" w14:textId="77777777" w:rsidR="00FE494B" w:rsidRDefault="00000000">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000000">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000000">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000000">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000000">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000000">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000000">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000000">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000000">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000000">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000000">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000000">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000000">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000000">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000000">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14:paraId="66AC2FEF" w14:textId="77777777" w:rsidR="00FE494B" w:rsidRDefault="00000000">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000000">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000000">
      <w:pPr>
        <w:spacing w:after="100"/>
        <w:ind w:left="720" w:hanging="720"/>
      </w:pPr>
      <w:r>
        <w:rPr>
          <w:sz w:val="22"/>
        </w:rPr>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000000">
      <w:r>
        <w:br w:type="page"/>
      </w:r>
    </w:p>
    <w:p w14:paraId="66AC2FF3" w14:textId="77777777" w:rsidR="00FE494B" w:rsidRDefault="00000000">
      <w:pPr>
        <w:pStyle w:val="Heading1"/>
        <w:spacing w:before="240" w:after="120"/>
      </w:pPr>
      <w:r>
        <w:rPr>
          <w:color w:val="2E75B6"/>
          <w:sz w:val="32"/>
        </w:rPr>
        <w:lastRenderedPageBreak/>
        <w:t>Appendix A: Supplementary Figures</w:t>
      </w:r>
    </w:p>
    <w:p w14:paraId="66AC2FF4" w14:textId="77777777" w:rsidR="00FE494B" w:rsidRDefault="00000000">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000000">
      <w:pPr>
        <w:pStyle w:val="Heading2"/>
        <w:spacing w:before="200" w:after="80"/>
      </w:pPr>
      <w:r>
        <w:rPr>
          <w:color w:val="2E75B6"/>
          <w:sz w:val="24"/>
        </w:rPr>
        <w:t>A.1  Dataset and Crisis Distribution</w:t>
      </w:r>
    </w:p>
    <w:p w14:paraId="66AC2FF6" w14:textId="77777777" w:rsidR="00FE494B" w:rsidRDefault="00000000">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000000">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000000">
      <w:pPr>
        <w:pStyle w:val="Heading2"/>
        <w:spacing w:before="200" w:after="80"/>
      </w:pPr>
      <w:r>
        <w:rPr>
          <w:color w:val="2E75B6"/>
          <w:sz w:val="24"/>
        </w:rPr>
        <w:t>A.2  Early Prototype Analysis</w:t>
      </w:r>
    </w:p>
    <w:p w14:paraId="66AC2FF9" w14:textId="77777777" w:rsidR="00FE494B" w:rsidRDefault="00000000">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000000">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000000">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000000">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000000">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000000">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000000">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000000">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000000">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000000">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000000">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000000">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000000">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000000">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000000">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000000">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000000">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000000">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000000">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000000">
      <w:pPr>
        <w:pStyle w:val="Heading2"/>
        <w:spacing w:before="200" w:after="80"/>
      </w:pPr>
      <w:r>
        <w:rPr>
          <w:color w:val="2E75B6"/>
          <w:sz w:val="24"/>
        </w:rPr>
        <w:t>A.3  Augmented Analysis — Pre-EBM Specification</w:t>
      </w:r>
    </w:p>
    <w:p w14:paraId="66AC300D" w14:textId="77777777" w:rsidR="00FE494B" w:rsidRDefault="00000000">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000000">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000000">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000000">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000000">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000000">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000000">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000000">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000000">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000000">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000000">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000000">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000000">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000000">
      <w:pPr>
        <w:pStyle w:val="Heading2"/>
        <w:spacing w:before="200" w:after="80"/>
      </w:pPr>
      <w:r>
        <w:rPr>
          <w:color w:val="2E75B6"/>
          <w:sz w:val="24"/>
        </w:rPr>
        <w:t>A.4  EBM Shape Function Analysis — Supplementary</w:t>
      </w:r>
    </w:p>
    <w:p w14:paraId="66AC301B" w14:textId="77777777" w:rsidR="00FE494B" w:rsidRDefault="00000000">
      <w:pPr>
        <w:spacing w:after="120"/>
      </w:pPr>
      <w:r>
        <w:rPr>
          <w:sz w:val="21"/>
        </w:rPr>
        <w:t>Figure A.17 provides a simplified two-feature view of EBM shape function instability, complementing the six-panel display in Figure 4.7.</w:t>
      </w:r>
    </w:p>
    <w:p w14:paraId="66AC301C" w14:textId="77777777" w:rsidR="00FE494B" w:rsidRDefault="00000000">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000000">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000000">
      <w:pPr>
        <w:pStyle w:val="Heading2"/>
        <w:spacing w:before="200" w:after="80"/>
      </w:pPr>
      <w:r>
        <w:rPr>
          <w:color w:val="2E75B6"/>
          <w:sz w:val="24"/>
        </w:rPr>
        <w:t>A.5  Sentiment Analysis — Additional Results</w:t>
      </w:r>
    </w:p>
    <w:p w14:paraId="66AC301F" w14:textId="77777777" w:rsidR="00FE494B" w:rsidRDefault="00000000">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000000">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000000">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000000">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000000">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000000">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000000">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r>
      <w:r>
        <w:rPr>
          <w:i/>
          <w:sz w:val="18"/>
        </w:rPr>
        <w:lastRenderedPageBreak/>
        <w:t>sample-specific re-weighting under the rolling demeaning approach rather than a stable predictive channel (see Section 5.1 for discussion).</w:t>
      </w:r>
    </w:p>
    <w:p w14:paraId="66AC3026" w14:textId="77777777" w:rsidR="00FE494B" w:rsidRDefault="00000000">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000000">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000000">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000000">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000000">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000000">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000000">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000000">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000000">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000000">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000000">
      <w:pPr>
        <w:pStyle w:val="Heading2"/>
        <w:spacing w:before="200" w:after="80"/>
      </w:pPr>
      <w:r>
        <w:rPr>
          <w:color w:val="2E75B6"/>
          <w:sz w:val="24"/>
        </w:rPr>
        <w:t>A.6  Calibration and Decision-Threshold Analysis</w:t>
      </w:r>
    </w:p>
    <w:p w14:paraId="66AC3031" w14:textId="77777777" w:rsidR="00FE494B" w:rsidRDefault="00000000">
      <w:pPr>
        <w:spacing w:after="120"/>
      </w:pPr>
      <w:r>
        <w:rPr>
          <w:sz w:val="21"/>
        </w:rPr>
        <w:t>Figures A.26–A.29 provide additional calibration diagnostics and threshold sensitivity analysis to complement Figure 4.8.</w:t>
      </w:r>
    </w:p>
    <w:p w14:paraId="66AC3032" w14:textId="77777777" w:rsidR="00FE494B" w:rsidRDefault="00000000">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000000">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000000">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000000">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000000">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000000">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000000">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000000">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000000">
      <w:pPr>
        <w:pStyle w:val="Heading2"/>
        <w:spacing w:before="200" w:after="80"/>
      </w:pPr>
      <w:r>
        <w:rPr>
          <w:color w:val="2E75B6"/>
          <w:sz w:val="24"/>
        </w:rPr>
        <w:t>A.7  Original Ensemble Extension (NB09A)</w:t>
      </w:r>
    </w:p>
    <w:p w14:paraId="66AC303B" w14:textId="77777777" w:rsidR="00FE494B" w:rsidRDefault="00000000">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000000">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000000">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000000">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000000">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000000">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000000">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000000">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000000">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000000">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000000">
      <w:pPr>
        <w:spacing w:before="40" w:after="280"/>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sectPr w:rsidR="00FE494B">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30D5" w14:textId="77777777" w:rsidR="008216E3" w:rsidRDefault="008216E3">
      <w:pPr>
        <w:spacing w:after="0" w:line="240" w:lineRule="auto"/>
      </w:pPr>
      <w:r>
        <w:separator/>
      </w:r>
    </w:p>
  </w:endnote>
  <w:endnote w:type="continuationSeparator" w:id="0">
    <w:p w14:paraId="5423FB81" w14:textId="77777777" w:rsidR="008216E3" w:rsidRDefault="00821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000000">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000000">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13BF" w14:textId="77777777" w:rsidR="008216E3" w:rsidRDefault="008216E3">
      <w:r>
        <w:separator/>
      </w:r>
    </w:p>
  </w:footnote>
  <w:footnote w:type="continuationSeparator" w:id="0">
    <w:p w14:paraId="7A7DB496" w14:textId="77777777" w:rsidR="008216E3" w:rsidRDefault="00821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3130DE"/>
    <w:rsid w:val="003D2567"/>
    <w:rsid w:val="00512BDD"/>
    <w:rsid w:val="0065504A"/>
    <w:rsid w:val="008216E3"/>
    <w:rsid w:val="00C70964"/>
    <w:rsid w:val="00EA51B2"/>
    <w:rsid w:val="00FA70A8"/>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64</Pages>
  <Words>17739</Words>
  <Characters>101118</Characters>
  <Application>Microsoft Office Word</Application>
  <DocSecurity>0</DocSecurity>
  <Lines>842</Lines>
  <Paragraphs>237</Paragraphs>
  <ScaleCrop>false</ScaleCrop>
  <Company/>
  <LinksUpToDate>false</LinksUpToDate>
  <CharactersWithSpaces>118620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4</cp:revision>
  <dcterms:created xsi:type="dcterms:W3CDTF">2026-05-29T03:57:00Z</dcterms:created>
  <dcterms:modified xsi:type="dcterms:W3CDTF">2026-05-30T16:19:00Z</dcterms:modified>
</cp:coreProperties>
</file>