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ECDC" w14:textId="77777777" w:rsidR="0080084A" w:rsidRDefault="00595060">
      <w:pPr>
        <w:spacing w:after="80"/>
      </w:pPr>
      <w:r>
        <w:rPr>
          <w:b/>
          <w:bCs/>
          <w:color w:val="555555"/>
          <w:sz w:val="28"/>
          <w:szCs w:val="28"/>
        </w:rPr>
        <w:t>Chapter 5 — Discussion</w:t>
      </w:r>
    </w:p>
    <w:p w14:paraId="3A9BECDD" w14:textId="77777777" w:rsidR="0080084A" w:rsidRDefault="00595060">
      <w:pPr>
        <w:pStyle w:val="Heading1"/>
        <w:spacing w:before="360" w:after="120"/>
      </w:pPr>
      <w:proofErr w:type="gramStart"/>
      <w:r>
        <w:rPr>
          <w:b/>
          <w:bCs/>
          <w:sz w:val="28"/>
          <w:szCs w:val="28"/>
        </w:rPr>
        <w:t>5.7  Extensions</w:t>
      </w:r>
      <w:proofErr w:type="gramEnd"/>
      <w:r>
        <w:rPr>
          <w:b/>
          <w:bCs/>
          <w:sz w:val="28"/>
          <w:szCs w:val="28"/>
        </w:rPr>
        <w:t xml:space="preserve"> and Future Research</w:t>
      </w:r>
    </w:p>
    <w:p w14:paraId="3A9BECDE" w14:textId="77777777" w:rsidR="0080084A" w:rsidRDefault="00595060">
      <w:pPr>
        <w:spacing w:after="160"/>
        <w:jc w:val="both"/>
      </w:pPr>
      <w:r>
        <w:t>Three extensions follow directly from the present analysis, ordered by feasibility and proximity to the existing framework.</w:t>
      </w:r>
    </w:p>
    <w:p w14:paraId="3A9BECDF" w14:textId="77777777" w:rsidR="0080084A" w:rsidRDefault="0080084A">
      <w:pPr>
        <w:pBdr>
          <w:bottom w:val="single" w:sz="4" w:space="0" w:color="AAAAAA"/>
        </w:pBdr>
        <w:spacing w:before="160" w:after="160"/>
      </w:pPr>
    </w:p>
    <w:p w14:paraId="3A9BECE0" w14:textId="48B63FA9" w:rsidR="0080084A" w:rsidRDefault="00FD6A1B">
      <w:pPr>
        <w:spacing w:before="160" w:after="80"/>
      </w:pPr>
      <w:r w:rsidRPr="00FD6A1B">
        <w:rPr>
          <w:b/>
          <w:bCs/>
        </w:rPr>
        <w:t>Implemented robustness extension</w:t>
      </w:r>
      <w:r>
        <w:rPr>
          <w:b/>
          <w:bCs/>
        </w:rPr>
        <w:t xml:space="preserve"> </w:t>
      </w:r>
      <w:r w:rsidR="00595060">
        <w:t>— Topic-specific text features</w:t>
      </w:r>
    </w:p>
    <w:p w14:paraId="3A9BECE1" w14:textId="7DFD943D" w:rsidR="0080084A" w:rsidRDefault="00595060">
      <w:pPr>
        <w:spacing w:after="160"/>
        <w:jc w:val="both"/>
      </w:pPr>
      <w:r>
        <w:t>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r w:rsidR="00EC015C">
        <w:t xml:space="preserve"> </w:t>
      </w:r>
      <w:r w:rsidR="00EC015C" w:rsidRPr="00EC015C">
        <w:t>Full robustness results are reported in Appendix</w:t>
      </w:r>
      <w:r w:rsidR="00BC448F">
        <w:t xml:space="preserve"> B</w:t>
      </w:r>
      <w:r w:rsidR="00EC015C">
        <w:t>.</w:t>
      </w:r>
    </w:p>
    <w:p w14:paraId="3A9BECE2" w14:textId="77777777" w:rsidR="0080084A" w:rsidRDefault="00595060">
      <w:pPr>
        <w:spacing w:after="160"/>
        <w:jc w:val="both"/>
      </w:pPr>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3A9BECE3" w14:textId="77777777" w:rsidR="0080084A" w:rsidRDefault="00595060">
      <w:pPr>
        <w:spacing w:after="160"/>
        <w:jc w:val="both"/>
      </w:pPr>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3A9BECE4" w14:textId="77777777" w:rsidR="0080084A" w:rsidRDefault="0080084A">
      <w:pPr>
        <w:pBdr>
          <w:bottom w:val="single" w:sz="4" w:space="0" w:color="AAAAAA"/>
        </w:pBdr>
        <w:spacing w:before="160" w:after="160"/>
      </w:pPr>
    </w:p>
    <w:p w14:paraId="3A9BECE5" w14:textId="77777777" w:rsidR="0080084A" w:rsidRDefault="00595060">
      <w:pPr>
        <w:spacing w:before="160" w:after="80"/>
      </w:pPr>
      <w:r>
        <w:rPr>
          <w:b/>
          <w:bCs/>
        </w:rPr>
        <w:t>Proposed Extension 1</w:t>
      </w:r>
      <w:r>
        <w:t xml:space="preserve"> — Regime-conditional modelling </w:t>
      </w:r>
      <w:r>
        <w:rPr>
          <w:b/>
          <w:bCs/>
          <w:i/>
          <w:iCs/>
          <w:color w:val="333333"/>
        </w:rPr>
        <w:t>(most impactful; not implemented in the present study)</w:t>
      </w:r>
    </w:p>
    <w:p w14:paraId="3A9BECE6" w14:textId="77777777" w:rsidR="0080084A" w:rsidRDefault="00595060">
      <w:pPr>
        <w:pStyle w:val="Heading2"/>
        <w:spacing w:before="280" w:after="100"/>
      </w:pPr>
      <w:r>
        <w:rPr>
          <w:b/>
          <w:bCs/>
        </w:rPr>
        <w:t>Conceptual Motivation</w:t>
      </w:r>
    </w:p>
    <w:p w14:paraId="3A9BECE7" w14:textId="44406789" w:rsidR="0080084A" w:rsidRDefault="00595060">
      <w:pPr>
        <w:spacing w:after="160"/>
        <w:jc w:val="both"/>
      </w:pPr>
      <w:r>
        <w:t xml:space="preserve">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w:t>
      </w:r>
      <w:r w:rsidR="00B54D7E" w:rsidRPr="00B54D7E">
        <w:t>The objective is to identify candidate economic regimes from the data rather than imposing them entirely exogenously</w:t>
      </w:r>
      <w:r>
        <w:t>. The shape function divergence already visible in Figure 4.7 — where the term spread contribution reverses sign across the two fitted sub-periods — constitutes a preliminary visual proof of concept that such clustering may recover meaningful regime structure.</w:t>
      </w:r>
    </w:p>
    <w:p w14:paraId="3A9BECE8" w14:textId="299818AF" w:rsidR="0080084A" w:rsidRDefault="00595060">
      <w:pPr>
        <w:spacing w:after="160"/>
        <w:jc w:val="both"/>
      </w:pPr>
      <w:r>
        <w:lastRenderedPageBreak/>
        <w:t>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prediction on the identified economic regime should, in principle, achieve more robust prospective performance than any static, pooled classifier.</w:t>
      </w:r>
    </w:p>
    <w:p w14:paraId="3A9BECE9" w14:textId="77777777" w:rsidR="0080084A" w:rsidRDefault="00595060">
      <w:pPr>
        <w:pStyle w:val="Heading2"/>
        <w:spacing w:before="280" w:after="100"/>
      </w:pPr>
      <w:r>
        <w:rPr>
          <w:b/>
          <w:bCs/>
        </w:rPr>
        <w:t>Falsifiability Criterion</w:t>
      </w:r>
    </w:p>
    <w:p w14:paraId="7C6F5752" w14:textId="77777777" w:rsidR="00354478" w:rsidRDefault="004735B7">
      <w:pPr>
        <w:pStyle w:val="Heading2"/>
        <w:spacing w:before="280" w:after="100"/>
        <w:rPr>
          <w:color w:val="auto"/>
          <w:sz w:val="24"/>
          <w:szCs w:val="24"/>
        </w:rPr>
      </w:pPr>
      <w:r w:rsidRPr="004735B7">
        <w:rPr>
          <w:color w:val="auto"/>
          <w:sz w:val="24"/>
          <w:szCs w:val="24"/>
        </w:rPr>
        <w:t>A regime-conditional system of this design would constitute a direct empirical test of the non-stationarity thesis. The immediate benchmark would be whether it improves materially on the static Split B baselines reported in this dissertation, where EBM achieves AUROC 0.333 and Random Forest achieves AUROC 0.481. A stronger benchmark would be whether the model exceeds the 0.75 AUROC threshold used throughout the dissertation for practically useful EWS performance. If regime-conditioning improved performance materially under the same strict temporal design, it would support the proposition that prospective failure is at least partly addressable through regime-awareness. If it failed to improve on the static baselines, the result would reinforce the conclusion that banking-crisis non-stationarity is not easily corrected by historically defined regime conditioning.</w:t>
      </w:r>
    </w:p>
    <w:p w14:paraId="3A9BECEB" w14:textId="671DC730" w:rsidR="0080084A" w:rsidRDefault="00595060">
      <w:pPr>
        <w:pStyle w:val="Heading2"/>
        <w:spacing w:before="280" w:after="100"/>
      </w:pPr>
      <w:r>
        <w:rPr>
          <w:b/>
          <w:bCs/>
        </w:rPr>
        <w:t>Data and Statistical Constraints</w:t>
      </w:r>
    </w:p>
    <w:p w14:paraId="56553523" w14:textId="77777777" w:rsidR="002D18FD" w:rsidRDefault="00595060">
      <w:pPr>
        <w:spacing w:after="160"/>
        <w:jc w:val="both"/>
      </w:pPr>
      <w:r>
        <w:t>This extension is not implemented in the present study. The primary constraint is statistical. The JST R6 panel, after coverage filtering, yields a usable window of approximately 1989–2020 — roughly 30 years of harmonised macro data across 18 advanced economies. Partitioning this window into three disjoint sub-periods produces training samples of approximately 144–180 country-year observations per period, of which fewer than five are typically crisis positives. EBM shape functions extracted from models trained on such thin crisis samples risk reflecting sampling variance rather than genuine structural regime differentiation. Clustering these functions would therefore risk identifying noise as regime boundaries rather than recovering economically meaningful distinctions.</w:t>
      </w:r>
    </w:p>
    <w:p w14:paraId="3A9BECEC" w14:textId="1DC05B20" w:rsidR="0080084A" w:rsidRDefault="00BA47E3">
      <w:pPr>
        <w:spacing w:after="160"/>
        <w:jc w:val="both"/>
      </w:pPr>
      <w:r w:rsidRPr="00BA47E3">
        <w:t>Reliable shape-function estimation would require multiple crisis observations per disjoint training window; this condition is not consistently met across all sub-periods in the current panel.</w:t>
      </w:r>
    </w:p>
    <w:p w14:paraId="3A9BECED" w14:textId="77777777" w:rsidR="0080084A" w:rsidRDefault="00595060">
      <w:pPr>
        <w:spacing w:after="160"/>
        <w:jc w:val="both"/>
      </w:pPr>
      <w:r>
        <w:t>The data constraint is not correctable by extending the JST panel backwards: the full R6 database includes observations from 1870, but macro-financial data quality and coverage in the pre-1945 period introduce comparability concerns that would need to be evaluated carefully before use in a regime discovery exercise. Alternative multi-country crisis databases — such as Reinhart and Rogoff (2009) or the updated Laeven and Valencia (2020) compilation — cover different country sets and crisis definitions, requiring careful harmonisation with the JST feature construction before they could serve as data sources for this extension.</w:t>
      </w:r>
    </w:p>
    <w:p w14:paraId="3A9BECEE" w14:textId="77777777" w:rsidR="0080084A" w:rsidRDefault="00595060">
      <w:pPr>
        <w:pStyle w:val="Heading2"/>
        <w:spacing w:before="280" w:after="100"/>
      </w:pPr>
      <w:r>
        <w:rPr>
          <w:b/>
          <w:bCs/>
        </w:rPr>
        <w:t>Model Design Constraints</w:t>
      </w:r>
    </w:p>
    <w:p w14:paraId="3A9BECEF" w14:textId="77777777" w:rsidR="0080084A" w:rsidRDefault="00595060">
      <w:pPr>
        <w:spacing w:after="160"/>
        <w:jc w:val="both"/>
      </w:pPr>
      <w:r>
        <w:t xml:space="preserve">Beyond the data limitation, the master classifier introduces a new model selection problem with its own researcher degrees of freedom. The choice of clustering algorithm, distance metric, and number of regimes each requires independent sensitivity analysis. With k-means clustering, the number of regimes must be specified or selected via a criterion such as the silhouette score; with agglomerative clustering, the choice of linkage function affects the </w:t>
      </w:r>
      <w:r>
        <w:lastRenderedPageBreak/>
        <w:t>resulting partition. Without a dedicated sensitivity analysis, regime-conditional results would be difficult to interpret or defend, and the risk of over-fitting the regime discovery step to the available training data would be material.</w:t>
      </w:r>
    </w:p>
    <w:p w14:paraId="3A9BECF0" w14:textId="77777777" w:rsidR="0080084A" w:rsidRDefault="00595060">
      <w:pPr>
        <w:spacing w:after="160"/>
        <w:jc w:val="both"/>
      </w:pPr>
      <w:r>
        <w:t>Most importantly, the master classifier must ensure strict temporal separation between regime discovery and prospective evaluation. Regime labels must be derived exclusively from training-period EBMs and applied to test observations at inference time via the master classifier alone. Any conflation of regime assignment and prospective evaluation would constitute data leakage invalidating the Split B test. Designing and auditing this separation reliably requires a dedicated pipeline extension — including a modified expanding-window scheme in which regime labels are re-estimated at each fold using only data available at that point in time — that falls outside the scope of the present study.</w:t>
      </w:r>
    </w:p>
    <w:p w14:paraId="3A9BECF1" w14:textId="77777777" w:rsidR="0080084A" w:rsidRDefault="00595060">
      <w:pPr>
        <w:pStyle w:val="Heading2"/>
        <w:spacing w:before="280" w:after="100"/>
      </w:pPr>
      <w:r>
        <w:rPr>
          <w:b/>
          <w:bCs/>
        </w:rPr>
        <w:t>Scope Justification</w:t>
      </w:r>
    </w:p>
    <w:p w14:paraId="3A9BECF2" w14:textId="1D5F18C8" w:rsidR="0080084A" w:rsidRDefault="00595060">
      <w:pPr>
        <w:spacing w:after="160"/>
        <w:jc w:val="both"/>
      </w:pPr>
      <w:r>
        <w:t xml:space="preserve">The three constraints described above — thin crisis samples per disjoint window, unconstrained model selection degrees of freedom, and the data leakage risk in the master classifier design — together imply that implementing a partial or unvalidated version of this extension would introduce more methodological uncertainty than it would resolve. </w:t>
      </w:r>
      <w:r w:rsidR="00FF5F52" w:rsidRPr="00FF5F52">
        <w:t>The existing empirical framework is sufficient to answer the dissertation’s stated research questions</w:t>
      </w:r>
      <w:r>
        <w:t>: it demonstrates that prospective failure is real and structural, characterises the interpretability-accuracy trade-off under regime change, and makes the failure mechanism directly visible through EBM shape function analysis. Regime-conditional modelling addresses a subsequent question — whether the failure is correctible — that is logically dependent on but analytically separate from the current findings. It is appropriately positioned as a dedicated follow-on study rather than an extension of the present pipeline.</w:t>
      </w:r>
    </w:p>
    <w:p w14:paraId="3A9BECF3" w14:textId="6021DC17" w:rsidR="0080084A" w:rsidRDefault="00595060">
      <w:pPr>
        <w:spacing w:after="160"/>
        <w:jc w:val="both"/>
      </w:pPr>
      <w:r>
        <w:t xml:space="preserve">The conceptual and methodological foundation established here — EBM shape functions as regime fingerprints, data-driven clustering as a regime discovery mechanism, and </w:t>
      </w:r>
      <w:r w:rsidR="00F7445F" w:rsidRPr="00F7445F">
        <w:t>regime-specific prediction as a possible generalisation pathway</w:t>
      </w:r>
      <w:r>
        <w:t xml:space="preserve"> — constitutes a fully specified research programme. The shape function instability results of Section 4.7.3 provide the empirical motivation; the two-stage design described above provides the methodological pathway; and the falsifiability criterion stated above provides the evaluation standard. This is sufficient to frame the extension as a concrete, testable research proposal rather than a speculative direction.</w:t>
      </w:r>
    </w:p>
    <w:p w14:paraId="3A9BECF4" w14:textId="77777777" w:rsidR="0080084A" w:rsidRDefault="00595060">
      <w:pPr>
        <w:spacing w:before="80" w:after="160"/>
        <w:ind w:left="360"/>
        <w:jc w:val="both"/>
      </w:pPr>
      <w:r>
        <w:rPr>
          <w:b/>
          <w:bCs/>
          <w:sz w:val="20"/>
          <w:szCs w:val="20"/>
        </w:rPr>
        <w:t xml:space="preserve">Note: </w:t>
      </w:r>
      <w:r>
        <w:rPr>
          <w:color w:val="444444"/>
          <w:sz w:val="20"/>
          <w:szCs w:val="20"/>
        </w:rPr>
        <w:t xml:space="preserve">The Reinhart and Rogoff (2009) and Laeven and Valencia (2020) references are cited in the context of alternative data sources for a future implementation. Laeven and Valencia (2020) is already in the dissertation reference list. Reinhart and Rogoff (2009) </w:t>
      </w:r>
      <w:proofErr w:type="gramStart"/>
      <w:r>
        <w:rPr>
          <w:color w:val="444444"/>
          <w:sz w:val="20"/>
          <w:szCs w:val="20"/>
        </w:rPr>
        <w:t>is</w:t>
      </w:r>
      <w:proofErr w:type="gramEnd"/>
      <w:r>
        <w:rPr>
          <w:color w:val="444444"/>
          <w:sz w:val="20"/>
          <w:szCs w:val="20"/>
        </w:rPr>
        <w:t xml:space="preserve"> a new addition — see the reference entry below.</w:t>
      </w:r>
    </w:p>
    <w:p w14:paraId="3A9BECF5" w14:textId="77777777" w:rsidR="0080084A" w:rsidRDefault="0080084A">
      <w:pPr>
        <w:pBdr>
          <w:bottom w:val="single" w:sz="4" w:space="0" w:color="AAAAAA"/>
        </w:pBdr>
        <w:spacing w:before="160" w:after="160"/>
      </w:pPr>
    </w:p>
    <w:p w14:paraId="3A9BECF6" w14:textId="77777777" w:rsidR="0080084A" w:rsidRDefault="00595060">
      <w:pPr>
        <w:spacing w:before="160" w:after="80"/>
      </w:pPr>
      <w:r>
        <w:rPr>
          <w:b/>
          <w:bCs/>
        </w:rPr>
        <w:t>Proposed Extension 2</w:t>
      </w:r>
      <w:r>
        <w:t xml:space="preserve"> — Network contagion features </w:t>
      </w:r>
      <w:r>
        <w:rPr>
          <w:b/>
          <w:bCs/>
          <w:i/>
          <w:iCs/>
          <w:color w:val="333333"/>
        </w:rPr>
        <w:t>(most ambitious)</w:t>
      </w:r>
    </w:p>
    <w:p w14:paraId="3A9BECF7" w14:textId="77777777" w:rsidR="0080084A" w:rsidRDefault="00595060">
      <w:pPr>
        <w:spacing w:after="160"/>
        <w:jc w:val="both"/>
      </w:pPr>
      <w:r>
        <w:t>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14:paraId="58B164ED" w14:textId="030B9118" w:rsidR="00D42B6C" w:rsidRDefault="00E621A9">
      <w:pPr>
        <w:spacing w:after="160"/>
        <w:jc w:val="both"/>
      </w:pPr>
      <w:r w:rsidRPr="00E621A9">
        <w:t>This extension, however, would introduce additional challenges around missing bilateral exposures, temporal alignment between exposure data and crisis outcomes, and comparability between residence-based macro indicators and consolidated banking-sector positions.</w:t>
      </w:r>
    </w:p>
    <w:p w14:paraId="3A9BECF8" w14:textId="164BEF3E" w:rsidR="0080084A" w:rsidRDefault="009774ED">
      <w:pPr>
        <w:spacing w:after="160"/>
        <w:jc w:val="both"/>
      </w:pPr>
      <w:proofErr w:type="gramStart"/>
      <w:r>
        <w:lastRenderedPageBreak/>
        <w:t xml:space="preserve">It </w:t>
      </w:r>
      <w:r w:rsidR="00EE2706" w:rsidRPr="00EE2706">
        <w:t xml:space="preserve"> would</w:t>
      </w:r>
      <w:proofErr w:type="gramEnd"/>
      <w:r w:rsidR="00EE2706" w:rsidRPr="00EE2706">
        <w:t xml:space="preserve"> also require substantial additional data collection, network feature construction, and integration into the existing panel design, and therefore represents the most ambitious departure from the present modelling </w:t>
      </w:r>
      <w:proofErr w:type="gramStart"/>
      <w:r w:rsidR="00EE2706" w:rsidRPr="00EE2706">
        <w:t>framework.</w:t>
      </w:r>
      <w:r w:rsidR="00595060">
        <w:t>.</w:t>
      </w:r>
      <w:proofErr w:type="gramEnd"/>
      <w:r w:rsidR="00595060">
        <w:t xml:space="preserve"> It would, however, most directly address the crisis heterogeneity limitation identified in Section 5.4.</w:t>
      </w:r>
    </w:p>
    <w:p w14:paraId="3A9BECF9" w14:textId="77777777" w:rsidR="0080084A" w:rsidRDefault="0080084A">
      <w:pPr>
        <w:pBdr>
          <w:bottom w:val="single" w:sz="4" w:space="0" w:color="AAAAAA"/>
        </w:pBdr>
        <w:spacing w:before="160" w:after="160"/>
      </w:pPr>
    </w:p>
    <w:p w14:paraId="3A9BECFA" w14:textId="77777777" w:rsidR="0080084A" w:rsidRDefault="00595060">
      <w:pPr>
        <w:spacing w:before="240" w:after="80"/>
      </w:pPr>
      <w:r>
        <w:rPr>
          <w:b/>
          <w:bCs/>
          <w:color w:val="1F3864"/>
          <w:sz w:val="22"/>
          <w:szCs w:val="22"/>
        </w:rPr>
        <w:t>New Reference Required (add to dissertation reference list)</w:t>
      </w:r>
    </w:p>
    <w:p w14:paraId="3A9BECFB" w14:textId="77777777" w:rsidR="0080084A" w:rsidRDefault="00595060">
      <w:pPr>
        <w:spacing w:after="80"/>
        <w:jc w:val="both"/>
      </w:pPr>
      <w:r>
        <w:t xml:space="preserve">Reinhart, C.M. and Rogoff, K.S. (2009) </w:t>
      </w:r>
      <w:r>
        <w:rPr>
          <w:i/>
          <w:iCs/>
        </w:rPr>
        <w:t>This Time Is Different: Eight Centuries of Financial Folly.</w:t>
      </w:r>
      <w:r>
        <w:t xml:space="preserve"> Princeton: Princeton University Press.</w:t>
      </w:r>
    </w:p>
    <w:p w14:paraId="3A9BECFC" w14:textId="77777777" w:rsidR="0080084A" w:rsidRDefault="00595060">
      <w:pPr>
        <w:spacing w:before="120"/>
      </w:pPr>
      <w:r>
        <w:rPr>
          <w:i/>
          <w:iCs/>
          <w:color w:val="666666"/>
          <w:sz w:val="20"/>
          <w:szCs w:val="20"/>
        </w:rPr>
        <w:t>All other references cited in §5.7 are already present in the dissertation reference list.</w:t>
      </w:r>
    </w:p>
    <w:sectPr w:rsidR="008008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B2F"/>
    <w:multiLevelType w:val="hybridMultilevel"/>
    <w:tmpl w:val="6EA067C2"/>
    <w:lvl w:ilvl="0" w:tplc="DF5C573C">
      <w:start w:val="1"/>
      <w:numFmt w:val="bullet"/>
      <w:lvlText w:val="●"/>
      <w:lvlJc w:val="left"/>
      <w:pPr>
        <w:ind w:left="720" w:hanging="360"/>
      </w:pPr>
    </w:lvl>
    <w:lvl w:ilvl="1" w:tplc="F3ACC57C">
      <w:start w:val="1"/>
      <w:numFmt w:val="bullet"/>
      <w:lvlText w:val="○"/>
      <w:lvlJc w:val="left"/>
      <w:pPr>
        <w:ind w:left="1440" w:hanging="360"/>
      </w:pPr>
    </w:lvl>
    <w:lvl w:ilvl="2" w:tplc="C9E630E2">
      <w:start w:val="1"/>
      <w:numFmt w:val="bullet"/>
      <w:lvlText w:val="■"/>
      <w:lvlJc w:val="left"/>
      <w:pPr>
        <w:ind w:left="2160" w:hanging="360"/>
      </w:pPr>
    </w:lvl>
    <w:lvl w:ilvl="3" w:tplc="A9E077F6">
      <w:start w:val="1"/>
      <w:numFmt w:val="bullet"/>
      <w:lvlText w:val="●"/>
      <w:lvlJc w:val="left"/>
      <w:pPr>
        <w:ind w:left="2880" w:hanging="360"/>
      </w:pPr>
    </w:lvl>
    <w:lvl w:ilvl="4" w:tplc="BB0A162C">
      <w:start w:val="1"/>
      <w:numFmt w:val="bullet"/>
      <w:lvlText w:val="○"/>
      <w:lvlJc w:val="left"/>
      <w:pPr>
        <w:ind w:left="3600" w:hanging="360"/>
      </w:pPr>
    </w:lvl>
    <w:lvl w:ilvl="5" w:tplc="117289D2">
      <w:start w:val="1"/>
      <w:numFmt w:val="bullet"/>
      <w:lvlText w:val="■"/>
      <w:lvlJc w:val="left"/>
      <w:pPr>
        <w:ind w:left="4320" w:hanging="360"/>
      </w:pPr>
    </w:lvl>
    <w:lvl w:ilvl="6" w:tplc="A06E16BA">
      <w:start w:val="1"/>
      <w:numFmt w:val="bullet"/>
      <w:lvlText w:val="●"/>
      <w:lvlJc w:val="left"/>
      <w:pPr>
        <w:ind w:left="5040" w:hanging="360"/>
      </w:pPr>
    </w:lvl>
    <w:lvl w:ilvl="7" w:tplc="236AFE76">
      <w:start w:val="1"/>
      <w:numFmt w:val="bullet"/>
      <w:lvlText w:val="●"/>
      <w:lvlJc w:val="left"/>
      <w:pPr>
        <w:ind w:left="5760" w:hanging="360"/>
      </w:pPr>
    </w:lvl>
    <w:lvl w:ilvl="8" w:tplc="BEE4CFBE">
      <w:start w:val="1"/>
      <w:numFmt w:val="bullet"/>
      <w:lvlText w:val="●"/>
      <w:lvlJc w:val="left"/>
      <w:pPr>
        <w:ind w:left="6480" w:hanging="360"/>
      </w:pPr>
    </w:lvl>
  </w:abstractNum>
  <w:num w:numId="1" w16cid:durableId="1816795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4A"/>
    <w:rsid w:val="002D18FD"/>
    <w:rsid w:val="00354478"/>
    <w:rsid w:val="004735B7"/>
    <w:rsid w:val="00595060"/>
    <w:rsid w:val="0080084A"/>
    <w:rsid w:val="0093512D"/>
    <w:rsid w:val="009774ED"/>
    <w:rsid w:val="00B54D7E"/>
    <w:rsid w:val="00BA47E3"/>
    <w:rsid w:val="00BC448F"/>
    <w:rsid w:val="00C70964"/>
    <w:rsid w:val="00CF1278"/>
    <w:rsid w:val="00D42B6C"/>
    <w:rsid w:val="00E621A9"/>
    <w:rsid w:val="00EC015C"/>
    <w:rsid w:val="00EE2706"/>
    <w:rsid w:val="00F7445F"/>
    <w:rsid w:val="00FD6A1B"/>
    <w:rsid w:val="00FF5F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ECDC"/>
  <w15:docId w15:val="{08AEA92E-5553-4632-BDFB-06D6547AF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1667</Words>
  <Characters>9505</Characters>
  <Application>Microsoft Office Word</Application>
  <DocSecurity>0</DocSecurity>
  <Lines>79</Lines>
  <Paragraphs>22</Paragraphs>
  <ScaleCrop>false</ScaleCrop>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pavlos papachristos</cp:lastModifiedBy>
  <cp:revision>19</cp:revision>
  <dcterms:created xsi:type="dcterms:W3CDTF">2026-05-30T06:58:00Z</dcterms:created>
  <dcterms:modified xsi:type="dcterms:W3CDTF">2026-05-30T08:00:00Z</dcterms:modified>
</cp:coreProperties>
</file>