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50F8" w14:textId="77777777" w:rsidR="005A6139" w:rsidRDefault="0074761B">
      <w:pPr>
        <w:pStyle w:val="Heading1"/>
      </w:pPr>
      <w:r>
        <w:t>Abstract</w:t>
      </w:r>
    </w:p>
    <w:p w14:paraId="3ACD50F9" w14:textId="77777777" w:rsidR="005A6139" w:rsidRDefault="0074761B">
      <w:pPr>
        <w:pStyle w:val="FirstParagraph"/>
      </w:pPr>
      <w:r>
        <w:rPr>
          <w:i/>
          <w:iCs/>
        </w:rPr>
        <w:t>Economic Crisis Prediction: Improving the Trade-off Between Interpretability and Statistical Accuracy in ML-Enhanced Crisis Prediction Models</w:t>
      </w:r>
    </w:p>
    <w:p w14:paraId="3ACD50FA" w14:textId="77777777" w:rsidR="005A6139" w:rsidRDefault="0074761B">
      <w:pPr>
        <w:pStyle w:val="BodyText"/>
      </w:pPr>
      <w:r>
        <w:t>Pavlos Papachristos • PP24589 • MSc Artificial Intelligence, University of Essex Online • April 2026</w:t>
      </w:r>
    </w:p>
    <w:p w14:paraId="3ACD50FB" w14:textId="77777777" w:rsidR="005A6139" w:rsidRDefault="0074761B">
      <w:r>
        <w:pict w14:anchorId="3ACD5470">
          <v:rect id="_x0000_i1025" style="width:0;height:1.5pt" o:hralign="center" o:hrstd="t" o:hr="t"/>
        </w:pict>
      </w:r>
    </w:p>
    <w:p w14:paraId="3ACD50FC" w14:textId="77777777" w:rsidR="005A6139" w:rsidRDefault="0074761B">
      <w:pPr>
        <w:pStyle w:val="FirstParagraph"/>
      </w:pPr>
      <w:r>
        <w:t>This dissertation investigates the conditions under which machine learning-based early-warning systems (EWS) for banking crises fail, and why that failure is structural rather than technical. The central question is not whether sentiment augmentation improves crisis prediction, but whether the predictive gains observed under standard evaluation designs survive genuinely prospective validation — and what the answer implies for the EWS modelling framework itself.</w:t>
      </w:r>
    </w:p>
    <w:p w14:paraId="3ACD50FD" w14:textId="77777777" w:rsidR="005A6139" w:rsidRDefault="0074761B">
      <w:pPr>
        <w:pStyle w:val="BodyText"/>
      </w:pPr>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on the extended panel. Stage 2 evaluates XGBoost augmented with FinBERT central bank speech sentiment (M3) against macro baselines on 26 crisis events over 2003–2020. EBM is introduced a</w:t>
      </w:r>
      <w:r>
        <w:t>s a natively interpretable non-linear benchmark whose fitted shape functions provide direct, post-hoc-free evidence about the feature-risk mapping learned by the model.</w:t>
      </w:r>
    </w:p>
    <w:p w14:paraId="3ACD50FE" w14:textId="77777777" w:rsidR="005A6139" w:rsidRDefault="0074761B">
      <w:pPr>
        <w:pStyle w:val="BodyText"/>
      </w:pPr>
      <w:r>
        <w:t xml:space="preserve">Four principal findings emerge. First, extending macro training history by fifteen years across multiple pre-GFC crisis episodes does not resolve the generalisation problem: M2 achieves AUROC 0.481 under strict temporal validation, below the random classifier threshold. Second, EBM achieves higher expanding-window metrics than both M2 and M3 (Stage 1 AUROC 0.753; Stage 2 AUPRC 0.532) but collapses more severely under prospective evaluation (AUROC 0.333), consistent with greater representational flexibility </w:t>
      </w:r>
      <w:r>
        <w:t>increasing vulnerability to regime-specific overfitting, even in natively interpretable models. Third, EBM shape functions — estimated separately on pre-GFC and GFC-inclusive training windows — are qualitatively distinct across regimes, making the learned feature-risk instability directly visible without any post-hoc attribution approximation. Fourth, FinBERT sentiment contributes a directional but statistically unconfirmed AUPRC increment (6.8 percentage points, 95% CI spanning zero) that cannot be confide</w:t>
      </w:r>
      <w:r>
        <w:t>ntly attributed to a stable sentiment signal because performance differences are at least as sensitive to model class as to the sentiment feature extension.</w:t>
      </w:r>
    </w:p>
    <w:p w14:paraId="3ACD50FF" w14:textId="77777777" w:rsidR="005A6139" w:rsidRDefault="0074761B">
      <w:pPr>
        <w:pStyle w:val="BodyText"/>
        <w:sectPr w:rsidR="005A6139">
          <w:footerReference w:type="default" r:id="rId7"/>
          <w:pgSz w:w="11906" w:h="16838"/>
          <w:pgMar w:top="1440" w:right="1440" w:bottom="1440" w:left="1440" w:header="708" w:footer="708" w:gutter="0"/>
          <w:cols w:space="720"/>
          <w:docGrid w:linePitch="360"/>
        </w:sectPr>
      </w:pPr>
      <w:r>
        <w:t>Taken together, these findings indicate that the failure of machine learning-based EWS is not primarily a function of model choice, feature design, or data availability, but of a deeper structural instability in the mapping between predictors and crisis outcomes across regimes — a limitation that was not resolved in this study through additional data, model complexity, or interpretability enhancements.</w:t>
      </w:r>
    </w:p>
    <w:p w14:paraId="3ACD5100" w14:textId="77777777" w:rsidR="005A6139" w:rsidRDefault="0074761B">
      <w:pPr>
        <w:pStyle w:val="Heading1"/>
      </w:pPr>
      <w:r>
        <w:lastRenderedPageBreak/>
        <w:t>Chapter 1: Introduction</w:t>
      </w:r>
    </w:p>
    <w:p w14:paraId="3ACD5101" w14:textId="77777777" w:rsidR="005A6139" w:rsidRDefault="0074761B">
      <w:pPr>
        <w:pStyle w:val="FirstParagraph"/>
      </w:pPr>
      <w:r>
        <w:rPr>
          <w:i/>
          <w:iCs/>
        </w:rPr>
        <w:t>Economic Crisis Prediction: Improving the Trade-off Between Interpretability and Statistical Accuracy in ML-Enhanced Crisis Prediction Models</w:t>
      </w:r>
    </w:p>
    <w:p w14:paraId="3ACD5102" w14:textId="77777777" w:rsidR="005A6139" w:rsidRDefault="0074761B">
      <w:pPr>
        <w:pStyle w:val="BodyText"/>
      </w:pPr>
      <w:r>
        <w:t>Pavlos Papachristos • PP24589 • MSc Artificial Intelligence, University of Essex Online • April 2026</w:t>
      </w:r>
    </w:p>
    <w:p w14:paraId="3ACD5103" w14:textId="77777777" w:rsidR="005A6139" w:rsidRDefault="0074761B">
      <w:r>
        <w:pict w14:anchorId="3ACD5471">
          <v:rect id="_x0000_i1026" style="width:0;height:1.5pt" o:hralign="center" o:hrstd="t" o:hr="t"/>
        </w:pict>
      </w:r>
    </w:p>
    <w:p w14:paraId="3ACD5104" w14:textId="77777777" w:rsidR="005A6139" w:rsidRDefault="0074761B">
      <w:pPr>
        <w:pStyle w:val="Heading2"/>
      </w:pPr>
      <w:r>
        <w:t>1.1 Background and Motivation</w:t>
      </w:r>
    </w:p>
    <w:p w14:paraId="3ACD5105" w14:textId="77777777" w:rsidR="005A6139" w:rsidRDefault="0074761B">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w:t>
      </w:r>
      <w:r>
        <w:t>turally different crisis configurations.</w:t>
      </w:r>
    </w:p>
    <w:p w14:paraId="3ACD5106" w14:textId="77777777" w:rsidR="005A6139" w:rsidRDefault="0074761B">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w:t>
      </w:r>
      <w:r>
        <w:t>l validation: models trained exclusively on pre-crisis data consistently failed to meet the 0.75 AUROC benchmark for practically useful prediction.</w:t>
      </w:r>
    </w:p>
    <w:p w14:paraId="3ACD5107" w14:textId="77777777" w:rsidR="005A6139" w:rsidRDefault="0074761B">
      <w:pPr>
        <w:pStyle w:val="BodyText"/>
      </w:pPr>
      <w:r>
        <w:t xml:space="preserve">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w:t>
      </w:r>
      <w:r>
        <w:t>natively interpretable non-linear model, and strict temporal validation.</w:t>
      </w:r>
    </w:p>
    <w:p w14:paraId="3ACD5108" w14:textId="77777777" w:rsidR="005A6139" w:rsidRDefault="0074761B">
      <w:r>
        <w:pict w14:anchorId="3ACD5472">
          <v:rect id="_x0000_i1027" style="width:0;height:1.5pt" o:hralign="center" o:hrstd="t" o:hr="t"/>
        </w:pict>
      </w:r>
    </w:p>
    <w:p w14:paraId="3ACD5109" w14:textId="77777777" w:rsidR="005A6139" w:rsidRDefault="0074761B">
      <w:pPr>
        <w:pStyle w:val="Heading2"/>
      </w:pPr>
      <w:r>
        <w:t>1.2 Research Problem</w:t>
      </w:r>
    </w:p>
    <w:p w14:paraId="3ACD510A" w14:textId="77777777" w:rsidR="005A6139" w:rsidRDefault="0074761B">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w:t>
      </w:r>
      <w:r>
        <w:t>ise to structurally different episodes, regardless of training sample length or algorithm sophistication.</w:t>
      </w:r>
    </w:p>
    <w:p w14:paraId="3ACD510B" w14:textId="77777777" w:rsidR="005A6139" w:rsidRDefault="0074761B">
      <w:r>
        <w:pict w14:anchorId="3ACD5473">
          <v:rect id="_x0000_i1028" style="width:0;height:1.5pt" o:hralign="center" o:hrstd="t" o:hr="t"/>
        </w:pict>
      </w:r>
    </w:p>
    <w:p w14:paraId="3ACD510C" w14:textId="77777777" w:rsidR="005A6139" w:rsidRDefault="0074761B">
      <w:pPr>
        <w:pStyle w:val="Heading2"/>
      </w:pPr>
      <w:r>
        <w:t>1.3 Aim, Objectives and Hypotheses</w:t>
      </w:r>
    </w:p>
    <w:p w14:paraId="3ACD510D" w14:textId="77777777" w:rsidR="005A6139" w:rsidRDefault="0074761B">
      <w:pPr>
        <w:pStyle w:val="FirstParagraph"/>
      </w:pPr>
      <w:r>
        <w:rPr>
          <w:b/>
          <w:bCs/>
        </w:rPr>
        <w:t>Research Aim:</w:t>
      </w:r>
      <w:r>
        <w:t xml:space="preserve"> To investigate the extent to which ML-based EWS achieve genuinely prospective predictive performance, and to characterise the structural conditions under which </w:t>
      </w:r>
      <w:r>
        <w:lastRenderedPageBreak/>
        <w:t>their generalisation fails, using an interpretable non-linear benchmark that makes the failure mechanism directly visible.</w:t>
      </w:r>
    </w:p>
    <w:p w14:paraId="3ACD510E" w14:textId="77777777" w:rsidR="005A6139" w:rsidRDefault="0074761B">
      <w:pPr>
        <w:pStyle w:val="BodyText"/>
      </w:pPr>
      <w:r>
        <w:rPr>
          <w:b/>
          <w:bCs/>
        </w:rPr>
        <w:t>Objectives:</w:t>
      </w:r>
      <w:r>
        <w:t xml:space="preserve"> (O1) Extend the JST panel from 2003–2020 to 1989–2020 incorporating multiple pre-GFC episodes; (O2) evaluate a model sequence — M1 (logistic regression), M2 (Random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w:t>
      </w:r>
      <w:r>
        <w:t>semble averaging under single-episode evaluation constraints; (O6) draw implications for EWS design and ML under distribution shift.</w:t>
      </w:r>
    </w:p>
    <w:p w14:paraId="3ACD510F" w14:textId="77777777" w:rsidR="005A6139" w:rsidRDefault="0074761B">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3ACD5110" w14:textId="77777777" w:rsidR="005A6139" w:rsidRDefault="0074761B">
      <w:r>
        <w:pict w14:anchorId="3ACD5474">
          <v:rect id="_x0000_i1029" style="width:0;height:1.5pt" o:hralign="center" o:hrstd="t" o:hr="t"/>
        </w:pict>
      </w:r>
    </w:p>
    <w:p w14:paraId="3ACD5111" w14:textId="77777777" w:rsidR="005A6139" w:rsidRDefault="0074761B">
      <w:pPr>
        <w:pStyle w:val="Heading2"/>
      </w:pPr>
      <w:r>
        <w:t>1.4 Contribution</w:t>
      </w:r>
    </w:p>
    <w:p w14:paraId="3ACD5112" w14:textId="77777777" w:rsidR="005A6139" w:rsidRDefault="0074761B">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w:t>
      </w:r>
      <w:r>
        <w:t>ral rather than simply a consequence of model opacity — placing the problem within the ML literature on distribution shift.</w:t>
      </w:r>
    </w:p>
    <w:p w14:paraId="3ACD5113" w14:textId="77777777" w:rsidR="005A6139" w:rsidRDefault="0074761B">
      <w:r>
        <w:pict w14:anchorId="3ACD5475">
          <v:rect id="_x0000_i1030" style="width:0;height:1.5pt" o:hralign="center" o:hrstd="t" o:hr="t"/>
        </w:pict>
      </w:r>
    </w:p>
    <w:p w14:paraId="3ACD5114" w14:textId="77777777" w:rsidR="005A6139" w:rsidRDefault="0074761B">
      <w:pPr>
        <w:pStyle w:val="Heading2"/>
      </w:pPr>
      <w:r>
        <w:t>1.5 MSc AI Requirement</w:t>
      </w:r>
    </w:p>
    <w:p w14:paraId="3ACD5115" w14:textId="77777777" w:rsidR="005A6139" w:rsidRDefault="0074761B">
      <w:pPr>
        <w:pStyle w:val="FirstParagraph"/>
      </w:pPr>
      <w:r>
        <w:t>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w:t>
      </w:r>
      <w:r>
        <w:t xml:space="preserve">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3ACD5116" w14:textId="77777777" w:rsidR="005A6139" w:rsidRDefault="0074761B">
      <w:r>
        <w:pict w14:anchorId="3ACD5476">
          <v:rect id="_x0000_i1031" style="width:0;height:1.5pt" o:hralign="center" o:hrstd="t" o:hr="t"/>
        </w:pict>
      </w:r>
    </w:p>
    <w:p w14:paraId="3ACD5117" w14:textId="77777777" w:rsidR="005A6139" w:rsidRDefault="0074761B">
      <w:pPr>
        <w:pStyle w:val="Heading2"/>
      </w:pPr>
      <w:r>
        <w:t>1.6 Dissertation Structure</w:t>
      </w:r>
    </w:p>
    <w:p w14:paraId="3ACD5118" w14:textId="77777777" w:rsidR="005A6139" w:rsidRDefault="0074761B">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3ACD5119" w14:textId="77777777" w:rsidR="005A6139" w:rsidRDefault="0074761B">
      <w:r>
        <w:lastRenderedPageBreak/>
        <w:pict w14:anchorId="3ACD5477">
          <v:rect id="_x0000_i1032" style="width:0;height:1.5pt" o:hralign="center" o:hrstd="t" o:hr="t"/>
        </w:pict>
      </w:r>
    </w:p>
    <w:p w14:paraId="3ACD511A" w14:textId="77777777" w:rsidR="005A6139" w:rsidRDefault="0074761B">
      <w:r>
        <w:br w:type="page"/>
      </w:r>
    </w:p>
    <w:p w14:paraId="3ACD511B" w14:textId="77777777" w:rsidR="005A6139" w:rsidRDefault="0074761B">
      <w:pPr>
        <w:pStyle w:val="Heading1"/>
      </w:pPr>
      <w:r>
        <w:lastRenderedPageBreak/>
        <w:t>Chapter 2: Literature Review</w:t>
      </w:r>
    </w:p>
    <w:p w14:paraId="3ACD511C" w14:textId="77777777" w:rsidR="005A6139" w:rsidRDefault="0074761B">
      <w:pPr>
        <w:pStyle w:val="FirstParagraph"/>
      </w:pPr>
      <w:r>
        <w:rPr>
          <w:i/>
          <w:iCs/>
        </w:rPr>
        <w:t>Economic Crisis Prediction: Improving the Trade-off Between Interpretability and Statistical Accuracy in ML-Enhanced Crisis Prediction Models</w:t>
      </w:r>
    </w:p>
    <w:p w14:paraId="3ACD511D" w14:textId="77777777" w:rsidR="005A6139" w:rsidRDefault="0074761B">
      <w:pPr>
        <w:pStyle w:val="BodyText"/>
      </w:pPr>
      <w:r>
        <w:t>Pavlos Papachristos • PP24589 • MSc Artificial Intelligence, University of Essex Online • April 2026</w:t>
      </w:r>
    </w:p>
    <w:p w14:paraId="3ACD511E" w14:textId="77777777" w:rsidR="005A6139" w:rsidRDefault="0074761B">
      <w:r>
        <w:pict w14:anchorId="3ACD5478">
          <v:rect id="_x0000_i1033" style="width:0;height:1.5pt" o:hralign="center" o:hrstd="t" o:hr="t"/>
        </w:pict>
      </w:r>
    </w:p>
    <w:p w14:paraId="3ACD511F" w14:textId="77777777" w:rsidR="005A6139" w:rsidRDefault="0074761B">
      <w:pPr>
        <w:pStyle w:val="Heading2"/>
      </w:pPr>
      <w:r>
        <w:t>2.1 Early-Warning Systems for Banking Crises</w:t>
      </w:r>
    </w:p>
    <w:p w14:paraId="3ACD5120" w14:textId="77777777" w:rsidR="005A6139" w:rsidRDefault="0074761B">
      <w:pPr>
        <w:pStyle w:val="FirstParagraph"/>
      </w:pPr>
      <w:r>
        <w:t xml:space="preserve">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w:t>
      </w:r>
      <w:r>
        <w:t>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3ACD5121" w14:textId="77777777" w:rsidR="005A6139" w:rsidRDefault="0074761B">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w:t>
      </w:r>
      <w:r>
        <w:t>at undifferentiated crisis labels conflate structurally distinct events. This non-stationarity assumption is the theoretical foundation for the strict temporal validation central to Chapter 4.</w:t>
      </w:r>
    </w:p>
    <w:p w14:paraId="3ACD5122" w14:textId="77777777" w:rsidR="005A6139" w:rsidRDefault="0074761B">
      <w:r>
        <w:pict w14:anchorId="3ACD5479">
          <v:rect id="_x0000_i1034" style="width:0;height:1.5pt" o:hralign="center" o:hrstd="t" o:hr="t"/>
        </w:pict>
      </w:r>
    </w:p>
    <w:p w14:paraId="3ACD5123" w14:textId="77777777" w:rsidR="005A6139" w:rsidRDefault="0074761B">
      <w:pPr>
        <w:pStyle w:val="Heading2"/>
      </w:pPr>
      <w:r>
        <w:t>2.2 Machine Learning in Crisis Prediction</w:t>
      </w:r>
    </w:p>
    <w:p w14:paraId="3ACD5124" w14:textId="77777777" w:rsidR="005A6139" w:rsidRDefault="0074761B">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w:t>
      </w:r>
      <w:r>
        <w:t>ssertation’s temporal validation.</w:t>
      </w:r>
    </w:p>
    <w:p w14:paraId="3ACD5125" w14:textId="77777777" w:rsidR="005A6139" w:rsidRDefault="0074761B">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3ACD5126" w14:textId="77777777" w:rsidR="005A6139" w:rsidRDefault="0074761B">
      <w:r>
        <w:pict w14:anchorId="3ACD547A">
          <v:rect id="_x0000_i1035" style="width:0;height:1.5pt" o:hralign="center" o:hrstd="t" o:hr="t"/>
        </w:pict>
      </w:r>
    </w:p>
    <w:p w14:paraId="3ACD5127" w14:textId="77777777" w:rsidR="005A6139" w:rsidRDefault="0074761B">
      <w:pPr>
        <w:pStyle w:val="Heading2"/>
      </w:pPr>
      <w:r>
        <w:t>2.3 Central Bank Communication and Text Analysis</w:t>
      </w:r>
    </w:p>
    <w:p w14:paraId="3ACD5128" w14:textId="77777777" w:rsidR="005A6139" w:rsidRDefault="0074761B">
      <w:pPr>
        <w:pStyle w:val="FirstParagraph"/>
      </w:pPr>
      <w:r>
        <w:lastRenderedPageBreak/>
        <w:t>The BIS Central Bank Speech Archive provides a consistent multilingual corpus spanning over two decades for the countries in the EWS panel. FinBERT (Yang, Uy and Huang, 2020), 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w:t>
      </w:r>
      <w:r>
        <w:t>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14:paraId="3ACD5129" w14:textId="77777777" w:rsidR="005A6139" w:rsidRDefault="0074761B">
      <w:r>
        <w:pict w14:anchorId="3ACD547B">
          <v:rect id="_x0000_i1036" style="width:0;height:1.5pt" o:hralign="center" o:hrstd="t" o:hr="t"/>
        </w:pict>
      </w:r>
    </w:p>
    <w:p w14:paraId="3ACD512A" w14:textId="77777777" w:rsidR="005A6139" w:rsidRDefault="0074761B">
      <w:pPr>
        <w:pStyle w:val="Heading2"/>
      </w:pPr>
      <w:r>
        <w:t>2.4 Interpretability in Machine Learning</w:t>
      </w:r>
    </w:p>
    <w:p w14:paraId="3ACD512B" w14:textId="77777777" w:rsidR="005A6139" w:rsidRDefault="0074761B">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w:t>
      </w:r>
      <w:r>
        <w:t xml:space="preserve"> with strong multicollinearity. SHAP attributions should therefore be interpreted as measures of model re-weighting rather than causal economic importance.</w:t>
      </w:r>
    </w:p>
    <w:p w14:paraId="3ACD512C" w14:textId="77777777" w:rsidR="005A6139" w:rsidRDefault="0074761B">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w:t>
      </w:r>
      <w:r>
        <w:t xml:space="preserve"> instability in the underlying data-generating process — a property that is central to the regime instability analysis in Section 4.7.</w:t>
      </w:r>
    </w:p>
    <w:p w14:paraId="3ACD512D" w14:textId="77777777" w:rsidR="005A6139" w:rsidRDefault="0074761B">
      <w:r>
        <w:pict w14:anchorId="3ACD547C">
          <v:rect id="_x0000_i1037" style="width:0;height:1.5pt" o:hralign="center" o:hrstd="t" o:hr="t"/>
        </w:pict>
      </w:r>
    </w:p>
    <w:p w14:paraId="3ACD512E" w14:textId="77777777" w:rsidR="005A6139" w:rsidRDefault="0074761B">
      <w:pPr>
        <w:pStyle w:val="Heading2"/>
      </w:pPr>
      <w:r>
        <w:t>2.5 Ensemble Methods and Financial Contagion</w:t>
      </w:r>
    </w:p>
    <w:p w14:paraId="3ACD512F" w14:textId="77777777" w:rsidR="005A6139" w:rsidRDefault="0074761B">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3ACD5130" w14:textId="77777777" w:rsidR="005A6139" w:rsidRDefault="0074761B">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3ACD5131" w14:textId="77777777" w:rsidR="005A6139" w:rsidRDefault="0074761B">
      <w:r>
        <w:lastRenderedPageBreak/>
        <w:pict w14:anchorId="3ACD547D">
          <v:rect id="_x0000_i1038" style="width:0;height:1.5pt" o:hralign="center" o:hrstd="t" o:hr="t"/>
        </w:pict>
      </w:r>
    </w:p>
    <w:p w14:paraId="3ACD5132" w14:textId="77777777" w:rsidR="005A6139" w:rsidRDefault="0074761B">
      <w:pPr>
        <w:pStyle w:val="Heading2"/>
      </w:pPr>
      <w:r>
        <w:t>2.6 Research Gap</w:t>
      </w:r>
    </w:p>
    <w:p w14:paraId="3ACD5133" w14:textId="77777777" w:rsidR="005A6139" w:rsidRDefault="0074761B">
      <w:pPr>
        <w:pStyle w:val="FirstParagraph"/>
      </w:pPr>
      <w:r>
        <w:t xml:space="preserve">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w:t>
      </w:r>
      <w:r>
        <w:t>do not control for the algorithm effect — the possibility that performance gains attributed to sentiment reflect the algorithm switch rather than the sentiment signal itself. EBM on the same macro features as M2 isolates this effect.</w:t>
      </w:r>
    </w:p>
    <w:p w14:paraId="3ACD5134" w14:textId="77777777" w:rsidR="005A6139" w:rsidRDefault="0074761B">
      <w:r>
        <w:pict w14:anchorId="3ACD547E">
          <v:rect id="_x0000_i1039" style="width:0;height:1.5pt" o:hralign="center" o:hrstd="t" o:hr="t"/>
        </w:pict>
      </w:r>
    </w:p>
    <w:p w14:paraId="3ACD5135" w14:textId="77777777" w:rsidR="005A6139" w:rsidRDefault="0074761B">
      <w:r>
        <w:br w:type="page"/>
      </w:r>
    </w:p>
    <w:p w14:paraId="3ACD5136" w14:textId="77777777" w:rsidR="005A6139" w:rsidRDefault="0074761B">
      <w:pPr>
        <w:pStyle w:val="Heading1"/>
      </w:pPr>
      <w:r>
        <w:lastRenderedPageBreak/>
        <w:t>Chapter 3: Methodology</w:t>
      </w:r>
    </w:p>
    <w:p w14:paraId="3ACD5137" w14:textId="77777777" w:rsidR="005A6139" w:rsidRDefault="0074761B">
      <w:pPr>
        <w:pStyle w:val="FirstParagraph"/>
      </w:pPr>
      <w:r>
        <w:rPr>
          <w:i/>
          <w:iCs/>
        </w:rPr>
        <w:t>Economic Crisis Prediction: Improving the Trade-off Between Interpretability and Statistical Accuracy in ML-Enhanced Crisis Prediction Models</w:t>
      </w:r>
    </w:p>
    <w:p w14:paraId="3ACD5138" w14:textId="77777777" w:rsidR="005A6139" w:rsidRDefault="0074761B">
      <w:pPr>
        <w:pStyle w:val="BodyText"/>
      </w:pPr>
      <w:r>
        <w:t>Pavlos Papachristos • PP24589 • MSc Artificial Intelligence, University of Essex Online • April 2026</w:t>
      </w:r>
    </w:p>
    <w:p w14:paraId="3ACD5139" w14:textId="77777777" w:rsidR="005A6139" w:rsidRDefault="0074761B">
      <w:r>
        <w:pict w14:anchorId="3ACD547F">
          <v:rect id="_x0000_i1040" style="width:0;height:1.5pt" o:hralign="center" o:hrstd="t" o:hr="t"/>
        </w:pict>
      </w:r>
    </w:p>
    <w:p w14:paraId="3ACD513A" w14:textId="77777777" w:rsidR="005A6139" w:rsidRDefault="0074761B">
      <w:pPr>
        <w:pStyle w:val="Heading2"/>
      </w:pPr>
      <w:r>
        <w:t>3.1 Research Design</w:t>
      </w:r>
    </w:p>
    <w:p w14:paraId="3ACD513B" w14:textId="77777777" w:rsidR="005A6139" w:rsidRDefault="0074761B">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w:t>
      </w:r>
      <w:r>
        <w:t>indow where FinBERT data is available.</w:t>
      </w:r>
    </w:p>
    <w:p w14:paraId="3ACD513C" w14:textId="77777777" w:rsidR="005A6139" w:rsidRDefault="0074761B">
      <w:r>
        <w:pict w14:anchorId="3ACD5480">
          <v:rect id="_x0000_i1041" style="width:0;height:1.5pt" o:hralign="center" o:hrstd="t" o:hr="t"/>
        </w:pict>
      </w:r>
    </w:p>
    <w:p w14:paraId="3ACD513D" w14:textId="77777777" w:rsidR="005A6139" w:rsidRDefault="0074761B">
      <w:pPr>
        <w:pStyle w:val="Heading2"/>
      </w:pPr>
      <w:r>
        <w:t>3.2 Data Sources and Ethics</w:t>
      </w:r>
    </w:p>
    <w:p w14:paraId="3ACD513E" w14:textId="77777777" w:rsidR="005A6139" w:rsidRDefault="0074761B">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3ACD513F" w14:textId="77777777" w:rsidR="005A6139" w:rsidRDefault="0074761B">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3ACD5140" w14:textId="77777777" w:rsidR="005A6139" w:rsidRDefault="0074761B">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w:t>
      </w:r>
    </w:p>
    <w:p w14:paraId="3ACD5141" w14:textId="77777777" w:rsidR="005A6139" w:rsidRDefault="0074761B">
      <w:r>
        <w:pict w14:anchorId="3ACD5481">
          <v:rect id="_x0000_i1042" style="width:0;height:1.5pt" o:hralign="center" o:hrstd="t" o:hr="t"/>
        </w:pict>
      </w:r>
    </w:p>
    <w:p w14:paraId="3ACD5142" w14:textId="77777777" w:rsidR="005A6139" w:rsidRDefault="0074761B">
      <w:pPr>
        <w:pStyle w:val="Heading2"/>
      </w:pPr>
      <w:r>
        <w:t>3.3 Target Variable and Features</w:t>
      </w:r>
    </w:p>
    <w:p w14:paraId="3ACD5143" w14:textId="77777777" w:rsidR="005A6139" w:rsidRDefault="0074761B">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3ACD5144" w14:textId="77777777" w:rsidR="005A6139" w:rsidRDefault="0074761B">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3ACD5145" w14:textId="77777777" w:rsidR="005A6139" w:rsidRDefault="0074761B">
      <w:pPr>
        <w:pStyle w:val="BodyText"/>
      </w:pPr>
      <w:r>
        <w:rPr>
          <w:b/>
          <w:bCs/>
        </w:rPr>
        <w:t>Sentiment features (20):</w:t>
      </w:r>
      <w:r>
        <w:t xml:space="preserve"> Six FinBERT measures (P_pos, P_neg, P_neutral, net_sentiment, annual changes) at lags 1–2 plus rolling derivatives, three-year rolling-window demeaned.</w:t>
      </w:r>
    </w:p>
    <w:p w14:paraId="3ACD5146" w14:textId="77777777" w:rsidR="005A6139" w:rsidRDefault="0074761B">
      <w:r>
        <w:pict w14:anchorId="3ACD5482">
          <v:rect id="_x0000_i1043" style="width:0;height:1.5pt" o:hralign="center" o:hrstd="t" o:hr="t"/>
        </w:pict>
      </w:r>
    </w:p>
    <w:p w14:paraId="3ACD5147" w14:textId="77777777" w:rsidR="005A6139" w:rsidRDefault="0074761B">
      <w:pPr>
        <w:pStyle w:val="Heading2"/>
      </w:pPr>
      <w:r>
        <w:lastRenderedPageBreak/>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5A6139" w14:paraId="3ACD514C" w14:textId="77777777">
        <w:tblPrEx>
          <w:tblCellMar>
            <w:top w:w="0" w:type="dxa"/>
            <w:bottom w:w="0" w:type="dxa"/>
          </w:tblCellMar>
        </w:tblPrEx>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3ACD5148" w14:textId="77777777" w:rsidR="005A6139" w:rsidRDefault="0074761B">
            <w:pPr>
              <w:spacing w:before="40" w:after="40"/>
            </w:pPr>
            <w:r>
              <w:rPr>
                <w:b/>
                <w:color w:val="1F4E79"/>
                <w:sz w:val="18"/>
              </w:rPr>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3ACD5149" w14:textId="77777777" w:rsidR="005A6139" w:rsidRDefault="0074761B">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3ACD514A" w14:textId="77777777" w:rsidR="005A6139" w:rsidRDefault="0074761B">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3ACD514B" w14:textId="77777777" w:rsidR="005A6139" w:rsidRDefault="0074761B">
            <w:pPr>
              <w:spacing w:before="40" w:after="40"/>
            </w:pPr>
            <w:r>
              <w:rPr>
                <w:b/>
                <w:color w:val="1F4E79"/>
                <w:sz w:val="18"/>
              </w:rPr>
              <w:t>Key settings</w:t>
            </w:r>
          </w:p>
        </w:tc>
      </w:tr>
      <w:tr w:rsidR="005A6139" w14:paraId="3ACD5151"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4D" w14:textId="77777777" w:rsidR="005A6139" w:rsidRDefault="0074761B">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4E" w14:textId="77777777" w:rsidR="005A6139" w:rsidRDefault="0074761B">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4F" w14:textId="77777777" w:rsidR="005A6139" w:rsidRDefault="0074761B">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3ACD5150" w14:textId="77777777" w:rsidR="005A6139" w:rsidRDefault="0074761B">
            <w:pPr>
              <w:spacing w:before="40" w:after="40"/>
            </w:pPr>
            <w:r>
              <w:rPr>
                <w:sz w:val="18"/>
              </w:rPr>
              <w:t>L2 C=0.1, balanced weights</w:t>
            </w:r>
          </w:p>
        </w:tc>
      </w:tr>
      <w:tr w:rsidR="005A6139" w14:paraId="3ACD5156"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52" w14:textId="77777777" w:rsidR="005A6139" w:rsidRDefault="0074761B">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53" w14:textId="77777777" w:rsidR="005A6139" w:rsidRDefault="0074761B">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54" w14:textId="77777777" w:rsidR="005A6139" w:rsidRDefault="0074761B">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3ACD5155" w14:textId="77777777" w:rsidR="005A6139" w:rsidRDefault="0074761B">
            <w:pPr>
              <w:spacing w:before="40" w:after="40"/>
            </w:pPr>
            <w:r>
              <w:rPr>
                <w:sz w:val="18"/>
              </w:rPr>
              <w:t>Bridge specification</w:t>
            </w:r>
          </w:p>
        </w:tc>
      </w:tr>
      <w:tr w:rsidR="005A6139" w14:paraId="3ACD515B"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57" w14:textId="77777777" w:rsidR="005A6139" w:rsidRDefault="0074761B">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58" w14:textId="77777777" w:rsidR="005A6139" w:rsidRDefault="0074761B">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59" w14:textId="77777777" w:rsidR="005A6139" w:rsidRDefault="0074761B">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3ACD515A" w14:textId="77777777" w:rsidR="005A6139" w:rsidRDefault="0074761B">
            <w:pPr>
              <w:spacing w:before="40" w:after="40"/>
            </w:pPr>
            <w:r>
              <w:rPr>
                <w:sz w:val="18"/>
              </w:rPr>
              <w:t>500 trees, depth 5, balanced weights</w:t>
            </w:r>
          </w:p>
        </w:tc>
      </w:tr>
      <w:tr w:rsidR="005A6139" w14:paraId="3ACD5160"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5C" w14:textId="77777777" w:rsidR="005A6139" w:rsidRDefault="0074761B">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5D" w14:textId="77777777" w:rsidR="005A6139" w:rsidRDefault="0074761B">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5E" w14:textId="77777777" w:rsidR="005A6139" w:rsidRDefault="0074761B">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3ACD515F" w14:textId="77777777" w:rsidR="005A6139" w:rsidRDefault="0074761B">
            <w:pPr>
              <w:spacing w:before="40" w:after="40"/>
            </w:pPr>
            <w:r>
              <w:rPr>
                <w:sz w:val="18"/>
              </w:rPr>
              <w:t>5,000 rounds, 5 interactions, sample weights, no isotonic calibration</w:t>
            </w:r>
          </w:p>
        </w:tc>
      </w:tr>
      <w:tr w:rsidR="005A6139" w14:paraId="3ACD5165"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61" w14:textId="77777777" w:rsidR="005A6139" w:rsidRDefault="0074761B">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62" w14:textId="77777777" w:rsidR="005A6139" w:rsidRDefault="0074761B">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3ACD5163" w14:textId="77777777" w:rsidR="005A6139" w:rsidRDefault="0074761B">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3ACD5164" w14:textId="77777777" w:rsidR="005A6139" w:rsidRDefault="0074761B">
            <w:pPr>
              <w:spacing w:before="40" w:after="40"/>
            </w:pPr>
            <w:r>
              <w:rPr>
                <w:sz w:val="18"/>
              </w:rPr>
              <w:t>300 trees, depth 4, isotonic calibration (CalibratedClassifierCV)</w:t>
            </w:r>
          </w:p>
        </w:tc>
      </w:tr>
      <w:tr w:rsidR="005A6139" w14:paraId="3ACD516A"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66" w14:textId="77777777" w:rsidR="005A6139" w:rsidRDefault="0074761B">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67" w14:textId="77777777" w:rsidR="005A6139" w:rsidRDefault="0074761B">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3ACD5168" w14:textId="77777777" w:rsidR="005A6139" w:rsidRDefault="0074761B">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3ACD5169" w14:textId="77777777" w:rsidR="005A6139" w:rsidRDefault="0074761B">
            <w:pPr>
              <w:spacing w:before="40" w:after="40"/>
            </w:pPr>
            <w:r>
              <w:rPr>
                <w:sz w:val="18"/>
              </w:rPr>
              <w:t>Trained on 2003–2020 only</w:t>
            </w:r>
          </w:p>
        </w:tc>
      </w:tr>
    </w:tbl>
    <w:p w14:paraId="3ACD516B" w14:textId="77777777" w:rsidR="005A6139" w:rsidRDefault="0074761B">
      <w:pPr>
        <w:pStyle w:val="BodyText"/>
      </w:pPr>
      <w:r>
        <w:rPr>
          <w:i/>
          <w:iCs/>
        </w:rPr>
        <w:t>Table 3.1. Model specifications summary.</w:t>
      </w:r>
    </w:p>
    <w:p w14:paraId="3ACD516C" w14:textId="77777777" w:rsidR="005A6139" w:rsidRDefault="0074761B">
      <w:pPr>
        <w:pStyle w:val="BodyText"/>
      </w:pPr>
      <w:r>
        <w:t>Class imbalance is handled by per-fold sample weights: fold_spw = n_neg / n_pos applied within each expanding-window training fold. EBM uses the interpret package v0.7.8.</w:t>
      </w:r>
    </w:p>
    <w:p w14:paraId="3ACD516D" w14:textId="77777777" w:rsidR="005A6139" w:rsidRDefault="0074761B">
      <w:r>
        <w:pict w14:anchorId="3ACD5483">
          <v:rect id="_x0000_i1044" style="width:0;height:1.5pt" o:hralign="center" o:hrstd="t" o:hr="t"/>
        </w:pict>
      </w:r>
    </w:p>
    <w:p w14:paraId="3ACD516E" w14:textId="77777777" w:rsidR="005A6139" w:rsidRDefault="0074761B">
      <w:pPr>
        <w:pStyle w:val="Heading2"/>
      </w:pPr>
      <w:r>
        <w:t>3.5 Evaluation Framework</w:t>
      </w:r>
    </w:p>
    <w:p w14:paraId="3ACD516F" w14:textId="77777777" w:rsidR="005A6139" w:rsidRDefault="0074761B">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3ACD5170" w14:textId="77777777" w:rsidR="005A6139" w:rsidRDefault="0074761B">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3ACD5171" w14:textId="77777777" w:rsidR="005A6139" w:rsidRDefault="0074761B">
      <w:pPr>
        <w:pStyle w:val="BodyText"/>
      </w:pPr>
      <w:r>
        <w:rPr>
          <w:b/>
          <w:bCs/>
        </w:rPr>
        <w:t>LOCO validation</w:t>
      </w:r>
      <w:r>
        <w:t xml:space="preserve"> holds out each country in turn across 15 countries with hold-out crisis events (AUS, CAN, NOR excluded — no hold-out positives).</w:t>
      </w:r>
    </w:p>
    <w:p w14:paraId="3ACD5172" w14:textId="77777777" w:rsidR="005A6139" w:rsidRDefault="0074761B">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3ACD5173" w14:textId="77777777" w:rsidR="005A6139" w:rsidRDefault="0074761B">
      <w:r>
        <w:pict w14:anchorId="3ACD5484">
          <v:rect id="_x0000_i1045" style="width:0;height:1.5pt" o:hralign="center" o:hrstd="t" o:hr="t"/>
        </w:pict>
      </w:r>
    </w:p>
    <w:p w14:paraId="3ACD5174" w14:textId="77777777" w:rsidR="005A6139" w:rsidRDefault="0074761B">
      <w:pPr>
        <w:pStyle w:val="Heading2"/>
      </w:pPr>
      <w:r>
        <w:t>3.6 EBM Shape Function Analysis and Ensemble Design</w:t>
      </w:r>
    </w:p>
    <w:p w14:paraId="3ACD5175" w14:textId="77777777" w:rsidR="005A6139" w:rsidRDefault="0074761B">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3ACD5176" w14:textId="77777777" w:rsidR="005A6139" w:rsidRDefault="0074761B">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3ACD5177" w14:textId="77777777" w:rsidR="005A6139" w:rsidRDefault="0074761B">
      <w:pPr>
        <w:pStyle w:val="BodyText"/>
      </w:pPr>
      <w:r>
        <w:t>The full notebook pipeline (NB00–NB09B) is documented in Appendix A.</w:t>
      </w:r>
    </w:p>
    <w:p w14:paraId="3ACD5178" w14:textId="77777777" w:rsidR="005A6139" w:rsidRDefault="0074761B">
      <w:r>
        <w:pict w14:anchorId="3ACD5485">
          <v:rect id="_x0000_i1046" style="width:0;height:1.5pt" o:hralign="center" o:hrstd="t" o:hr="t"/>
        </w:pict>
      </w:r>
    </w:p>
    <w:p w14:paraId="3ACD5179" w14:textId="77777777" w:rsidR="005A6139" w:rsidRDefault="0074761B">
      <w:r>
        <w:br w:type="page"/>
      </w:r>
    </w:p>
    <w:p w14:paraId="3ACD517A" w14:textId="77777777" w:rsidR="005A6139" w:rsidRDefault="0074761B">
      <w:r>
        <w:lastRenderedPageBreak/>
        <w:br w:type="page"/>
      </w:r>
    </w:p>
    <w:p w14:paraId="3ACD517B" w14:textId="77777777" w:rsidR="0074761B" w:rsidRDefault="0074761B">
      <w:pPr>
        <w:pStyle w:val="Heading1"/>
      </w:pPr>
      <w:r>
        <w:lastRenderedPageBreak/>
        <w:t>Chapter 4: Results and Interpretation</w:t>
      </w:r>
    </w:p>
    <w:p w14:paraId="3ACD517C" w14:textId="77777777" w:rsidR="0074761B" w:rsidRDefault="0074761B">
      <w:r>
        <w:rPr>
          <w:i/>
          <w:iCs/>
        </w:rPr>
        <w:t>Economic Crisis Prediction: Improving the Trade-off Between Interpretability and Statistical Accuracy in ML-Enhanced Crisis Prediction Models</w:t>
      </w:r>
    </w:p>
    <w:p w14:paraId="3ACD517D" w14:textId="77777777" w:rsidR="0074761B" w:rsidRDefault="0074761B">
      <w:r>
        <w:pict w14:anchorId="3ACD5486">
          <v:rect id="_x0000_i1047" style="width:0;height:1.5pt" o:hralign="center" o:hrstd="t" o:hr="t"/>
        </w:pict>
      </w:r>
    </w:p>
    <w:p w14:paraId="3ACD517E" w14:textId="77777777" w:rsidR="0074761B" w:rsidRDefault="0074761B">
      <w:pPr>
        <w:pStyle w:val="Heading2"/>
      </w:pPr>
      <w:r>
        <w:t>4.1 Dataset and Experimental Setup</w:t>
      </w:r>
    </w:p>
    <w:p w14:paraId="3ACD517F" w14:textId="77777777" w:rsidR="0074761B" w:rsidRDefault="0074761B">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w:t>
      </w:r>
      <w:r>
        <w:t>his chapter — because the evaluation constraints established here apply with equal force to all models regardless of their algorithmic sophistication or interpretability properties.</w:t>
      </w:r>
    </w:p>
    <w:p w14:paraId="3ACD5180" w14:textId="77777777" w:rsidR="0074761B" w:rsidRDefault="0074761B">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w:t>
      </w:r>
      <w:r>
        <w:t xml:space="preserve">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w:t>
      </w:r>
      <w:r>
        <w:t>ere addressed by linear interpolation (Denmark government debt, 1997) or were eliminated by the lag construction (Portugal house prices, 1985–1987).</w:t>
      </w:r>
    </w:p>
    <w:p w14:paraId="3ACD5181" w14:textId="77777777" w:rsidR="0074761B" w:rsidRDefault="0074761B">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w:t>
      </w:r>
      <w:r>
        <w:t>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w:t>
      </w:r>
      <w:r>
        <w:t>tage 1 uses a four-year burn-in from 1989 with 26 evaluation folds (1993–2018); Stage 2 uses a four-year burn-in from 2003 with 12 evaluation folds (2007–2018); 2019 and 2020 are held out in both stages.</w:t>
      </w:r>
    </w:p>
    <w:p w14:paraId="3ACD5182" w14:textId="77777777" w:rsidR="0074761B" w:rsidRDefault="0074761B">
      <w:r>
        <w:lastRenderedPageBreak/>
        <w:t>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constitute a Cross-Sectional Case Study of the 2007 GFC — evaluating how well each model ranks 18 countries by crisis probability within a</w:t>
      </w:r>
      <w:r>
        <w:t xml:space="preserve"> single known crisis episode — rather than temporal predictive validation in the conventional sense. All Stage 2 performance figures — including AUROC, AUPRC, Brier Score, and ensemble metrics — should be read as measures of in-crisis discrimination within a single episode, not as evidence of out-of-sample predictive power. This framing governs interpretation of all Stage 2 results throughout the chapter. Second, all models achieve AUROC substantially below the 0.75 literature benchmark under genuinely pros</w:t>
      </w:r>
      <w:r>
        <w:t>pective evaluation (Section 4.5). All expanding-window metrics in both stages are upper bounds on prospective performance, and this qualification applies with equal force to every model in the sequence.</w:t>
      </w:r>
    </w:p>
    <w:p w14:paraId="3ACD5183" w14:textId="77777777" w:rsidR="0074761B" w:rsidRDefault="0074761B">
      <w:r>
        <w:pict w14:anchorId="3ACD5487">
          <v:rect id="_x0000_i1048" style="width:0;height:1.5pt" o:hralign="center" o:hrstd="t" o:hr="t"/>
        </w:pict>
      </w:r>
    </w:p>
    <w:p w14:paraId="3ACD5184" w14:textId="77777777" w:rsidR="0074761B" w:rsidRDefault="0074761B">
      <w:pPr>
        <w:pStyle w:val="Heading2"/>
      </w:pPr>
      <w:r>
        <w:t>4.2 Primary Model Comparison</w:t>
      </w:r>
    </w:p>
    <w:p w14:paraId="3ACD5185" w14:textId="77777777" w:rsidR="0074761B" w:rsidRDefault="0074761B">
      <w:r>
        <w:t>Table 4.1 presents Stage 1 post-calibration metrics for M1, M1b, M2 and M2.5 (EBM) on the extended panel. Table 4.2 presents Stage 2 metrics for M2-matched, M2.5-matched, M3 and M4. Bootstrap 95 per cent confidence intervals from 1,000 resamples are indicative only.</w:t>
      </w:r>
    </w:p>
    <w:p w14:paraId="3ACD5186" w14:textId="77777777" w:rsidR="0074761B" w:rsidRDefault="0074761B"/>
    <w:p w14:paraId="3ACD5187" w14:textId="77777777" w:rsidR="0074761B" w:rsidRDefault="0074761B">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3ACD518F"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8" w14:textId="77777777" w:rsidR="0074761B" w:rsidRDefault="0074761B">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9" w14:textId="77777777" w:rsidR="0074761B" w:rsidRDefault="0074761B">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A" w14:textId="77777777" w:rsidR="0074761B" w:rsidRDefault="0074761B">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B" w14:textId="77777777" w:rsidR="0074761B" w:rsidRDefault="0074761B">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C" w14:textId="77777777" w:rsidR="0074761B" w:rsidRDefault="0074761B">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D" w14:textId="77777777" w:rsidR="0074761B" w:rsidRDefault="0074761B">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8E" w14:textId="77777777" w:rsidR="0074761B" w:rsidRDefault="0074761B">
            <w:pPr>
              <w:spacing w:before="20" w:after="20"/>
            </w:pPr>
            <w:r>
              <w:rPr>
                <w:b/>
                <w:color w:val="1F4E79"/>
                <w:sz w:val="18"/>
              </w:rPr>
              <w:t>Brier</w:t>
            </w:r>
          </w:p>
        </w:tc>
      </w:tr>
      <w:tr w:rsidR="001F5E5B" w14:paraId="3ACD519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0" w14:textId="77777777" w:rsidR="0074761B" w:rsidRDefault="0074761B">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1" w14:textId="77777777" w:rsidR="0074761B" w:rsidRDefault="0074761B">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2" w14:textId="77777777" w:rsidR="0074761B" w:rsidRDefault="0074761B">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3" w14:textId="77777777" w:rsidR="0074761B" w:rsidRDefault="0074761B">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4" w14:textId="77777777" w:rsidR="0074761B" w:rsidRDefault="0074761B">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5" w14:textId="77777777" w:rsidR="0074761B" w:rsidRDefault="0074761B">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96" w14:textId="77777777" w:rsidR="0074761B" w:rsidRDefault="0074761B">
            <w:pPr>
              <w:spacing w:before="20" w:after="20"/>
            </w:pPr>
            <w:r>
              <w:rPr>
                <w:color w:val="000000"/>
                <w:sz w:val="18"/>
              </w:rPr>
              <w:t>0.157</w:t>
            </w:r>
          </w:p>
        </w:tc>
      </w:tr>
      <w:tr w:rsidR="001F5E5B" w14:paraId="3ACD519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8" w14:textId="77777777" w:rsidR="0074761B" w:rsidRDefault="0074761B">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9" w14:textId="77777777" w:rsidR="0074761B" w:rsidRDefault="0074761B">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A" w14:textId="77777777" w:rsidR="0074761B" w:rsidRDefault="0074761B">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B" w14:textId="77777777" w:rsidR="0074761B" w:rsidRDefault="0074761B">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C" w14:textId="77777777" w:rsidR="0074761B" w:rsidRDefault="0074761B">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D" w14:textId="77777777" w:rsidR="0074761B" w:rsidRDefault="0074761B">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9E" w14:textId="77777777" w:rsidR="0074761B" w:rsidRDefault="0074761B">
            <w:pPr>
              <w:spacing w:before="20" w:after="20"/>
            </w:pPr>
            <w:r>
              <w:rPr>
                <w:color w:val="000000"/>
                <w:sz w:val="18"/>
              </w:rPr>
              <w:t>0.136</w:t>
            </w:r>
          </w:p>
        </w:tc>
      </w:tr>
      <w:tr w:rsidR="001F5E5B" w14:paraId="3ACD51A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0" w14:textId="77777777" w:rsidR="0074761B" w:rsidRDefault="0074761B">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1" w14:textId="77777777" w:rsidR="0074761B" w:rsidRDefault="0074761B">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2" w14:textId="77777777" w:rsidR="0074761B" w:rsidRDefault="0074761B">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3" w14:textId="77777777" w:rsidR="0074761B" w:rsidRDefault="0074761B">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4" w14:textId="77777777" w:rsidR="0074761B" w:rsidRDefault="0074761B">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5" w14:textId="77777777" w:rsidR="0074761B" w:rsidRDefault="0074761B">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A6" w14:textId="77777777" w:rsidR="0074761B" w:rsidRDefault="0074761B">
            <w:pPr>
              <w:spacing w:before="20" w:after="20"/>
            </w:pPr>
            <w:r>
              <w:rPr>
                <w:color w:val="000000"/>
                <w:sz w:val="18"/>
              </w:rPr>
              <w:t>0.060</w:t>
            </w:r>
          </w:p>
        </w:tc>
      </w:tr>
      <w:tr w:rsidR="001F5E5B" w14:paraId="3ACD51A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8" w14:textId="77777777" w:rsidR="0074761B" w:rsidRDefault="0074761B">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9" w14:textId="77777777" w:rsidR="0074761B" w:rsidRDefault="0074761B">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A" w14:textId="77777777" w:rsidR="0074761B" w:rsidRDefault="0074761B">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B" w14:textId="77777777" w:rsidR="0074761B" w:rsidRDefault="0074761B">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C" w14:textId="77777777" w:rsidR="0074761B" w:rsidRDefault="0074761B">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D" w14:textId="77777777" w:rsidR="0074761B" w:rsidRDefault="0074761B">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AE" w14:textId="77777777" w:rsidR="0074761B" w:rsidRDefault="0074761B">
            <w:pPr>
              <w:spacing w:before="20" w:after="20"/>
            </w:pPr>
            <w:r>
              <w:rPr>
                <w:color w:val="000000"/>
                <w:sz w:val="18"/>
              </w:rPr>
              <w:t>0.064</w:t>
            </w:r>
          </w:p>
        </w:tc>
      </w:tr>
    </w:tbl>
    <w:p w14:paraId="3ACD51B0" w14:textId="77777777" w:rsidR="0074761B" w:rsidRDefault="0074761B">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3ACD51B1" w14:textId="77777777" w:rsidR="0074761B" w:rsidRPr="00615854" w:rsidRDefault="0074761B"/>
    <w:p w14:paraId="3ACD51B2" w14:textId="77777777" w:rsidR="0074761B" w:rsidRDefault="0074761B">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3ACD51BA"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3" w14:textId="77777777" w:rsidR="0074761B" w:rsidRDefault="0074761B">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4" w14:textId="77777777" w:rsidR="0074761B" w:rsidRDefault="0074761B">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5" w14:textId="77777777" w:rsidR="0074761B" w:rsidRDefault="0074761B">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6" w14:textId="77777777" w:rsidR="0074761B" w:rsidRDefault="0074761B">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7" w14:textId="77777777" w:rsidR="0074761B" w:rsidRDefault="0074761B">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8" w14:textId="77777777" w:rsidR="0074761B" w:rsidRDefault="0074761B">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B9" w14:textId="77777777" w:rsidR="0074761B" w:rsidRDefault="0074761B">
            <w:pPr>
              <w:spacing w:before="20" w:after="20"/>
            </w:pPr>
            <w:r>
              <w:rPr>
                <w:b/>
                <w:color w:val="1F4E79"/>
                <w:sz w:val="18"/>
              </w:rPr>
              <w:t>Brier</w:t>
            </w:r>
          </w:p>
        </w:tc>
      </w:tr>
      <w:tr w:rsidR="001F5E5B" w14:paraId="3ACD51C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BB" w14:textId="77777777" w:rsidR="0074761B" w:rsidRDefault="0074761B">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BC" w14:textId="77777777" w:rsidR="0074761B" w:rsidRDefault="0074761B">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BD" w14:textId="77777777" w:rsidR="0074761B" w:rsidRDefault="0074761B">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BE" w14:textId="77777777" w:rsidR="0074761B" w:rsidRDefault="0074761B">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BF" w14:textId="77777777" w:rsidR="0074761B" w:rsidRDefault="0074761B">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0" w14:textId="77777777" w:rsidR="0074761B" w:rsidRDefault="0074761B">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1" w14:textId="77777777" w:rsidR="0074761B" w:rsidRDefault="0074761B">
            <w:pPr>
              <w:spacing w:before="20" w:after="20"/>
            </w:pPr>
            <w:r>
              <w:rPr>
                <w:color w:val="000000"/>
                <w:sz w:val="18"/>
              </w:rPr>
              <w:t>0.060</w:t>
            </w:r>
          </w:p>
        </w:tc>
      </w:tr>
      <w:tr w:rsidR="001F5E5B" w14:paraId="3ACD51C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3" w14:textId="77777777" w:rsidR="0074761B" w:rsidRDefault="0074761B">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4" w14:textId="77777777" w:rsidR="0074761B" w:rsidRDefault="0074761B">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5" w14:textId="77777777" w:rsidR="0074761B" w:rsidRDefault="0074761B">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6" w14:textId="77777777" w:rsidR="0074761B" w:rsidRDefault="0074761B">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7" w14:textId="77777777" w:rsidR="0074761B" w:rsidRDefault="0074761B">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8" w14:textId="77777777" w:rsidR="0074761B" w:rsidRDefault="0074761B">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C9" w14:textId="77777777" w:rsidR="0074761B" w:rsidRDefault="0074761B">
            <w:pPr>
              <w:spacing w:before="20" w:after="20"/>
            </w:pPr>
            <w:r>
              <w:rPr>
                <w:color w:val="000000"/>
                <w:sz w:val="18"/>
              </w:rPr>
              <w:t>0.067</w:t>
            </w:r>
          </w:p>
        </w:tc>
      </w:tr>
      <w:tr w:rsidR="001F5E5B" w14:paraId="3ACD51D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B" w14:textId="77777777" w:rsidR="0074761B" w:rsidRDefault="0074761B">
            <w:pPr>
              <w:spacing w:before="20" w:after="20"/>
            </w:pPr>
            <w:r>
              <w:rPr>
                <w:color w:val="000000"/>
                <w:sz w:val="18"/>
              </w:rPr>
              <w:lastRenderedPageBreak/>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C" w14:textId="77777777" w:rsidR="0074761B" w:rsidRDefault="0074761B">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D" w14:textId="77777777" w:rsidR="0074761B" w:rsidRDefault="0074761B">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E" w14:textId="77777777" w:rsidR="0074761B" w:rsidRDefault="0074761B">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CF" w14:textId="77777777" w:rsidR="0074761B" w:rsidRDefault="0074761B">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D0" w14:textId="77777777" w:rsidR="0074761B" w:rsidRDefault="0074761B">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D1" w14:textId="77777777" w:rsidR="0074761B" w:rsidRDefault="0074761B">
            <w:pPr>
              <w:spacing w:before="20" w:after="20"/>
            </w:pPr>
            <w:r>
              <w:rPr>
                <w:color w:val="000000"/>
                <w:sz w:val="18"/>
              </w:rPr>
              <w:t>0.061</w:t>
            </w:r>
          </w:p>
        </w:tc>
      </w:tr>
      <w:tr w:rsidR="001F5E5B" w14:paraId="3ACD51D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D3" w14:textId="77777777" w:rsidR="0074761B" w:rsidRDefault="0074761B">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3ACD51D4" w14:textId="77777777" w:rsidR="0074761B" w:rsidRDefault="0074761B">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D5" w14:textId="77777777" w:rsidR="0074761B" w:rsidRDefault="0074761B">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D6" w14:textId="77777777" w:rsidR="0074761B" w:rsidRDefault="0074761B">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D7" w14:textId="77777777" w:rsidR="0074761B" w:rsidRDefault="0074761B">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D8" w14:textId="77777777" w:rsidR="0074761B" w:rsidRDefault="0074761B">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1D9" w14:textId="77777777" w:rsidR="0074761B" w:rsidRDefault="0074761B">
            <w:pPr>
              <w:spacing w:before="20" w:after="20"/>
            </w:pPr>
            <w:r>
              <w:rPr>
                <w:color w:val="000000"/>
                <w:sz w:val="18"/>
              </w:rPr>
              <w:t>0.057</w:t>
            </w:r>
          </w:p>
        </w:tc>
      </w:tr>
    </w:tbl>
    <w:p w14:paraId="3ACD51DB" w14:textId="77777777" w:rsidR="0074761B" w:rsidRDefault="0074761B">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w:t>
      </w:r>
      <w:r>
        <w:rPr>
          <w:i/>
          <w:iCs/>
        </w:rPr>
        <w:t>to all models equally. All AUROC and AUPRC figures in this table are measures of in-crisis discrimination within the 2007 GFC episode and should not be interpreted as evidence of generalised prospective predictive performance.</w:t>
      </w:r>
    </w:p>
    <w:p w14:paraId="3ACD51DC" w14:textId="77777777" w:rsidR="0074761B" w:rsidRPr="00615854" w:rsidRDefault="0074761B"/>
    <w:p w14:paraId="3ACD51DD" w14:textId="77777777" w:rsidR="0074761B" w:rsidRDefault="0074761B">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3ACD51DE" w14:textId="77777777" w:rsidR="0074761B" w:rsidRDefault="0074761B">
      <w:r>
        <w:rPr>
          <w:noProof/>
        </w:rPr>
        <w:drawing>
          <wp:inline distT="0" distB="0" distL="0" distR="0" wp14:anchorId="3ACD5488" wp14:editId="3ACD5489">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3ACD51DF" w14:textId="77777777" w:rsidR="0074761B" w:rsidRDefault="0074761B"/>
    <w:p w14:paraId="3ACD51E0" w14:textId="77777777" w:rsidR="0074761B" w:rsidRDefault="0074761B">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3ACD51E1" w14:textId="77777777" w:rsidR="0074761B" w:rsidRDefault="0074761B">
      <w:r>
        <w:t xml:space="preserve">Stage 1 results are considerably more modest than the headline figures in the original analysis. M2 achieves AUROC 0.636 and AUPRC 0.224, a 3.4× AUPRC lift, compared with AUROC 0.947 and AUPRC 0.561 in the original — a collapse that reflects both the structural </w:t>
      </w:r>
      <w:r>
        <w:lastRenderedPageBreak/>
        <w:t>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w:t>
      </w:r>
      <w:r>
        <w:t>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14:paraId="3ACD51E2" w14:textId="77777777" w:rsidR="0074761B" w:rsidRDefault="0074761B">
      <w:r>
        <w:t>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w:t>
      </w:r>
      <w:r>
        <w:t>nt CI [−0.130, +0.312] spanning zero. However, this comparison confounds two variables simultaneously: the algorithm (Random Forest versus XGBoost) and the feature set (macro-only versus macro plus sentiment). The more informative test for H1 is the comparison between M2.5-matched (EBM, macro-only, AUPRC 0.532) and M3 (XGBoost, macro plus sentiment, AUPRC 0.411): M2.5 achieves markedly higher AUPRC without any sentiment features whatsoever. This suggests that the observed Stage 2 performance differences are</w:t>
      </w:r>
      <w:r>
        <w:t xml:space="preserve"> at least as sensitive to model class as to the sentiment feature extension; the current design cannot cleanly isolate sentiment’s independent contribution because EBM and XGBoost also differ in regularisation, interaction handling, and calibration behaviour. The observed M3 advantage over M2-matched cannot be attributed to a stable or generalisable sentiment contribution with confidence, but neither can it be conclusively attributed to algorithm choice alone. This does not negate the directional AUPRC gain</w:t>
      </w:r>
      <w:r>
        <w:t xml:space="preserve"> of M3 over M2-matched, but it substantially qualifies its interpretation as evidence of sentiment value.</w:t>
      </w:r>
    </w:p>
    <w:p w14:paraId="3ACD51E3" w14:textId="77777777" w:rsidR="0074761B" w:rsidRDefault="0074761B"/>
    <w:p w14:paraId="3ACD51E4" w14:textId="77777777" w:rsidR="0074761B" w:rsidRDefault="0074761B">
      <w:r>
        <w:t>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14:paraId="3ACD51E5" w14:textId="77777777" w:rsidR="0074761B" w:rsidRDefault="0074761B">
      <w:r>
        <w:rPr>
          <w:noProof/>
        </w:rPr>
        <w:lastRenderedPageBreak/>
        <w:drawing>
          <wp:inline distT="0" distB="0" distL="0" distR="0" wp14:anchorId="3ACD548A" wp14:editId="3ACD548B">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3ACD51E6" w14:textId="77777777" w:rsidR="0074761B" w:rsidRPr="004075D1" w:rsidRDefault="0074761B">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3ACD51E7" w14:textId="77777777" w:rsidR="0074761B" w:rsidRDefault="0074761B">
      <w:pPr>
        <w:rPr>
          <w:b/>
          <w:bCs/>
        </w:rPr>
      </w:pPr>
    </w:p>
    <w:p w14:paraId="3ACD51E8" w14:textId="77777777" w:rsidR="0074761B" w:rsidRDefault="0074761B">
      <w:r>
        <w:rPr>
          <w:b/>
          <w:bCs/>
        </w:rPr>
        <w:t>H1 — Discrimination:</w:t>
      </w:r>
      <w:r>
        <w:t xml:space="preserve"> Supported directionally on AUPRC within the 2007 GFC cross-section for M3 versus M2-matched (0.411 versus 0.343). The more informative comparison — M2.5 EBM (macro-only, AUPRC 0.532) versus M3 (macro plus sentiment, AUPRC 0.411) — suggests that Stage 2 performance differences are at least as sensitive to algorithm class as to the sentiment feature extension; the design cannot cleanly isolate sentiment’s independent contribution because algorithm, regularisation, and features vary simultaneously between M2.</w:t>
      </w:r>
      <w:r>
        <w:t>5 and M3. The bootstrap 95% CI [−0.130, +0.312] spans zero; all figures characterise in-crisis discrimination within a single episode, not generalised prospective predictive performance.</w:t>
      </w:r>
    </w:p>
    <w:p w14:paraId="3ACD51E9" w14:textId="77777777" w:rsidR="0074761B" w:rsidRDefault="0074761B">
      <w:r>
        <w:t>A note on statistical uncertainty: the bootstrap 95 per cent confidence intervals reported in Tables 4.1 and 4.2 are indicative only and should not be used to claim statistical significance. The Stage 2 evaluation data violates the independence assumption required for standard bootstrapping — crisis events cluster by country and year within the GFC episode — meaning the true sampling uncertainty is substantially larger than the reported intervals suggest. Within this constrained evaluation setting, the disa</w:t>
      </w:r>
      <w:r>
        <w:t xml:space="preserve">greement analysis in Section </w:t>
      </w:r>
      <w:r>
        <w:lastRenderedPageBreak/>
        <w:t>4.10.2 — which documents how model predictions diverge specifically at crisis observations — provides a more epistemically appropriate characterisation of model uncertainty than bootstrap resampling. The CI figures are retained as descriptive summaries of resampling variability only.</w:t>
      </w:r>
    </w:p>
    <w:p w14:paraId="3ACD51EA" w14:textId="77777777" w:rsidR="0074761B" w:rsidRDefault="0074761B">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3ACD51EB" w14:textId="77777777" w:rsidR="0074761B" w:rsidRDefault="0074761B">
      <w:r>
        <w:br w:type="page"/>
      </w:r>
    </w:p>
    <w:p w14:paraId="3ACD51EC" w14:textId="77777777" w:rsidR="0074761B" w:rsidRDefault="0074761B"/>
    <w:p w14:paraId="3ACD51ED" w14:textId="77777777" w:rsidR="0074761B" w:rsidRDefault="0074761B">
      <w:r>
        <w:pict w14:anchorId="3ACD548C">
          <v:rect id="_x0000_i1049" style="width:0;height:1.5pt" o:hralign="center" o:hrstd="t" o:hr="t"/>
        </w:pict>
      </w:r>
    </w:p>
    <w:p w14:paraId="3ACD51EE" w14:textId="77777777" w:rsidR="0074761B" w:rsidRDefault="0074761B">
      <w:pPr>
        <w:pStyle w:val="Heading2"/>
      </w:pPr>
      <w:r>
        <w:t>4.3 Exploratory Decomposition of Model Changes</w:t>
      </w:r>
    </w:p>
    <w:p w14:paraId="3ACD51EF" w14:textId="77777777" w:rsidR="0074761B" w:rsidRDefault="0074761B">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3ACD51F0" w14:textId="77777777" w:rsidR="0074761B" w:rsidRDefault="0074761B"/>
    <w:p w14:paraId="3ACD51F1" w14:textId="77777777" w:rsidR="0074761B" w:rsidRDefault="0074761B">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3ACD51F8"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F2" w14:textId="77777777" w:rsidR="0074761B" w:rsidRDefault="0074761B">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F3" w14:textId="77777777" w:rsidR="0074761B" w:rsidRDefault="0074761B">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F4" w14:textId="77777777" w:rsidR="0074761B" w:rsidRDefault="0074761B">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F5" w14:textId="77777777" w:rsidR="0074761B" w:rsidRDefault="0074761B">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F6" w14:textId="77777777" w:rsidR="0074761B" w:rsidRDefault="0074761B">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1F7" w14:textId="77777777" w:rsidR="0074761B" w:rsidRDefault="0074761B">
            <w:pPr>
              <w:spacing w:before="20" w:after="20"/>
            </w:pPr>
            <w:r>
              <w:rPr>
                <w:b/>
                <w:color w:val="1F4E79"/>
                <w:sz w:val="18"/>
              </w:rPr>
              <w:t>Brier</w:t>
            </w:r>
          </w:p>
        </w:tc>
      </w:tr>
      <w:tr w:rsidR="001F5E5B" w14:paraId="3ACD51FF"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F9" w14:textId="77777777" w:rsidR="0074761B" w:rsidRDefault="0074761B">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FA" w14:textId="77777777" w:rsidR="0074761B" w:rsidRDefault="0074761B">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FB" w14:textId="77777777" w:rsidR="0074761B" w:rsidRDefault="0074761B">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FC" w14:textId="77777777" w:rsidR="0074761B" w:rsidRDefault="0074761B">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FD" w14:textId="77777777" w:rsidR="0074761B" w:rsidRDefault="0074761B">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1FE" w14:textId="77777777" w:rsidR="0074761B" w:rsidRDefault="0074761B">
            <w:pPr>
              <w:spacing w:before="20" w:after="20"/>
            </w:pPr>
            <w:r>
              <w:rPr>
                <w:color w:val="000000"/>
                <w:sz w:val="18"/>
              </w:rPr>
              <w:t>0.157</w:t>
            </w:r>
          </w:p>
        </w:tc>
      </w:tr>
      <w:tr w:rsidR="001F5E5B" w14:paraId="3ACD5206"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0" w14:textId="77777777" w:rsidR="0074761B" w:rsidRDefault="0074761B">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1" w14:textId="77777777" w:rsidR="0074761B" w:rsidRDefault="0074761B">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2" w14:textId="77777777" w:rsidR="0074761B" w:rsidRDefault="0074761B">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3" w14:textId="77777777" w:rsidR="0074761B" w:rsidRDefault="0074761B">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4" w14:textId="77777777" w:rsidR="0074761B" w:rsidRDefault="0074761B">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5" w14:textId="77777777" w:rsidR="0074761B" w:rsidRDefault="0074761B">
            <w:pPr>
              <w:spacing w:before="20" w:after="20"/>
            </w:pPr>
            <w:r>
              <w:rPr>
                <w:color w:val="000000"/>
                <w:sz w:val="18"/>
              </w:rPr>
              <w:t>0.136</w:t>
            </w:r>
          </w:p>
        </w:tc>
      </w:tr>
      <w:tr w:rsidR="001F5E5B" w14:paraId="3ACD520D"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07" w14:textId="77777777" w:rsidR="0074761B" w:rsidRDefault="0074761B">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08" w14:textId="77777777" w:rsidR="0074761B" w:rsidRDefault="0074761B">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09" w14:textId="77777777" w:rsidR="0074761B" w:rsidRDefault="0074761B">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0A" w14:textId="77777777" w:rsidR="0074761B" w:rsidRDefault="0074761B">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0B" w14:textId="77777777" w:rsidR="0074761B" w:rsidRDefault="0074761B">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0C" w14:textId="77777777" w:rsidR="0074761B" w:rsidRDefault="0074761B">
            <w:pPr>
              <w:spacing w:before="20" w:after="20"/>
            </w:pPr>
            <w:r>
              <w:rPr>
                <w:color w:val="000000"/>
                <w:sz w:val="18"/>
              </w:rPr>
              <w:t>0.060</w:t>
            </w:r>
          </w:p>
        </w:tc>
      </w:tr>
      <w:tr w:rsidR="001F5E5B" w14:paraId="3ACD5214"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E" w14:textId="77777777" w:rsidR="0074761B" w:rsidRDefault="0074761B">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0F" w14:textId="77777777" w:rsidR="0074761B" w:rsidRDefault="0074761B">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10" w14:textId="77777777" w:rsidR="0074761B" w:rsidRDefault="0074761B">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11" w14:textId="77777777" w:rsidR="0074761B" w:rsidRDefault="0074761B">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12" w14:textId="77777777" w:rsidR="0074761B" w:rsidRDefault="0074761B">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13" w14:textId="77777777" w:rsidR="0074761B" w:rsidRDefault="0074761B">
            <w:pPr>
              <w:spacing w:before="20" w:after="20"/>
            </w:pPr>
            <w:r>
              <w:rPr>
                <w:color w:val="000000"/>
                <w:sz w:val="18"/>
              </w:rPr>
              <w:t>0.064</w:t>
            </w:r>
          </w:p>
        </w:tc>
      </w:tr>
    </w:tbl>
    <w:p w14:paraId="3ACD5215" w14:textId="77777777" w:rsidR="0074761B" w:rsidRDefault="0074761B">
      <w:r>
        <w:rPr>
          <w:i/>
          <w:iCs/>
        </w:rPr>
        <w:t>Table 4.3. Exploratory decomposition, Stage 1. Base rate = 0.065. Transitions are not orthogonal treatments. All metrics are upper bounds on prospective performance.</w:t>
      </w:r>
    </w:p>
    <w:p w14:paraId="3ACD5216" w14:textId="77777777" w:rsidR="0074761B" w:rsidRDefault="0074761B"/>
    <w:p w14:paraId="3ACD5217" w14:textId="77777777" w:rsidR="0074761B" w:rsidRDefault="0074761B">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w:t>
      </w:r>
      <w:r>
        <w: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3ACD5218" w14:textId="77777777" w:rsidR="0074761B" w:rsidRDefault="0074761B">
      <w:pPr>
        <w:rPr>
          <w:b/>
          <w:bCs/>
        </w:rPr>
      </w:pPr>
    </w:p>
    <w:p w14:paraId="3ACD5219" w14:textId="77777777" w:rsidR="0074761B" w:rsidRDefault="0074761B">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w:t>
      </w:r>
      <w:r>
        <w:t>r algorithm choice resolves the regime instability problem, as demonstrated in Section 4.5.</w:t>
      </w:r>
    </w:p>
    <w:p w14:paraId="3ACD521A" w14:textId="77777777" w:rsidR="0074761B" w:rsidRDefault="0074761B">
      <w:r>
        <w:pict w14:anchorId="3ACD548D">
          <v:rect id="_x0000_i1050" style="width:0;height:1.5pt" o:hralign="center" o:hrstd="t" o:hr="t"/>
        </w:pict>
      </w:r>
    </w:p>
    <w:p w14:paraId="3ACD521B" w14:textId="77777777" w:rsidR="0074761B" w:rsidRDefault="0074761B">
      <w:pPr>
        <w:pStyle w:val="Heading2"/>
      </w:pPr>
      <w:r>
        <w:t>4.4 Multi-Horizon Analysis</w:t>
      </w:r>
    </w:p>
    <w:p w14:paraId="3ACD521C" w14:textId="77777777" w:rsidR="0074761B" w:rsidRDefault="0074761B"/>
    <w:p w14:paraId="3ACD521D" w14:textId="77777777" w:rsidR="0074761B" w:rsidRDefault="0074761B">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3ACD521E" w14:textId="77777777" w:rsidR="0074761B" w:rsidRDefault="0074761B">
      <w:r>
        <w:pict w14:anchorId="3ACD548E">
          <v:rect id="_x0000_i1051" style="width:0;height:1.5pt" o:hralign="center" o:hrstd="t" o:hr="t"/>
        </w:pict>
      </w:r>
    </w:p>
    <w:p w14:paraId="3ACD521F" w14:textId="77777777" w:rsidR="0074761B" w:rsidRDefault="0074761B">
      <w:pPr>
        <w:pStyle w:val="Heading2"/>
      </w:pPr>
      <w:r>
        <w:t>4.5 Robustness: Temporal Validation and Leave-One-Country-Out</w:t>
      </w:r>
    </w:p>
    <w:p w14:paraId="3ACD5220" w14:textId="77777777" w:rsidR="0074761B" w:rsidRDefault="0074761B">
      <w:pPr>
        <w:pStyle w:val="Heading3"/>
      </w:pPr>
    </w:p>
    <w:p w14:paraId="3ACD5221" w14:textId="77777777" w:rsidR="0074761B" w:rsidRDefault="0074761B">
      <w:pPr>
        <w:pStyle w:val="Heading3"/>
      </w:pPr>
      <w:r>
        <w:t>4.5.1 Strict Temporal Validation</w:t>
      </w:r>
    </w:p>
    <w:p w14:paraId="3ACD5222" w14:textId="77777777" w:rsidR="0074761B" w:rsidRDefault="0074761B">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3ACD5223" w14:textId="77777777" w:rsidR="0074761B" w:rsidRDefault="0074761B"/>
    <w:p w14:paraId="3ACD5224" w14:textId="77777777" w:rsidR="0074761B" w:rsidRDefault="0074761B">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3ACD522D"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5" w14:textId="77777777" w:rsidR="0074761B" w:rsidRDefault="0074761B">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6" w14:textId="77777777" w:rsidR="0074761B" w:rsidRDefault="0074761B">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7" w14:textId="77777777" w:rsidR="0074761B" w:rsidRDefault="0074761B">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8" w14:textId="77777777" w:rsidR="0074761B" w:rsidRDefault="0074761B">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9" w14:textId="77777777" w:rsidR="0074761B" w:rsidRDefault="0074761B">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A" w14:textId="77777777" w:rsidR="0074761B" w:rsidRDefault="0074761B">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B" w14:textId="77777777" w:rsidR="0074761B" w:rsidRDefault="0074761B">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2C" w14:textId="77777777" w:rsidR="0074761B" w:rsidRDefault="0074761B">
            <w:pPr>
              <w:spacing w:before="20" w:after="20"/>
            </w:pPr>
            <w:r>
              <w:rPr>
                <w:b/>
                <w:color w:val="1F4E79"/>
                <w:sz w:val="18"/>
              </w:rPr>
              <w:t>Benchmark</w:t>
            </w:r>
          </w:p>
        </w:tc>
      </w:tr>
      <w:tr w:rsidR="001F5E5B" w14:paraId="3ACD5236"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2E" w14:textId="77777777" w:rsidR="0074761B" w:rsidRDefault="0074761B">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2F" w14:textId="77777777" w:rsidR="0074761B" w:rsidRDefault="0074761B">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30" w14:textId="77777777" w:rsidR="0074761B" w:rsidRDefault="0074761B">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31" w14:textId="77777777" w:rsidR="0074761B" w:rsidRDefault="0074761B">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32"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33" w14:textId="77777777" w:rsidR="0074761B" w:rsidRDefault="0074761B">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34" w14:textId="77777777" w:rsidR="0074761B" w:rsidRDefault="0074761B">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35" w14:textId="77777777" w:rsidR="0074761B" w:rsidRDefault="0074761B">
            <w:pPr>
              <w:spacing w:before="20" w:after="20"/>
            </w:pPr>
            <w:r>
              <w:rPr>
                <w:color w:val="000000"/>
                <w:sz w:val="18"/>
              </w:rPr>
              <w:t>0.75</w:t>
            </w:r>
          </w:p>
        </w:tc>
      </w:tr>
      <w:tr w:rsidR="001F5E5B" w14:paraId="3ACD523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7" w14:textId="77777777" w:rsidR="0074761B" w:rsidRDefault="0074761B">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8" w14:textId="77777777" w:rsidR="0074761B" w:rsidRDefault="0074761B">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9" w14:textId="77777777" w:rsidR="0074761B" w:rsidRDefault="0074761B">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A" w14:textId="77777777" w:rsidR="0074761B" w:rsidRDefault="0074761B">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B" w14:textId="77777777" w:rsidR="0074761B" w:rsidRDefault="0074761B">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C" w14:textId="77777777" w:rsidR="0074761B" w:rsidRDefault="0074761B">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D" w14:textId="77777777" w:rsidR="0074761B" w:rsidRDefault="0074761B">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3E" w14:textId="77777777" w:rsidR="0074761B" w:rsidRDefault="0074761B">
            <w:pPr>
              <w:spacing w:before="20" w:after="20"/>
            </w:pPr>
            <w:r>
              <w:rPr>
                <w:color w:val="000000"/>
                <w:sz w:val="18"/>
              </w:rPr>
              <w:t>0.75</w:t>
            </w:r>
          </w:p>
        </w:tc>
      </w:tr>
      <w:tr w:rsidR="001F5E5B" w14:paraId="3ACD5248"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40" w14:textId="77777777" w:rsidR="0074761B" w:rsidRDefault="0074761B">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41" w14:textId="77777777" w:rsidR="0074761B" w:rsidRDefault="0074761B">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42" w14:textId="77777777" w:rsidR="0074761B" w:rsidRDefault="0074761B">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43" w14:textId="77777777" w:rsidR="0074761B" w:rsidRDefault="0074761B">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3ACD5244" w14:textId="77777777" w:rsidR="0074761B" w:rsidRDefault="0074761B">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3ACD5245" w14:textId="77777777" w:rsidR="0074761B" w:rsidRDefault="0074761B">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3ACD5246" w14:textId="77777777" w:rsidR="0074761B" w:rsidRDefault="0074761B">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3ACD5247" w14:textId="77777777" w:rsidR="0074761B" w:rsidRDefault="0074761B">
            <w:pPr>
              <w:spacing w:before="20" w:after="20"/>
            </w:pPr>
            <w:r>
              <w:rPr>
                <w:color w:val="000000"/>
                <w:sz w:val="18"/>
              </w:rPr>
              <w:t>—</w:t>
            </w:r>
          </w:p>
        </w:tc>
      </w:tr>
    </w:tbl>
    <w:p w14:paraId="3ACD5249" w14:textId="77777777" w:rsidR="0074761B" w:rsidRDefault="0074761B">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3ACD524A" w14:textId="77777777" w:rsidR="0074761B" w:rsidRDefault="0074761B"/>
    <w:p w14:paraId="3ACD524B" w14:textId="77777777" w:rsidR="0074761B" w:rsidRDefault="0074761B">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w:t>
      </w:r>
      <w:r>
        <w:t xml:space="preserv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r>
      <w:r>
        <w:lastRenderedPageBreak/>
        <w:t>positive training cases — EBM’s more severe collapse is consistent with regime-specific overfitting; however, the very small train</w:t>
      </w:r>
      <w:r>
        <w:t>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3ACD524C" w14:textId="77777777" w:rsidR="0074761B" w:rsidRDefault="0074761B">
      <w:r>
        <w:t>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w:t>
      </w:r>
      <w:r>
        <w:t>stems. This is not a consequence of model choice; it is consistent with instability in the underlying data-generating process, which any model trained only on pre-crisis data may inherit. This provides empirical support for the argument developed in Chapter 5 that static, pooled, single-classifier EWS designs may be conceptually misaligned with environments characterised by structural breaks, where the underlying data-generating process evolves faster than any static model can adapt.</w:t>
      </w:r>
    </w:p>
    <w:p w14:paraId="3ACD524D" w14:textId="77777777" w:rsidR="0074761B" w:rsidRDefault="0074761B"/>
    <w:p w14:paraId="3ACD524E" w14:textId="77777777" w:rsidR="0074761B" w:rsidRDefault="0074761B">
      <w:pPr>
        <w:pStyle w:val="Heading3"/>
      </w:pPr>
      <w:r>
        <w:t>4.5.2 Leave-One-Country-Out Validation</w:t>
      </w:r>
    </w:p>
    <w:p w14:paraId="3ACD524F" w14:textId="77777777" w:rsidR="0074761B" w:rsidRDefault="0074761B">
      <w:r>
        <w:t>Figure 4.3 presents the LOCO AUROC comparison for M2 RF and M2.5 EBM across 15 countries with hold-out crisis events. Three countries with no hold-out crisis events (Australia, Canada, Norway) are excluded.</w:t>
      </w:r>
    </w:p>
    <w:p w14:paraId="3ACD5250" w14:textId="77777777" w:rsidR="0074761B" w:rsidRDefault="0074761B">
      <w:r>
        <w:rPr>
          <w:noProof/>
        </w:rPr>
        <w:drawing>
          <wp:inline distT="0" distB="0" distL="0" distR="0" wp14:anchorId="3ACD548F" wp14:editId="3ACD5490">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3ACD5251" w14:textId="77777777" w:rsidR="0074761B" w:rsidRPr="004075D1" w:rsidRDefault="0074761B">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3ACD5252" w14:textId="77777777" w:rsidR="0074761B" w:rsidRDefault="0074761B"/>
    <w:p w14:paraId="3ACD5253" w14:textId="77777777" w:rsidR="0074761B" w:rsidRDefault="0074761B">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3ACD5258"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54" w14:textId="77777777" w:rsidR="0074761B" w:rsidRDefault="0074761B">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55" w14:textId="77777777" w:rsidR="0074761B" w:rsidRDefault="0074761B">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56" w14:textId="77777777" w:rsidR="0074761B" w:rsidRDefault="0074761B">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257" w14:textId="77777777" w:rsidR="0074761B" w:rsidRDefault="0074761B">
            <w:pPr>
              <w:spacing w:before="20" w:after="20"/>
            </w:pPr>
            <w:r>
              <w:rPr>
                <w:b/>
                <w:color w:val="1F4E79"/>
                <w:sz w:val="18"/>
              </w:rPr>
              <w:t>EBM AUROC</w:t>
            </w:r>
          </w:p>
        </w:tc>
      </w:tr>
      <w:tr w:rsidR="001F5E5B" w14:paraId="3ACD525D"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59" w14:textId="77777777" w:rsidR="0074761B" w:rsidRDefault="0074761B">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5A"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5B" w14:textId="77777777" w:rsidR="0074761B" w:rsidRDefault="0074761B">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5C" w14:textId="77777777" w:rsidR="0074761B" w:rsidRDefault="0074761B">
            <w:pPr>
              <w:spacing w:before="20" w:after="20"/>
            </w:pPr>
            <w:r>
              <w:rPr>
                <w:color w:val="000000"/>
                <w:sz w:val="18"/>
              </w:rPr>
              <w:t>1.000</w:t>
            </w:r>
          </w:p>
        </w:tc>
      </w:tr>
      <w:tr w:rsidR="001F5E5B" w14:paraId="3ACD526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5E" w14:textId="77777777" w:rsidR="0074761B" w:rsidRDefault="0074761B">
            <w:pPr>
              <w:spacing w:before="20" w:after="20"/>
            </w:pPr>
            <w:r>
              <w:rPr>
                <w:color w:val="000000"/>
                <w:sz w:val="18"/>
              </w:rPr>
              <w:lastRenderedPageBreak/>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5F" w14:textId="77777777" w:rsidR="0074761B" w:rsidRDefault="0074761B">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60" w14:textId="77777777" w:rsidR="0074761B" w:rsidRDefault="0074761B">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61" w14:textId="77777777" w:rsidR="0074761B" w:rsidRDefault="0074761B">
            <w:pPr>
              <w:spacing w:before="20" w:after="20"/>
            </w:pPr>
            <w:r>
              <w:rPr>
                <w:color w:val="000000"/>
                <w:sz w:val="18"/>
              </w:rPr>
              <w:t>0.967</w:t>
            </w:r>
          </w:p>
        </w:tc>
      </w:tr>
      <w:tr w:rsidR="001F5E5B" w14:paraId="3ACD526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3" w14:textId="77777777" w:rsidR="0074761B" w:rsidRDefault="0074761B">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4"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5" w14:textId="77777777" w:rsidR="0074761B" w:rsidRDefault="0074761B">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6" w14:textId="77777777" w:rsidR="0074761B" w:rsidRDefault="0074761B">
            <w:pPr>
              <w:spacing w:before="20" w:after="20"/>
            </w:pPr>
            <w:r>
              <w:rPr>
                <w:color w:val="000000"/>
                <w:sz w:val="18"/>
              </w:rPr>
              <w:t>0.968</w:t>
            </w:r>
          </w:p>
        </w:tc>
      </w:tr>
      <w:tr w:rsidR="001F5E5B" w14:paraId="3ACD526C"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68" w14:textId="77777777" w:rsidR="0074761B" w:rsidRDefault="0074761B">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69"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6A" w14:textId="77777777" w:rsidR="0074761B" w:rsidRDefault="0074761B">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6B" w14:textId="77777777" w:rsidR="0074761B" w:rsidRDefault="0074761B">
            <w:pPr>
              <w:spacing w:before="20" w:after="20"/>
            </w:pPr>
            <w:r>
              <w:rPr>
                <w:color w:val="000000"/>
                <w:sz w:val="18"/>
              </w:rPr>
              <w:t>1.000</w:t>
            </w:r>
          </w:p>
        </w:tc>
      </w:tr>
      <w:tr w:rsidR="001F5E5B" w14:paraId="3ACD5271"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D" w14:textId="77777777" w:rsidR="0074761B" w:rsidRDefault="0074761B">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E"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6F" w14:textId="77777777" w:rsidR="0074761B" w:rsidRDefault="0074761B">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70" w14:textId="77777777" w:rsidR="0074761B" w:rsidRDefault="0074761B">
            <w:pPr>
              <w:spacing w:before="20" w:after="20"/>
            </w:pPr>
            <w:r>
              <w:rPr>
                <w:color w:val="000000"/>
                <w:sz w:val="18"/>
              </w:rPr>
              <w:t>1.000</w:t>
            </w:r>
          </w:p>
        </w:tc>
      </w:tr>
      <w:tr w:rsidR="001F5E5B" w14:paraId="3ACD5276"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2" w14:textId="77777777" w:rsidR="0074761B" w:rsidRDefault="0074761B">
            <w:pPr>
              <w:spacing w:before="20" w:after="20"/>
            </w:pPr>
            <w:r>
              <w:rPr>
                <w:color w:val="000000"/>
                <w:sz w:val="18"/>
              </w:rPr>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3"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4" w14:textId="77777777" w:rsidR="0074761B" w:rsidRDefault="0074761B">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5" w14:textId="77777777" w:rsidR="0074761B" w:rsidRDefault="0074761B">
            <w:pPr>
              <w:spacing w:before="20" w:after="20"/>
            </w:pPr>
            <w:r>
              <w:rPr>
                <w:color w:val="000000"/>
                <w:sz w:val="18"/>
              </w:rPr>
              <w:t>1.000</w:t>
            </w:r>
          </w:p>
        </w:tc>
      </w:tr>
      <w:tr w:rsidR="001F5E5B" w14:paraId="3ACD527B"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77" w14:textId="77777777" w:rsidR="0074761B" w:rsidRDefault="0074761B">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78"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79" w14:textId="77777777" w:rsidR="0074761B" w:rsidRDefault="0074761B">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7A" w14:textId="77777777" w:rsidR="0074761B" w:rsidRDefault="0074761B">
            <w:pPr>
              <w:spacing w:before="20" w:after="20"/>
            </w:pPr>
            <w:r>
              <w:rPr>
                <w:color w:val="000000"/>
                <w:sz w:val="18"/>
              </w:rPr>
              <w:t>0.968</w:t>
            </w:r>
          </w:p>
        </w:tc>
      </w:tr>
      <w:tr w:rsidR="001F5E5B" w14:paraId="3ACD5280"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C" w14:textId="77777777" w:rsidR="0074761B" w:rsidRDefault="0074761B">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D" w14:textId="77777777" w:rsidR="0074761B" w:rsidRDefault="0074761B">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E" w14:textId="77777777" w:rsidR="0074761B" w:rsidRDefault="0074761B">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7F" w14:textId="77777777" w:rsidR="0074761B" w:rsidRDefault="0074761B">
            <w:pPr>
              <w:spacing w:before="20" w:after="20"/>
            </w:pPr>
            <w:r>
              <w:rPr>
                <w:color w:val="000000"/>
                <w:sz w:val="18"/>
              </w:rPr>
              <w:t>0.983</w:t>
            </w:r>
          </w:p>
        </w:tc>
      </w:tr>
      <w:tr w:rsidR="001F5E5B" w14:paraId="3ACD5285"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1" w14:textId="77777777" w:rsidR="0074761B" w:rsidRDefault="0074761B">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2"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3" w14:textId="77777777" w:rsidR="0074761B" w:rsidRDefault="0074761B">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4" w14:textId="77777777" w:rsidR="0074761B" w:rsidRDefault="0074761B">
            <w:pPr>
              <w:spacing w:before="20" w:after="20"/>
            </w:pPr>
            <w:r>
              <w:rPr>
                <w:color w:val="000000"/>
                <w:sz w:val="18"/>
              </w:rPr>
              <w:t>0.903</w:t>
            </w:r>
          </w:p>
        </w:tc>
      </w:tr>
      <w:tr w:rsidR="001F5E5B" w14:paraId="3ACD528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86" w14:textId="77777777" w:rsidR="0074761B" w:rsidRDefault="0074761B">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87" w14:textId="77777777" w:rsidR="0074761B" w:rsidRDefault="0074761B">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88" w14:textId="77777777" w:rsidR="0074761B" w:rsidRDefault="0074761B">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89" w14:textId="77777777" w:rsidR="0074761B" w:rsidRDefault="0074761B">
            <w:pPr>
              <w:spacing w:before="20" w:after="20"/>
            </w:pPr>
            <w:r>
              <w:rPr>
                <w:color w:val="000000"/>
                <w:sz w:val="18"/>
              </w:rPr>
              <w:t>0.867</w:t>
            </w:r>
          </w:p>
        </w:tc>
      </w:tr>
      <w:tr w:rsidR="001F5E5B" w14:paraId="3ACD528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B" w14:textId="77777777" w:rsidR="0074761B" w:rsidRDefault="0074761B">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C"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D" w14:textId="77777777" w:rsidR="0074761B" w:rsidRDefault="0074761B">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8E" w14:textId="77777777" w:rsidR="0074761B" w:rsidRDefault="0074761B">
            <w:pPr>
              <w:spacing w:before="20" w:after="20"/>
            </w:pPr>
            <w:r>
              <w:rPr>
                <w:color w:val="000000"/>
                <w:sz w:val="18"/>
              </w:rPr>
              <w:t>0.138</w:t>
            </w:r>
          </w:p>
        </w:tc>
      </w:tr>
      <w:tr w:rsidR="001F5E5B" w14:paraId="3ACD5294"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0" w14:textId="77777777" w:rsidR="0074761B" w:rsidRDefault="0074761B">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1"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2" w14:textId="77777777" w:rsidR="0074761B" w:rsidRDefault="0074761B">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3" w14:textId="77777777" w:rsidR="0074761B" w:rsidRDefault="0074761B">
            <w:pPr>
              <w:spacing w:before="20" w:after="20"/>
            </w:pPr>
            <w:r>
              <w:rPr>
                <w:color w:val="000000"/>
                <w:sz w:val="18"/>
              </w:rPr>
              <w:t>0.903</w:t>
            </w:r>
          </w:p>
        </w:tc>
      </w:tr>
      <w:tr w:rsidR="001F5E5B" w14:paraId="3ACD5299"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95" w14:textId="77777777" w:rsidR="0074761B" w:rsidRDefault="0074761B">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96"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97" w14:textId="77777777" w:rsidR="0074761B" w:rsidRDefault="0074761B">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98" w14:textId="77777777" w:rsidR="0074761B" w:rsidRDefault="0074761B">
            <w:pPr>
              <w:spacing w:before="20" w:after="20"/>
            </w:pPr>
            <w:r>
              <w:rPr>
                <w:color w:val="000000"/>
                <w:sz w:val="18"/>
              </w:rPr>
              <w:t>0.862</w:t>
            </w:r>
          </w:p>
        </w:tc>
      </w:tr>
      <w:tr w:rsidR="001F5E5B" w14:paraId="3ACD529E"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A" w14:textId="77777777" w:rsidR="0074761B" w:rsidRDefault="0074761B">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B" w14:textId="77777777" w:rsidR="0074761B" w:rsidRDefault="0074761B">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C" w14:textId="77777777" w:rsidR="0074761B" w:rsidRDefault="0074761B">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9D" w14:textId="77777777" w:rsidR="0074761B" w:rsidRDefault="0074761B">
            <w:pPr>
              <w:spacing w:before="20" w:after="20"/>
            </w:pPr>
            <w:r>
              <w:rPr>
                <w:color w:val="000000"/>
                <w:sz w:val="18"/>
              </w:rPr>
              <w:t>0.967</w:t>
            </w:r>
          </w:p>
        </w:tc>
      </w:tr>
      <w:tr w:rsidR="001F5E5B" w14:paraId="3ACD52A3"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9F" w14:textId="77777777" w:rsidR="0074761B" w:rsidRDefault="0074761B">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A0" w14:textId="77777777" w:rsidR="0074761B" w:rsidRDefault="0074761B">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A1" w14:textId="77777777" w:rsidR="0074761B" w:rsidRDefault="0074761B">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2A2" w14:textId="77777777" w:rsidR="0074761B" w:rsidRDefault="0074761B">
            <w:pPr>
              <w:spacing w:before="20" w:after="20"/>
            </w:pPr>
            <w:r>
              <w:rPr>
                <w:color w:val="000000"/>
                <w:sz w:val="18"/>
              </w:rPr>
              <w:t>0.871</w:t>
            </w:r>
          </w:p>
        </w:tc>
      </w:tr>
      <w:tr w:rsidR="001F5E5B" w14:paraId="3ACD52A8"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3ACD52A4" w14:textId="77777777" w:rsidR="0074761B" w:rsidRDefault="0074761B">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A5" w14:textId="77777777" w:rsidR="0074761B" w:rsidRDefault="0074761B">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A6" w14:textId="77777777" w:rsidR="0074761B" w:rsidRDefault="0074761B">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2A7" w14:textId="77777777" w:rsidR="0074761B" w:rsidRDefault="0074761B">
            <w:pPr>
              <w:spacing w:before="20" w:after="20"/>
            </w:pPr>
            <w:r>
              <w:rPr>
                <w:bCs/>
                <w:color w:val="000000"/>
                <w:sz w:val="18"/>
              </w:rPr>
              <w:t>0.893 (0.215)</w:t>
            </w:r>
          </w:p>
        </w:tc>
      </w:tr>
    </w:tbl>
    <w:p w14:paraId="3ACD52A9" w14:textId="77777777" w:rsidR="0074761B" w:rsidRDefault="0074761B">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3ACD52AA" w14:textId="77777777" w:rsidR="0074761B" w:rsidRDefault="0074761B"/>
    <w:p w14:paraId="3ACD52AB" w14:textId="77777777" w:rsidR="0074761B" w:rsidRDefault="0074761B">
      <w:r>
        <w:t>EBM shows a higher mean AUROC (0.893 versus 0.839) and lower standard deviation (0.215 versus 0.254) across countries, suggesting more consistent cross-sectional ranking within this evaluation. Country-level differences should be interpreted cautiously.</w:t>
      </w:r>
    </w:p>
    <w:p w14:paraId="3ACD52AC" w14:textId="77777777" w:rsidR="0074761B" w:rsidRDefault="0074761B"/>
    <w:p w14:paraId="3ACD52AD" w14:textId="77777777" w:rsidR="0074761B" w:rsidRDefault="0074761B">
      <w:r>
        <w:pict w14:anchorId="3ACD5491">
          <v:rect id="_x0000_i1052" style="width:0;height:1.5pt" o:hralign="center" o:hrstd="t" o:hr="t"/>
        </w:pict>
      </w:r>
    </w:p>
    <w:p w14:paraId="3ACD52AE" w14:textId="77777777" w:rsidR="0074761B" w:rsidRDefault="0074761B">
      <w:pPr>
        <w:pStyle w:val="Heading2"/>
      </w:pPr>
      <w:r>
        <w:t>4.6 SHAP Feature Attribution</w:t>
      </w:r>
    </w:p>
    <w:p w14:paraId="3ACD52AF" w14:textId="77777777" w:rsidR="0074761B" w:rsidRDefault="0074761B">
      <w:pPr>
        <w:pStyle w:val="Heading3"/>
      </w:pPr>
      <w:r>
        <w:t>4.6.1 Aggregate Attribution by Lag Group</w:t>
      </w:r>
    </w:p>
    <w:p w14:paraId="3ACD52B0" w14:textId="77777777" w:rsidR="0074761B" w:rsidRDefault="0074761B">
      <w:r>
        <w:t>Figure 4.4 presents SHAP attribution for M3 in Stage 2 decomposed by lag group. The total macro share is 73.8 per cent and the FinBERT sentiment share is 26.2 per cent.</w:t>
      </w:r>
    </w:p>
    <w:p w14:paraId="3ACD52B1" w14:textId="77777777" w:rsidR="0074761B" w:rsidRDefault="0074761B"/>
    <w:p w14:paraId="3ACD52B2" w14:textId="77777777" w:rsidR="0074761B" w:rsidRDefault="0074761B">
      <w:r>
        <w:rPr>
          <w:noProof/>
        </w:rPr>
        <w:lastRenderedPageBreak/>
        <w:drawing>
          <wp:inline distT="0" distB="0" distL="0" distR="0" wp14:anchorId="3ACD5492" wp14:editId="3ACD5493">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3ACD52B3" w14:textId="77777777" w:rsidR="0074761B" w:rsidRPr="004075D1" w:rsidRDefault="0074761B">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3ACD52B4" w14:textId="77777777" w:rsidR="0074761B" w:rsidRDefault="0074761B"/>
    <w:p w14:paraId="3ACD52B5" w14:textId="77777777" w:rsidR="0074761B" w:rsidRDefault="0074761B">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3ACD52B6" w14:textId="77777777" w:rsidR="0074761B" w:rsidRDefault="0074761B"/>
    <w:p w14:paraId="3ACD52B7" w14:textId="77777777" w:rsidR="0074761B" w:rsidRDefault="0074761B">
      <w:pPr>
        <w:pStyle w:val="Heading3"/>
      </w:pPr>
      <w:r>
        <w:t>4.6.2 Individual Feature Rankings</w:t>
      </w:r>
    </w:p>
    <w:p w14:paraId="3ACD52B8" w14:textId="77777777" w:rsidR="0074761B" w:rsidRDefault="0074761B">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3ACD52B9" w14:textId="77777777" w:rsidR="0074761B" w:rsidRDefault="0074761B">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3ACD52BA" w14:textId="77777777" w:rsidR="0074761B" w:rsidRDefault="0074761B"/>
    <w:p w14:paraId="3ACD52BB" w14:textId="77777777" w:rsidR="0074761B" w:rsidRDefault="0074761B">
      <w:pPr>
        <w:pStyle w:val="Heading3"/>
      </w:pPr>
      <w:r>
        <w:t>4.6.3 Convergence with EBM Native Importance</w:t>
      </w:r>
    </w:p>
    <w:p w14:paraId="3ACD52BC" w14:textId="77777777" w:rsidR="0074761B" w:rsidRDefault="0074761B">
      <w:r>
        <w:lastRenderedPageBreak/>
        <w:t>Figure 4.5 presents SHAP feature rankings for M3 alongside EBM native feature importance for M2.5, derived without post-hoc attribution.</w:t>
      </w:r>
    </w:p>
    <w:p w14:paraId="3ACD52BD" w14:textId="77777777" w:rsidR="0074761B" w:rsidRDefault="0074761B"/>
    <w:p w14:paraId="3ACD52BE" w14:textId="77777777" w:rsidR="0074761B" w:rsidRDefault="0074761B">
      <w:r>
        <w:rPr>
          <w:noProof/>
        </w:rPr>
        <w:drawing>
          <wp:inline distT="0" distB="0" distL="0" distR="0" wp14:anchorId="3ACD5494" wp14:editId="3ACD5495">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3ACD52BF" w14:textId="77777777" w:rsidR="0074761B" w:rsidRPr="004075D1" w:rsidRDefault="0074761B">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3ACD52C0" w14:textId="77777777" w:rsidR="0074761B" w:rsidRDefault="0074761B"/>
    <w:p w14:paraId="3ACD52C1" w14:textId="77777777" w:rsidR="0074761B" w:rsidRDefault="0074761B">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pairwise interaction te</w:t>
      </w:r>
      <w:r>
        <w:t>rms: the interaction between credit growth trajectory and the three-year lagged term spread ranks second by EBM importance (1.370), making explicit a joint signal that M2 and M3 capture implicitly through their decision structures.</w:t>
      </w:r>
    </w:p>
    <w:p w14:paraId="3ACD52C2" w14:textId="77777777" w:rsidR="0074761B" w:rsidRDefault="0074761B"/>
    <w:p w14:paraId="3ACD52C3" w14:textId="77777777" w:rsidR="0074761B" w:rsidRDefault="0074761B">
      <w:r>
        <w:pict w14:anchorId="3ACD5496">
          <v:rect id="_x0000_i1053" style="width:0;height:1.5pt" o:hralign="center" o:hrstd="t" o:hr="t"/>
        </w:pict>
      </w:r>
    </w:p>
    <w:p w14:paraId="3ACD52C4" w14:textId="77777777" w:rsidR="0074761B" w:rsidRDefault="0074761B">
      <w:pPr>
        <w:pStyle w:val="Heading2"/>
      </w:pPr>
      <w:r>
        <w:t>4.7 EBM Interpretability Benchmark</w:t>
      </w:r>
    </w:p>
    <w:p w14:paraId="3ACD52C5" w14:textId="77777777" w:rsidR="0074761B" w:rsidRDefault="0074761B">
      <w:pPr>
        <w:pStyle w:val="Heading2"/>
      </w:pPr>
    </w:p>
    <w:p w14:paraId="3ACD52C6" w14:textId="77777777" w:rsidR="0074761B" w:rsidRDefault="0074761B">
      <w:pPr>
        <w:pStyle w:val="Heading3"/>
      </w:pPr>
      <w:r>
        <w:t>4.7.1 Motivation and Design</w:t>
      </w:r>
    </w:p>
    <w:p w14:paraId="3ACD52C7" w14:textId="77777777" w:rsidR="0074761B" w:rsidRDefault="0074761B">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r>
      <w:r>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3ACD52C8" w14:textId="77777777" w:rsidR="0074761B" w:rsidRDefault="0074761B"/>
    <w:p w14:paraId="3ACD52C9" w14:textId="77777777" w:rsidR="0074761B" w:rsidRDefault="0074761B">
      <w:pPr>
        <w:pStyle w:val="Heading3"/>
      </w:pPr>
      <w:r>
        <w:t>4.7.2 Feature Importance</w:t>
      </w:r>
    </w:p>
    <w:p w14:paraId="3ACD52CA" w14:textId="77777777" w:rsidR="0074761B" w:rsidRDefault="0074761B">
      <w:pPr>
        <w:pStyle w:val="Heading3"/>
      </w:pPr>
    </w:p>
    <w:p w14:paraId="3ACD52CB" w14:textId="77777777" w:rsidR="0074761B" w:rsidRDefault="0074761B">
      <w:r>
        <w:t>Figure 4.6 presents EBM’s global feature importance for the Stage 2 full-data fit.</w:t>
      </w:r>
    </w:p>
    <w:p w14:paraId="3ACD52CC" w14:textId="77777777" w:rsidR="0074761B" w:rsidRDefault="0074761B"/>
    <w:p w14:paraId="3ACD52CD" w14:textId="77777777" w:rsidR="0074761B" w:rsidRDefault="0074761B">
      <w:r>
        <w:rPr>
          <w:noProof/>
        </w:rPr>
        <w:drawing>
          <wp:inline distT="0" distB="0" distL="0" distR="0" wp14:anchorId="3ACD5497" wp14:editId="3ACD5498">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3ACD52CE" w14:textId="77777777" w:rsidR="0074761B" w:rsidRDefault="0074761B">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3ACD52CF" w14:textId="77777777" w:rsidR="0074761B" w:rsidRDefault="0074761B"/>
    <w:p w14:paraId="3ACD52D0" w14:textId="77777777" w:rsidR="0074761B" w:rsidRDefault="0074761B">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r>
      <w:r>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3ACD52D1" w14:textId="77777777" w:rsidR="0074761B" w:rsidRDefault="0074761B">
      <w:pPr>
        <w:pStyle w:val="Heading3"/>
      </w:pPr>
      <w:r>
        <w:t>4.7.3 Shape Function Analysis: Regime Instability</w:t>
      </w:r>
    </w:p>
    <w:p w14:paraId="3ACD52D2" w14:textId="77777777" w:rsidR="0074761B" w:rsidRDefault="0074761B">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3ACD52D3" w14:textId="77777777" w:rsidR="0074761B" w:rsidRDefault="0074761B"/>
    <w:p w14:paraId="3ACD52D4" w14:textId="77777777" w:rsidR="0074761B" w:rsidRDefault="0074761B">
      <w:pPr>
        <w:keepNext/>
      </w:pPr>
      <w:r>
        <w:rPr>
          <w:noProof/>
        </w:rPr>
        <w:drawing>
          <wp:inline distT="0" distB="0" distL="0" distR="0" wp14:anchorId="3ACD5499" wp14:editId="3ACD549A">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3ACD52D5" w14:textId="77777777" w:rsidR="0074761B" w:rsidRDefault="0074761B">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3ACD52D6" w14:textId="77777777" w:rsidR="0074761B" w:rsidRDefault="0074761B"/>
    <w:p w14:paraId="3ACD52D7" w14:textId="77777777" w:rsidR="0074761B" w:rsidRDefault="0074761B">
      <w:r>
        <w:t>The lag-3 term spread panel (top right) shows qualitatively distinct shapes — not merely scaled versions — confirming structural instability in EBM’s highest-ranked feature.</w:t>
      </w:r>
    </w:p>
    <w:p w14:paraId="3ACD52D8" w14:textId="77777777" w:rsidR="0074761B" w:rsidRDefault="0074761B">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3ACD52D9" w14:textId="77777777" w:rsidR="0074761B" w:rsidRDefault="0074761B">
      <w:r>
        <w:t xml:space="preserve">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w:t>
      </w:r>
      <w:r>
        <w:lastRenderedPageBreak/>
        <w:t>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w:t>
      </w:r>
      <w:r>
        <w:t>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w:t>
      </w:r>
      <w:r>
        <w:t>ries that peaked before the crisis onset window).</w:t>
      </w:r>
    </w:p>
    <w:p w14:paraId="3ACD52DA" w14:textId="77777777" w:rsidR="0074761B" w:rsidRDefault="0074761B">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w:t>
      </w:r>
      <w:r>
        <w:t>tive interpretability makes possible.</w:t>
      </w:r>
    </w:p>
    <w:p w14:paraId="3ACD52DB" w14:textId="77777777" w:rsidR="0074761B" w:rsidRDefault="0074761B"/>
    <w:p w14:paraId="3ACD52DC" w14:textId="77777777" w:rsidR="0074761B" w:rsidRDefault="0074761B">
      <w:r>
        <w:pict w14:anchorId="3ACD549B">
          <v:rect id="_x0000_i1054" style="width:0;height:1.5pt" o:hralign="center" o:hrstd="t" o:hr="t"/>
        </w:pict>
      </w:r>
    </w:p>
    <w:p w14:paraId="3ACD52DD" w14:textId="77777777" w:rsidR="0074761B" w:rsidRDefault="0074761B">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w:t>
      </w:r>
      <w:r>
        <w:rPr>
          <w:sz w:val="22"/>
        </w:rPr>
        <w:t>ion A.5).</w:t>
      </w:r>
    </w:p>
    <w:p w14:paraId="3ACD52DE" w14:textId="77777777" w:rsidR="0074761B" w:rsidRDefault="0074761B">
      <w:pPr>
        <w:jc w:val="both"/>
      </w:pPr>
    </w:p>
    <w:p w14:paraId="3ACD52DF" w14:textId="77777777" w:rsidR="0074761B" w:rsidRDefault="0074761B">
      <w:pPr>
        <w:pStyle w:val="Heading2"/>
      </w:pPr>
      <w:r>
        <w:t>4.8 Calibration Analysis</w:t>
      </w:r>
    </w:p>
    <w:p w14:paraId="3ACD52E0" w14:textId="77777777" w:rsidR="0074761B" w:rsidRDefault="0074761B">
      <w:r>
        <w:t>Figure 4.8 presents the calibration reliability diagrams for all three Stage 2 models.</w:t>
      </w:r>
    </w:p>
    <w:p w14:paraId="3ACD52E1" w14:textId="77777777" w:rsidR="0074761B" w:rsidRDefault="0074761B"/>
    <w:p w14:paraId="3ACD52E2" w14:textId="77777777" w:rsidR="0074761B" w:rsidRDefault="0074761B">
      <w:r>
        <w:rPr>
          <w:noProof/>
        </w:rPr>
        <w:drawing>
          <wp:inline distT="0" distB="0" distL="0" distR="0" wp14:anchorId="3ACD549C" wp14:editId="3ACD549D">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3ACD52E3" w14:textId="77777777" w:rsidR="0074761B" w:rsidRPr="00004A8E" w:rsidRDefault="0074761B">
      <w:pPr>
        <w:rPr>
          <w:i/>
          <w:iCs/>
        </w:rPr>
      </w:pPr>
      <w:r>
        <w:rPr>
          <w:i/>
          <w:iCs/>
        </w:rPr>
        <w:lastRenderedPageBreak/>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3ACD52E4" w14:textId="77777777" w:rsidR="0074761B" w:rsidRDefault="0074761B"/>
    <w:p w14:paraId="3ACD52E5" w14:textId="77777777" w:rsidR="0074761B" w:rsidRDefault="0074761B">
      <w:r>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w:t>
      </w:r>
      <w:r>
        <w:t>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3ACD52E6" w14:textId="77777777" w:rsidR="0074761B" w:rsidRDefault="0074761B">
      <w:r>
        <w:pict w14:anchorId="3ACD549E">
          <v:rect id="_x0000_i1055" style="width:0;height:1.5pt" o:hralign="center" o:hrstd="t" o:hr="t"/>
        </w:pict>
      </w:r>
    </w:p>
    <w:p w14:paraId="3ACD52E7" w14:textId="77777777" w:rsidR="0074761B" w:rsidRDefault="0074761B">
      <w:pPr>
        <w:pStyle w:val="Heading2"/>
      </w:pPr>
      <w:r>
        <w:t>4.9 Auxiliary Statistical Tests</w:t>
      </w:r>
    </w:p>
    <w:p w14:paraId="3ACD52E8" w14:textId="77777777" w:rsidR="0074761B" w:rsidRDefault="0074761B">
      <w:pPr>
        <w:pStyle w:val="Heading2"/>
      </w:pPr>
    </w:p>
    <w:p w14:paraId="3ACD52E9" w14:textId="77777777" w:rsidR="0074761B" w:rsidRDefault="0074761B">
      <w:pPr>
        <w:pStyle w:val="Heading3"/>
      </w:pPr>
      <w:r>
        <w:t>4.9.1 Granger Causality: Credit Growth</w:t>
      </w:r>
    </w:p>
    <w:p w14:paraId="3ACD52EA" w14:textId="77777777" w:rsidR="0074761B" w:rsidRDefault="0074761B">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w:t>
      </w:r>
      <w:r>
        <w:t>tries but do not constitute evidence of a universal or structurally stable predictive channel.</w:t>
      </w:r>
    </w:p>
    <w:p w14:paraId="3ACD52EB" w14:textId="77777777" w:rsidR="0074761B" w:rsidRDefault="0074761B"/>
    <w:p w14:paraId="3ACD52EC" w14:textId="77777777" w:rsidR="0074761B" w:rsidRDefault="0074761B">
      <w:pPr>
        <w:pStyle w:val="Heading3"/>
      </w:pPr>
      <w:r>
        <w:t>4.9.2 Granger Causality: Term Spread</w:t>
      </w:r>
    </w:p>
    <w:p w14:paraId="3ACD52ED" w14:textId="77777777" w:rsidR="0074761B" w:rsidRDefault="0074761B">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w:t>
      </w:r>
      <w:r>
        <w:t>ying a distinctive signal. This convergence does not establish causality, and the shape function instability in Section 4.7 demonstrates directly that this statistical relationship is not invariant across regimes.</w:t>
      </w:r>
    </w:p>
    <w:p w14:paraId="3ACD52EE" w14:textId="77777777" w:rsidR="0074761B" w:rsidRDefault="0074761B"/>
    <w:p w14:paraId="3ACD52EF" w14:textId="77777777" w:rsidR="0074761B" w:rsidRDefault="0074761B">
      <w:pPr>
        <w:pStyle w:val="Heading3"/>
      </w:pPr>
      <w:r>
        <w:lastRenderedPageBreak/>
        <w:t>4.9.3 Panel Logistic: Term Spread</w:t>
      </w:r>
    </w:p>
    <w:p w14:paraId="3ACD52F0" w14:textId="77777777" w:rsidR="0074761B" w:rsidRDefault="0074761B">
      <w:r>
        <w:t>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w:t>
      </w:r>
      <w:r>
        <w:t>d by EBM’s shape functions: the relationship between term spread and crisis probability changes sign across the lag horizon, and any model that treats this relationship as monotonic is misspecified.</w:t>
      </w:r>
    </w:p>
    <w:p w14:paraId="3ACD52F1" w14:textId="77777777" w:rsidR="0074761B" w:rsidRDefault="0074761B"/>
    <w:p w14:paraId="3ACD52F2" w14:textId="77777777" w:rsidR="0074761B" w:rsidRDefault="0074761B">
      <w:pPr>
        <w:pStyle w:val="Heading3"/>
      </w:pPr>
      <w:r>
        <w:t>4.9.4 Panel Logistic: Sentiment</w:t>
      </w:r>
    </w:p>
    <w:p w14:paraId="3ACD52F3" w14:textId="77777777" w:rsidR="0074761B" w:rsidRDefault="0074761B">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3ACD52F4" w14:textId="77777777" w:rsidR="0074761B" w:rsidRDefault="0074761B">
      <w:pPr>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3ACD52F5" w14:textId="77777777" w:rsidR="0074761B" w:rsidRDefault="0074761B">
      <w:pPr>
        <w:jc w:val="both"/>
      </w:pPr>
    </w:p>
    <w:p w14:paraId="3ACD52F6" w14:textId="77777777" w:rsidR="0074761B" w:rsidRDefault="0074761B">
      <w:pPr>
        <w:pStyle w:val="Heading3"/>
      </w:pPr>
      <w:r>
        <w:t>4.9.5 ML Discrimination vs Statistical Tests</w:t>
      </w:r>
    </w:p>
    <w:p w14:paraId="3ACD52F7" w14:textId="77777777" w:rsidR="0074761B" w:rsidRDefault="0074761B">
      <w:r>
        <w:t>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and causal economic inference — and explains why models ach</w:t>
      </w:r>
      <w:r>
        <w:t>ieve high expanding-window discrimination while failing under genuine prospective evaluation.</w:t>
      </w:r>
    </w:p>
    <w:p w14:paraId="3ACD52F8" w14:textId="77777777" w:rsidR="0074761B" w:rsidRDefault="0074761B"/>
    <w:p w14:paraId="3ACD52F9" w14:textId="77777777" w:rsidR="0074761B" w:rsidRDefault="0074761B">
      <w:r>
        <w:pict w14:anchorId="3ACD549F">
          <v:rect id="_x0000_i1056" style="width:0;height:1.5pt" o:hralign="center" o:hrstd="t" o:hr="t"/>
        </w:pict>
      </w:r>
    </w:p>
    <w:p w14:paraId="3ACD52FA" w14:textId="77777777" w:rsidR="0074761B" w:rsidRDefault="0074761B">
      <w:pPr>
        <w:pStyle w:val="Heading2"/>
      </w:pPr>
      <w:r>
        <w:t>4.10 EBM Ensemble Extension</w:t>
      </w:r>
    </w:p>
    <w:p w14:paraId="3ACD52FB" w14:textId="77777777" w:rsidR="0074761B" w:rsidRDefault="0074761B">
      <w:pPr>
        <w:pStyle w:val="Heading2"/>
      </w:pPr>
    </w:p>
    <w:p w14:paraId="3ACD52FC" w14:textId="77777777" w:rsidR="0074761B" w:rsidRDefault="0074761B">
      <w:pPr>
        <w:pStyle w:val="Heading3"/>
      </w:pPr>
      <w:r>
        <w:t>4.10.1 Design and Primary Results</w:t>
      </w:r>
    </w:p>
    <w:p w14:paraId="3ACD52FD" w14:textId="77777777" w:rsidR="0074761B" w:rsidRDefault="0074761B">
      <w:r>
        <w:t>Following Holopainen and Sarlin (2017), an EBM-based ensemble is constructed as E1-EBM = 0.5 · P(M2-matched) + 0.5 · P(M2.5-matched) using equal weights throughout. Figure 4.9 presents the ROC and PR curves for all ensemble variants.</w:t>
      </w:r>
    </w:p>
    <w:p w14:paraId="3ACD52FE" w14:textId="77777777" w:rsidR="0074761B" w:rsidRDefault="0074761B"/>
    <w:p w14:paraId="3ACD52FF" w14:textId="77777777" w:rsidR="0074761B" w:rsidRDefault="0074761B">
      <w:r>
        <w:rPr>
          <w:noProof/>
        </w:rPr>
        <w:lastRenderedPageBreak/>
        <w:drawing>
          <wp:inline distT="0" distB="0" distL="0" distR="0" wp14:anchorId="3ACD54A0" wp14:editId="3ACD54A1">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3ACD5300" w14:textId="77777777" w:rsidR="0074761B" w:rsidRPr="00004A8E" w:rsidRDefault="0074761B">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3ACD5301" w14:textId="77777777" w:rsidR="0074761B" w:rsidRDefault="0074761B"/>
    <w:p w14:paraId="3ACD5302" w14:textId="77777777" w:rsidR="0074761B" w:rsidRDefault="0074761B">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w:t>
      </w:r>
      <w:r>
        <w:t xml:space="preserve"> values reflect coincidence of rank ordering across the two evaluation windows rather than direct reproduction.</w:t>
      </w:r>
    </w:p>
    <w:p w14:paraId="3ACD5303" w14:textId="77777777" w:rsidR="0074761B" w:rsidRDefault="0074761B"/>
    <w:p w14:paraId="3ACD5304" w14:textId="77777777" w:rsidR="0074761B" w:rsidRDefault="0074761B">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3ACD530A"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05" w14:textId="77777777" w:rsidR="0074761B" w:rsidRDefault="0074761B">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06" w14:textId="77777777" w:rsidR="0074761B" w:rsidRDefault="0074761B">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07" w14:textId="77777777" w:rsidR="0074761B" w:rsidRDefault="0074761B">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08" w14:textId="77777777" w:rsidR="0074761B" w:rsidRDefault="0074761B">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09" w14:textId="77777777" w:rsidR="0074761B" w:rsidRDefault="0074761B">
            <w:pPr>
              <w:spacing w:before="20" w:after="20"/>
            </w:pPr>
            <w:r>
              <w:rPr>
                <w:b/>
                <w:color w:val="1F4E79"/>
                <w:sz w:val="18"/>
              </w:rPr>
              <w:t>Brier</w:t>
            </w:r>
          </w:p>
        </w:tc>
      </w:tr>
      <w:tr w:rsidR="001F5E5B" w14:paraId="3ACD5310"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0B" w14:textId="77777777" w:rsidR="0074761B" w:rsidRDefault="0074761B">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0C" w14:textId="77777777" w:rsidR="0074761B" w:rsidRDefault="0074761B">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0D" w14:textId="77777777" w:rsidR="0074761B" w:rsidRDefault="0074761B">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0E" w14:textId="77777777" w:rsidR="0074761B" w:rsidRDefault="0074761B">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0F" w14:textId="77777777" w:rsidR="0074761B" w:rsidRDefault="0074761B">
            <w:pPr>
              <w:spacing w:before="20" w:after="20"/>
            </w:pPr>
            <w:r>
              <w:rPr>
                <w:color w:val="000000"/>
                <w:sz w:val="18"/>
              </w:rPr>
              <w:t>0.060</w:t>
            </w:r>
          </w:p>
        </w:tc>
      </w:tr>
      <w:tr w:rsidR="001F5E5B" w14:paraId="3ACD5316"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1" w14:textId="77777777" w:rsidR="0074761B" w:rsidRDefault="0074761B">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2" w14:textId="77777777" w:rsidR="0074761B" w:rsidRDefault="0074761B">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3" w14:textId="77777777" w:rsidR="0074761B" w:rsidRDefault="0074761B">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4" w14:textId="77777777" w:rsidR="0074761B" w:rsidRDefault="0074761B">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5" w14:textId="77777777" w:rsidR="0074761B" w:rsidRDefault="0074761B">
            <w:pPr>
              <w:spacing w:before="20" w:after="20"/>
            </w:pPr>
            <w:r>
              <w:rPr>
                <w:color w:val="000000"/>
                <w:sz w:val="18"/>
              </w:rPr>
              <w:t>0.067</w:t>
            </w:r>
          </w:p>
        </w:tc>
      </w:tr>
      <w:tr w:rsidR="001F5E5B" w14:paraId="3ACD531C"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17" w14:textId="77777777" w:rsidR="0074761B" w:rsidRDefault="0074761B">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18" w14:textId="77777777" w:rsidR="0074761B" w:rsidRDefault="0074761B">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19" w14:textId="77777777" w:rsidR="0074761B" w:rsidRDefault="0074761B">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1A" w14:textId="77777777" w:rsidR="0074761B" w:rsidRDefault="0074761B">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1B" w14:textId="77777777" w:rsidR="0074761B" w:rsidRDefault="0074761B">
            <w:pPr>
              <w:spacing w:before="20" w:after="20"/>
            </w:pPr>
            <w:r>
              <w:rPr>
                <w:color w:val="000000"/>
                <w:sz w:val="18"/>
              </w:rPr>
              <w:t>0.061</w:t>
            </w:r>
          </w:p>
        </w:tc>
      </w:tr>
      <w:tr w:rsidR="001F5E5B" w14:paraId="3ACD5322"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D" w14:textId="77777777" w:rsidR="0074761B" w:rsidRDefault="0074761B">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E" w14:textId="77777777" w:rsidR="0074761B" w:rsidRDefault="0074761B">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1F" w14:textId="77777777" w:rsidR="0074761B" w:rsidRDefault="0074761B">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20" w14:textId="77777777" w:rsidR="0074761B" w:rsidRDefault="0074761B">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21" w14:textId="77777777" w:rsidR="0074761B" w:rsidRDefault="0074761B">
            <w:pPr>
              <w:spacing w:before="20" w:after="20"/>
            </w:pPr>
            <w:r>
              <w:rPr>
                <w:bCs/>
                <w:color w:val="000000"/>
                <w:sz w:val="18"/>
              </w:rPr>
              <w:t>0.056</w:t>
            </w:r>
          </w:p>
        </w:tc>
      </w:tr>
      <w:tr w:rsidR="001F5E5B" w14:paraId="3ACD5328"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23" w14:textId="77777777" w:rsidR="0074761B" w:rsidRDefault="0074761B">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24" w14:textId="77777777" w:rsidR="0074761B" w:rsidRDefault="0074761B">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25" w14:textId="77777777" w:rsidR="0074761B" w:rsidRDefault="0074761B">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26" w14:textId="77777777" w:rsidR="0074761B" w:rsidRDefault="0074761B">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27" w14:textId="77777777" w:rsidR="0074761B" w:rsidRDefault="0074761B">
            <w:pPr>
              <w:spacing w:before="20" w:after="20"/>
            </w:pPr>
            <w:r>
              <w:rPr>
                <w:color w:val="000000"/>
                <w:sz w:val="18"/>
              </w:rPr>
              <w:t>0.057</w:t>
            </w:r>
          </w:p>
        </w:tc>
      </w:tr>
    </w:tbl>
    <w:p w14:paraId="3ACD5329" w14:textId="77777777" w:rsidR="0074761B" w:rsidRDefault="0074761B">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3ACD532A" w14:textId="77777777" w:rsidR="0074761B" w:rsidRDefault="0074761B"/>
    <w:p w14:paraId="3ACD532B" w14:textId="77777777" w:rsidR="0074761B" w:rsidRDefault="0074761B">
      <w:r>
        <w:t>E1-EBM achieves AUROC 0.955 and Brier Score 0.056 — the lowest Brier Score and therefore the best global probability accuracy of any configuration in Table 4.6 — but AUPRC falls to 0.433 from EBM’s standalone 0.532.</w:t>
      </w:r>
    </w:p>
    <w:p w14:paraId="3ACD532C" w14:textId="77777777" w:rsidR="0074761B" w:rsidRDefault="0074761B"/>
    <w:p w14:paraId="3ACD532D" w14:textId="77777777" w:rsidR="0074761B" w:rsidRDefault="0074761B">
      <w:pPr>
        <w:pStyle w:val="Heading3"/>
      </w:pPr>
      <w:r>
        <w:t>4.10.2 Disagreement Analysis</w:t>
      </w:r>
    </w:p>
    <w:p w14:paraId="3ACD532E" w14:textId="77777777" w:rsidR="0074761B" w:rsidRDefault="0074761B">
      <w:r>
        <w:t>Figure 4.10 presents the model disagreement analysis for all three model pairs.</w:t>
      </w:r>
    </w:p>
    <w:p w14:paraId="3ACD532F" w14:textId="77777777" w:rsidR="0074761B" w:rsidRDefault="0074761B"/>
    <w:p w14:paraId="3ACD5330" w14:textId="77777777" w:rsidR="0074761B" w:rsidRDefault="0074761B">
      <w:r>
        <w:rPr>
          <w:noProof/>
        </w:rPr>
        <w:drawing>
          <wp:inline distT="0" distB="0" distL="0" distR="0" wp14:anchorId="3ACD54A2" wp14:editId="3ACD54A3">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3ACD5331" w14:textId="77777777" w:rsidR="0074761B" w:rsidRDefault="0074761B">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3ACD5332" w14:textId="77777777" w:rsidR="0074761B" w:rsidRDefault="0074761B"/>
    <w:p w14:paraId="3ACD5333" w14:textId="77777777" w:rsidR="0074761B" w:rsidRDefault="0074761B">
      <w:r>
        <w:t>Crisis observations show substantially higher disagreement than non-crisis observations across all pairs, consistent with the Holopainen and Sarlin (2017) motivation.</w:t>
      </w:r>
    </w:p>
    <w:p w14:paraId="3ACD5334" w14:textId="77777777" w:rsidR="0074761B" w:rsidRDefault="0074761B">
      <w:r>
        <w:t>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p w14:paraId="3ACD5335" w14:textId="77777777" w:rsidR="0074761B" w:rsidRDefault="0074761B"/>
    <w:p w14:paraId="3ACD5336" w14:textId="77777777" w:rsidR="0074761B" w:rsidRDefault="0074761B">
      <w:pPr>
        <w:pStyle w:val="Heading3"/>
      </w:pPr>
      <w:r>
        <w:t>4.10.3 2007 Cross-Sectional Ranking</w:t>
      </w:r>
    </w:p>
    <w:p w14:paraId="3ACD5337" w14:textId="77777777" w:rsidR="0074761B" w:rsidRDefault="0074761B">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w:t>
      </w:r>
      <w:r>
        <w:t>alidated model capabilities or confirmed predictions.</w:t>
      </w:r>
    </w:p>
    <w:p w14:paraId="3ACD5338" w14:textId="77777777" w:rsidR="0074761B" w:rsidRDefault="0074761B">
      <w:r>
        <w:lastRenderedPageBreak/>
        <w:t>Figure 4.11 presents the E1-EBM 2007 country ranking by crisis type.</w:t>
      </w:r>
    </w:p>
    <w:p w14:paraId="3ACD5339" w14:textId="77777777" w:rsidR="0074761B" w:rsidRDefault="0074761B"/>
    <w:p w14:paraId="3ACD533A" w14:textId="77777777" w:rsidR="0074761B" w:rsidRDefault="0074761B">
      <w:r>
        <w:rPr>
          <w:noProof/>
        </w:rPr>
        <w:drawing>
          <wp:inline distT="0" distB="0" distL="0" distR="0" wp14:anchorId="3ACD54A4" wp14:editId="3ACD54A5">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3ACD533B" w14:textId="77777777" w:rsidR="0074761B" w:rsidRPr="00004A8E" w:rsidRDefault="0074761B">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w:t>
      </w:r>
      <w:r>
        <w:rPr>
          <w:i/>
          <w:iCs/>
        </w:rPr>
        <w:t>an domestic credit accumulation. The ordering Fundamental &gt; Contagion &gt; No crisis reflects the model’s training on domestic macro credit-cycle precursors.</w:t>
      </w:r>
    </w:p>
    <w:p w14:paraId="3ACD533C" w14:textId="77777777" w:rsidR="0074761B" w:rsidRDefault="0074761B"/>
    <w:p w14:paraId="3ACD533D" w14:textId="77777777" w:rsidR="0074761B" w:rsidRDefault="0074761B">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w:t>
      </w:r>
      <w:r>
        <w:t>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3ACD533E" w14:textId="77777777" w:rsidR="0074761B" w:rsidRDefault="0074761B">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3ACD533F" w14:textId="77777777" w:rsidR="0074761B" w:rsidRDefault="0074761B">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3ACD5340" w14:textId="77777777" w:rsidR="0074761B" w:rsidRDefault="0074761B">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3ACD5341" w14:textId="77777777" w:rsidR="0074761B" w:rsidRDefault="0074761B">
      <w:r>
        <w:pict w14:anchorId="3ACD54A6">
          <v:rect id="_x0000_i1057" style="width:0;height:1.5pt" o:hralign="center" o:hrstd="t" o:hr="t"/>
        </w:pict>
      </w:r>
    </w:p>
    <w:p w14:paraId="3ACD5342" w14:textId="77777777" w:rsidR="0074761B" w:rsidRDefault="0074761B">
      <w:pPr>
        <w:pStyle w:val="Heading2"/>
      </w:pPr>
      <w:r>
        <w:t>4.11 Hypothesis Assessment</w:t>
      </w:r>
    </w:p>
    <w:p w14:paraId="3ACD5343" w14:textId="77777777" w:rsidR="0074761B" w:rsidRDefault="0074761B">
      <w:pPr>
        <w:rPr>
          <w:b/>
          <w:bCs/>
        </w:rPr>
      </w:pPr>
      <w:r>
        <w:rPr>
          <w:b/>
          <w:bCs/>
        </w:rPr>
        <w:t>Table 4.7. Hypothesis assessment under the augmented two-stage pipeline with EBM extension</w:t>
      </w:r>
    </w:p>
    <w:p w14:paraId="3ACD5344" w14:textId="77777777" w:rsidR="0074761B" w:rsidRDefault="0074761B"/>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3ACD5349"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45" w14:textId="77777777" w:rsidR="0074761B" w:rsidRDefault="0074761B">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46" w14:textId="77777777" w:rsidR="0074761B" w:rsidRDefault="0074761B">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47" w14:textId="77777777" w:rsidR="0074761B" w:rsidRDefault="0074761B">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3ACD5348" w14:textId="77777777" w:rsidR="0074761B" w:rsidRDefault="0074761B">
            <w:pPr>
              <w:spacing w:before="20" w:after="20"/>
            </w:pPr>
            <w:r>
              <w:rPr>
                <w:b/>
                <w:color w:val="1F4E79"/>
                <w:sz w:val="18"/>
              </w:rPr>
              <w:t>Verdict</w:t>
            </w:r>
          </w:p>
        </w:tc>
      </w:tr>
      <w:tr w:rsidR="001F5E5B" w14:paraId="3ACD534E"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4A" w14:textId="77777777" w:rsidR="0074761B" w:rsidRDefault="0074761B">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4B" w14:textId="77777777" w:rsidR="0074761B" w:rsidRDefault="0074761B">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4C" w14:textId="77777777" w:rsidR="0074761B" w:rsidRDefault="0074761B">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4D" w14:textId="77777777" w:rsidR="0074761B" w:rsidRDefault="0074761B">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3ACD5353"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4F" w14:textId="77777777" w:rsidR="0074761B" w:rsidRDefault="0074761B">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50" w14:textId="77777777" w:rsidR="0074761B" w:rsidRDefault="0074761B">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51" w14:textId="77777777" w:rsidR="0074761B" w:rsidRDefault="0074761B">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3ACD5352" w14:textId="77777777" w:rsidR="0074761B" w:rsidRDefault="0074761B">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3ACD5358"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54" w14:textId="77777777" w:rsidR="0074761B" w:rsidRDefault="0074761B">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55" w14:textId="77777777" w:rsidR="0074761B" w:rsidRDefault="0074761B">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56" w14:textId="77777777" w:rsidR="0074761B" w:rsidRDefault="0074761B">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3ACD5357" w14:textId="77777777" w:rsidR="0074761B" w:rsidRDefault="0074761B">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3ACD5359" w14:textId="77777777" w:rsidR="0074761B" w:rsidRDefault="0074761B">
      <w:r>
        <w:rPr>
          <w:i/>
          <w:iCs/>
        </w:rPr>
        <w:t xml:space="preserve">Table 4.7. Hypothesis assessment under the augmented two-stage pipeline (NB01A–NB09B). AUPRC at H2 is the primary metric. All Stage 2 verdicts reflect cross-sectional discrimination within the GFC episode only. </w:t>
      </w:r>
    </w:p>
    <w:p w14:paraId="3ACD535A" w14:textId="77777777" w:rsidR="0074761B" w:rsidRDefault="0074761B"/>
    <w:p w14:paraId="3ACD535B" w14:textId="77777777" w:rsidR="0074761B" w:rsidRDefault="0074761B">
      <w:r>
        <w:t xml:space="preserve">The three hypotheses together trace a coherent argument about the structural limits of machine learning-based crisis prediction. H1 is directionally supported but the EBM result </w:t>
      </w:r>
      <w:r>
        <w:lastRenderedPageBreak/>
        <w:t>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w:t>
      </w:r>
      <w:r>
        <w:t>nterpretable models offer no immunity to regime non-stationarity and may encode regime-specific relationships more precisely, increasing their vulnerability under structural breaks.</w:t>
      </w:r>
    </w:p>
    <w:p w14:paraId="3ACD535C" w14:textId="77777777" w:rsidR="0074761B" w:rsidRDefault="0074761B">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w:t>
      </w:r>
      <w:r>
        <w:t>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3ACD535D" w14:textId="77777777" w:rsidR="0074761B" w:rsidRDefault="0074761B"/>
    <w:p w14:paraId="3ACD535E" w14:textId="77777777" w:rsidR="0074761B" w:rsidRDefault="0074761B">
      <w:r>
        <w:t>This indicates that the limitation of early-warning systems lies not in insufficient model capacity, but in the absence of a stable relationship to be learned.</w:t>
      </w:r>
    </w:p>
    <w:p w14:paraId="3ACD535F" w14:textId="77777777" w:rsidR="0074761B" w:rsidRDefault="0074761B">
      <w:r>
        <w:br w:type="page"/>
      </w:r>
    </w:p>
    <w:p w14:paraId="3ACD5360" w14:textId="77777777" w:rsidR="005A6139" w:rsidRDefault="0074761B">
      <w:r>
        <w:lastRenderedPageBreak/>
        <w:br w:type="page"/>
      </w:r>
    </w:p>
    <w:p w14:paraId="3ACD5361" w14:textId="77777777" w:rsidR="0074761B" w:rsidRDefault="0074761B">
      <w:pPr>
        <w:pStyle w:val="Heading1"/>
      </w:pPr>
      <w:r>
        <w:lastRenderedPageBreak/>
        <w:t>Chapter 5: Discussion</w:t>
      </w:r>
    </w:p>
    <w:p w14:paraId="3ACD5362" w14:textId="77777777" w:rsidR="0074761B" w:rsidRDefault="0074761B">
      <w:r>
        <w:rPr>
          <w:i/>
          <w:iCs/>
        </w:rPr>
        <w:t>Economic Crisis Prediction: Improving the Trade-off Between Interpretability and Statistical Accuracy in ML-Enhanced Crisis Prediction Models</w:t>
      </w:r>
    </w:p>
    <w:p w14:paraId="3ACD5363" w14:textId="77777777" w:rsidR="0074761B" w:rsidRDefault="0074761B">
      <w:r>
        <w:pict w14:anchorId="3ACD54A7">
          <v:rect id="_x0000_i1058" style="width:0;height:1.5pt" o:hralign="center" o:hrstd="t" o:hr="t"/>
        </w:pict>
      </w:r>
    </w:p>
    <w:p w14:paraId="3ACD5364" w14:textId="77777777" w:rsidR="0074761B" w:rsidRDefault="0074761B">
      <w:pPr>
        <w:pStyle w:val="Heading2"/>
      </w:pPr>
      <w:r>
        <w:t>5.1 Overview of Findings</w:t>
      </w:r>
    </w:p>
    <w:p w14:paraId="3ACD5365" w14:textId="77777777" w:rsidR="0074761B" w:rsidRDefault="0074761B">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3ACD5366" w14:textId="77777777" w:rsidR="0074761B" w:rsidRDefault="0074761B"/>
    <w:p w14:paraId="3ACD5367" w14:textId="77777777" w:rsidR="0074761B" w:rsidRDefault="0074761B">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w:t>
      </w:r>
      <w:r>
        <w:t>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may be misspecified when crisis-</w:t>
      </w:r>
      <w:r>
        <w:t>generating mechanisms are heterogeneous.</w:t>
      </w:r>
    </w:p>
    <w:p w14:paraId="3ACD5368" w14:textId="77777777" w:rsidR="0074761B" w:rsidRDefault="0074761B"/>
    <w:p w14:paraId="3ACD5369" w14:textId="77777777" w:rsidR="0074761B" w:rsidRDefault="0074761B">
      <w:r>
        <w:t>The second finding concerns the role of sentiment augmentation. Within the Stage 2 Cross-Sectional Case Study of the 2007 GFC — a single-episode discrimination exercise evaluating how well each model ranks 18 countries by crisis probability in 2007, not a temporal predictive test — M3 achieves AUPRC 0.411 against M2-matched’s 0.343, a directional gain of 6.8 percentage points. However, the bootstrap 95 per cent confidence interval spans zero in both the original and augmented designs, all auxiliary statisti</w:t>
      </w:r>
      <w:r>
        <w:t>cal tests find no significant relationship between sentiment and crisis outcomes, and SHAP attribution shows that individual sentiment feature rankings are unstable across specifications. The more direct test of the sentiment hypothesis is the comparison between M2.5 (EBM, macro-only, AUPRC 0.532) and M3 (XGBoost, macro plus sentiment, AUPRC 0.411): M2.5 outperforms M3 without any sentiment features, suggesting that Stage 2 performance differences are at least as sensitive to model class as to the sentiment</w:t>
      </w:r>
      <w:r>
        <w:t xml:space="preserve"> feature extension; EBM and XGBoost also differ in regularisation, interaction handling, and calibration behaviour, so the design cannot cleanly isolate sentiment’s independent contribution. The M2-matched versus M3 comparison, while directionally positive for M3, confounds algorithm and feature changes simultaneously and cannot isolate the sentiment contribution. The directional AUPRC gain is best characterised as an in-crisis discrimination measure within the 2007 GFC episode — not </w:t>
      </w:r>
      <w:r>
        <w:lastRenderedPageBreak/>
        <w:t>as evidence of a genera</w:t>
      </w:r>
      <w:r>
        <w:t>lisable or temporally stable predictive channel. All Stage 2 performance figures should be read in this light.</w:t>
      </w:r>
    </w:p>
    <w:p w14:paraId="3ACD536A" w14:textId="77777777" w:rsidR="0074761B" w:rsidRDefault="0074761B"/>
    <w:p w14:paraId="3ACD536B" w14:textId="77777777" w:rsidR="0074761B" w:rsidRDefault="0074761B">
      <w:r>
        <w:t>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w:t>
      </w:r>
      <w:r>
        <w:t>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 within the constrained Split B</w:t>
      </w:r>
      <w:r>
        <w:t xml:space="preserve"> evaluation, with only six pre-GFC positive training cases: the result is consistent with EBM’s higher representational flexibility producing more aggressive regime-specific fitting than Random Forest, yielding a worse prospective outcome. The central theoretical implication is that the failure of machine learning-based EWS is not a consequence of model opacity — removing opacity through EBM makes the failure more severe, not less, because the underlying cause is non-stationarity in the data-generating proc</w:t>
      </w:r>
      <w:r>
        <w:t>ess, not a limitation of any particular model class.</w:t>
      </w:r>
    </w:p>
    <w:p w14:paraId="3ACD536C" w14:textId="77777777" w:rsidR="0074761B" w:rsidRDefault="0074761B"/>
    <w:p w14:paraId="3ACD536D" w14:textId="77777777" w:rsidR="0074761B" w:rsidRDefault="0074761B">
      <w:r>
        <w:t>The fourth finding concerns the ensemble extension. E1-EBM, defined as the equal-weighted average of M2-matched and EBM M2.5 out-of-sample predicted probabilities, achieves AUROC 0.955 and Brier Score 0.056 — the best global probability accuracy (lowest Brier Score) of any model or ensemble in the Stage 2 evaluation — while E1-Orig (M4, the original M2-matched and M3 ensemble) achieves comparable AUPRC (0.440 versus E1-EBM’s 0.433) but slightly worse Brier (0.057). The ensemble results are subject to the sa</w:t>
      </w:r>
      <w:r>
        <w:t>me single-episode evaluation constraint as their constituent models.</w:t>
      </w:r>
    </w:p>
    <w:p w14:paraId="3ACD536E" w14:textId="77777777" w:rsidR="0074761B" w:rsidRDefault="0074761B"/>
    <w:p w14:paraId="3ACD536F" w14:textId="77777777" w:rsidR="0074761B" w:rsidRDefault="0074761B">
      <w:r>
        <w:t>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w:t>
      </w:r>
      <w:r>
        <w:t xml:space="preserve">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3ACD5370" w14:textId="77777777" w:rsidR="0074761B" w:rsidRDefault="0074761B"/>
    <w:p w14:paraId="3ACD5371" w14:textId="77777777" w:rsidR="0074761B" w:rsidRDefault="0074761B">
      <w:r>
        <w:lastRenderedPageBreak/>
        <w:t>Together, these five findings point to a single underlying cause: structural instability in the mapping between predictors and crisis outcomes across regimes. Section 5.2 develops the theoretical implications of this conclusion.</w:t>
      </w:r>
    </w:p>
    <w:p w14:paraId="3ACD5372" w14:textId="77777777" w:rsidR="0074761B" w:rsidRDefault="0074761B"/>
    <w:p w14:paraId="3ACD5373" w14:textId="77777777" w:rsidR="0074761B" w:rsidRDefault="0074761B">
      <w:r>
        <w:pict w14:anchorId="3ACD54A8">
          <v:rect id="_x0000_i1059" style="width:0;height:1.5pt" o:hralign="center" o:hrstd="t" o:hr="t"/>
        </w:pict>
      </w:r>
    </w:p>
    <w:p w14:paraId="3ACD5374" w14:textId="77777777" w:rsidR="0074761B" w:rsidRDefault="0074761B">
      <w:pPr>
        <w:pStyle w:val="Heading2"/>
      </w:pPr>
      <w:r>
        <w:t>5.2 The EBM Interpretability Benchmark: What Native Transparency Reveals</w:t>
      </w:r>
    </w:p>
    <w:p w14:paraId="3ACD5375" w14:textId="77777777" w:rsidR="0074761B" w:rsidRDefault="0074761B"/>
    <w:p w14:paraId="3ACD5376" w14:textId="77777777" w:rsidR="0074761B" w:rsidRDefault="0074761B">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ACD5377" w14:textId="77777777" w:rsidR="0074761B" w:rsidRDefault="0074761B"/>
    <w:p w14:paraId="3ACD5378" w14:textId="77777777" w:rsidR="0074761B" w:rsidRDefault="0074761B">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w:t>
      </w:r>
      <w:r>
        <w:t>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w:t>
      </w:r>
      <w:r>
        <w:t>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w:t>
      </w:r>
      <w:r>
        <w:t>e, regime-specific misspecification, not in providing a new metric of prospective performance.</w:t>
      </w:r>
    </w:p>
    <w:p w14:paraId="3ACD5379" w14:textId="77777777" w:rsidR="0074761B" w:rsidRDefault="0074761B">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Static, pooled, single-classifier early-</w:t>
      </w:r>
      <w:r>
        <w:t>warning systems are therefore not merely empirically limited in their generalisation; they are conceptually misaligned — at least in their current form — with structural break environments, where the data-generating process evolves faster than any static model can adapt. More sophisticated designs — regime-switching models, mechanism-specific classifiers, or Bayesian updating frameworks — may partially address this misalignment, but are beyond the scope of the present study.</w:t>
      </w:r>
    </w:p>
    <w:p w14:paraId="3ACD537A" w14:textId="77777777" w:rsidR="0074761B" w:rsidRDefault="0074761B"/>
    <w:p w14:paraId="3ACD537B" w14:textId="77777777" w:rsidR="0074761B" w:rsidRDefault="0074761B">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w:t>
      </w:r>
      <w:r>
        <w: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3ACD537C" w14:textId="77777777" w:rsidR="0074761B" w:rsidRDefault="0074761B">
      <w:r>
        <w:pict w14:anchorId="3ACD54A9">
          <v:rect id="_x0000_i1060" style="width:0;height:1.5pt" o:hralign="center" o:hrstd="t" o:hr="t"/>
        </w:pict>
      </w:r>
    </w:p>
    <w:p w14:paraId="3ACD537D" w14:textId="77777777" w:rsidR="0074761B" w:rsidRDefault="0074761B">
      <w:pPr>
        <w:pStyle w:val="Heading2"/>
      </w:pPr>
      <w:r>
        <w:t>5.3 The Ensemble as a Response to Model Uncertainty</w:t>
      </w:r>
    </w:p>
    <w:p w14:paraId="3ACD537E" w14:textId="77777777" w:rsidR="0074761B" w:rsidRDefault="0074761B"/>
    <w:p w14:paraId="3ACD537F" w14:textId="77777777" w:rsidR="0074761B" w:rsidRDefault="0074761B">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w:t>
      </w:r>
      <w:r>
        <w:t>mes are numerically indistinguishable.</w:t>
      </w:r>
    </w:p>
    <w:p w14:paraId="3ACD5380" w14:textId="77777777" w:rsidR="0074761B" w:rsidRDefault="0074761B">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3ACD5381" w14:textId="77777777" w:rsidR="0074761B" w:rsidRDefault="0074761B">
      <w:r>
        <w:t>This is the condition Holopainen and Sarlin (2017) identify as the primary motivation for ensemble averaging.</w:t>
      </w:r>
    </w:p>
    <w:p w14:paraId="3ACD5382" w14:textId="77777777" w:rsidR="0074761B" w:rsidRDefault="0074761B">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w:t>
      </w:r>
      <w:r>
        <w:t>rn is ranking crisis countries within a known episode, EBM alone achieves higher point estimates within the constrained evaluation setting.</w:t>
      </w:r>
    </w:p>
    <w:p w14:paraId="3ACD5383" w14:textId="77777777" w:rsidR="0074761B" w:rsidRDefault="0074761B">
      <w:r>
        <w:pict w14:anchorId="3ACD54AA">
          <v:rect id="_x0000_i1061" style="width:0;height:1.5pt" o:hralign="center" o:hrstd="t" o:hr="t"/>
        </w:pict>
      </w:r>
    </w:p>
    <w:p w14:paraId="3ACD5384" w14:textId="77777777" w:rsidR="0074761B" w:rsidRDefault="0074761B">
      <w:pPr>
        <w:pStyle w:val="Heading2"/>
      </w:pPr>
      <w:r>
        <w:t>5.4 Crisis Heterogeneity and Model Scope</w:t>
      </w:r>
    </w:p>
    <w:p w14:paraId="3ACD5385" w14:textId="77777777" w:rsidR="0074761B" w:rsidRDefault="0074761B">
      <w:r>
        <w:lastRenderedPageBreak/>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w:t>
      </w:r>
      <w:r>
        <w:t>ntiated label implicitly assumes that the same set of macro and sentiment features is relevant across all crisis types — an assumption that the evidence in this chapter consistently refutes.</w:t>
      </w:r>
    </w:p>
    <w:p w14:paraId="3ACD5386" w14:textId="77777777" w:rsidR="0074761B" w:rsidRDefault="0074761B"/>
    <w:p w14:paraId="3ACD5387" w14:textId="77777777" w:rsidR="0074761B" w:rsidRDefault="0074761B">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3ACD5388" w14:textId="77777777" w:rsidR="0074761B" w:rsidRDefault="0074761B">
      <w:r>
        <w:t xml:space="preserve">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w:t>
      </w:r>
      <w:r>
        <w:t>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3ACD5389" w14:textId="77777777" w:rsidR="0074761B" w:rsidRDefault="0074761B">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w:t>
      </w:r>
      <w:r>
        <w:t>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w:t>
      </w:r>
      <w:r>
        <w:t>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3ACD538A" w14:textId="77777777" w:rsidR="0074761B" w:rsidRDefault="0074761B"/>
    <w:p w14:paraId="3ACD538B" w14:textId="77777777" w:rsidR="0074761B" w:rsidRDefault="0074761B">
      <w:r>
        <w:lastRenderedPageBreak/>
        <w:t>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w:t>
      </w:r>
      <w:r>
        <w:t>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w:t>
      </w:r>
      <w:r>
        <w:t>5) is the most prominent qualitative scope failure: the JST target_h2 label is 0 in 2007, placing it outside the statistical crisis window. It is therefore not a statistical false negative under the binary evaluation criterion, but a qualitative economic mismatch — the model assigns low risk to a country whose banking stress is economically central to the GFC narrative. The mechanism behind this mismatch is examined in detail in Section 5.4.1. Both cases illustrate the limits of the macro precursor approach</w:t>
      </w:r>
      <w:r>
        <w:t xml:space="preserve"> and are consistent with the crisis heterogeneity argument developed above.</w:t>
      </w:r>
    </w:p>
    <w:p w14:paraId="3ACD538C" w14:textId="77777777" w:rsidR="0074761B" w:rsidRDefault="0074761B"/>
    <w:p w14:paraId="3ACD538D" w14:textId="77777777" w:rsidR="0074761B" w:rsidRDefault="0074761B">
      <w:pPr>
        <w:pStyle w:val="Heading3"/>
      </w:pPr>
      <w:r>
        <w:t>5.4.1 Feature-Level Evidence: Spain, Sweden, and the United Kingdom</w:t>
      </w:r>
    </w:p>
    <w:p w14:paraId="3ACD538E" w14:textId="77777777" w:rsidR="0074761B" w:rsidRDefault="0074761B">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w:t>
      </w:r>
      <w:r>
        <w:t xml:space="preserve"> EBM and the scope conditions under which it fails.</w:t>
      </w:r>
    </w:p>
    <w:p w14:paraId="3ACD538F" w14:textId="77777777" w:rsidR="0074761B" w:rsidRDefault="0074761B"/>
    <w:p w14:paraId="3ACD5390" w14:textId="77777777" w:rsidR="0074761B" w:rsidRDefault="0074761B">
      <w:pPr>
        <w:jc w:val="center"/>
      </w:pPr>
      <w:r>
        <w:rPr>
          <w:noProof/>
        </w:rPr>
        <w:lastRenderedPageBreak/>
        <w:drawing>
          <wp:inline distT="0" distB="0" distL="0" distR="0" wp14:anchorId="3ACD54AB" wp14:editId="3ACD54AC">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3ACD5391" w14:textId="77777777" w:rsidR="0074761B" w:rsidRDefault="0074761B"/>
    <w:p w14:paraId="3ACD5392" w14:textId="77777777" w:rsidR="0074761B" w:rsidRDefault="0074761B"/>
    <w:p w14:paraId="3ACD5393" w14:textId="77777777" w:rsidR="0074761B" w:rsidRDefault="0074761B">
      <w:r>
        <w:t>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w:t>
      </w:r>
      <w:r>
        <w:t xml:space="preserve"> and Spain sits well into the high-risk segment of that function. Sweden’s credit growth of 7.4 per cent and house price growth of 11.1 per cent are moderate by comparison and do not signal domestic imbalance accumulation at the same scale. That the model assigns Sweden a high probability (0.783) reflects that Sweden’s term spread and short-term rate deviations — presented in Figure 5.1b — partially overlap with Spain’s: the yield-curve and monetary accommodation signals are not mechanism-specific and do no</w:t>
      </w:r>
      <w:r>
        <w:t>t discriminate between domestic boom and contagion exposure.</w:t>
      </w:r>
    </w:p>
    <w:p w14:paraId="3ACD5394" w14:textId="77777777" w:rsidR="0074761B" w:rsidRDefault="0074761B"/>
    <w:p w14:paraId="3ACD5395" w14:textId="77777777" w:rsidR="0074761B" w:rsidRDefault="0074761B">
      <w:r>
        <w:t>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w:t>
      </w:r>
      <w:r>
        <w:t xml:space="preserve">ties collapsed, the interbank </w:t>
      </w:r>
      <w:r>
        <w:lastRenderedPageBreak/>
        <w:t>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w:t>
      </w:r>
      <w:r>
        <w:t>he usual sense; it reflects that the macro precursor approach has legitimate scope limits when the crisis mechanism operates through funding-channel fragility rather than credit-cycle excess.</w:t>
      </w:r>
    </w:p>
    <w:p w14:paraId="3ACD5396" w14:textId="77777777" w:rsidR="0074761B" w:rsidRDefault="0074761B"/>
    <w:p w14:paraId="3ACD5397" w14:textId="77777777" w:rsidR="0074761B" w:rsidRDefault="0074761B">
      <w:pPr>
        <w:jc w:val="center"/>
      </w:pPr>
      <w:r>
        <w:rPr>
          <w:noProof/>
        </w:rPr>
        <w:drawing>
          <wp:inline distT="0" distB="0" distL="0" distR="0" wp14:anchorId="3ACD54AD" wp14:editId="3ACD54AE">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3ACD5398" w14:textId="77777777" w:rsidR="0074761B" w:rsidRDefault="0074761B"/>
    <w:p w14:paraId="3ACD5399" w14:textId="77777777" w:rsidR="0074761B" w:rsidRDefault="0074761B">
      <w:r>
        <w:t>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w:t>
      </w:r>
      <w:r>
        <w:t xml:space="preser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w:t>
      </w:r>
      <w:r>
        <w:lastRenderedPageBreak/>
        <w:t>credit boom from Sweden’s contagion exposure or the United Kingdom’s funding-channel vulnerability.</w:t>
      </w:r>
    </w:p>
    <w:p w14:paraId="3ACD539A" w14:textId="77777777" w:rsidR="0074761B" w:rsidRDefault="0074761B"/>
    <w:p w14:paraId="3ACD539B" w14:textId="77777777" w:rsidR="0074761B" w:rsidRDefault="0074761B">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w:t>
      </w:r>
      <w:r>
        <w:t>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w:t>
      </w:r>
      <w:r>
        <w:t>sely the kind of transparency that EBM’s native interpretability is designed to provide — and it arrives without the approximation error inherent in SHAP decomposition applied to a non-linear model.</w:t>
      </w:r>
    </w:p>
    <w:p w14:paraId="3ACD539C" w14:textId="77777777" w:rsidR="0074761B" w:rsidRDefault="0074761B"/>
    <w:p w14:paraId="3ACD539D" w14:textId="77777777" w:rsidR="0074761B" w:rsidRDefault="0074761B">
      <w:pPr>
        <w:jc w:val="center"/>
      </w:pPr>
      <w:r>
        <w:rPr>
          <w:noProof/>
        </w:rPr>
        <w:drawing>
          <wp:inline distT="0" distB="0" distL="0" distR="0" wp14:anchorId="3ACD54AF" wp14:editId="3ACD54B0">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3ACD539E" w14:textId="77777777" w:rsidR="0074761B" w:rsidRDefault="0074761B"/>
    <w:p w14:paraId="3ACD539F" w14:textId="77777777" w:rsidR="0074761B" w:rsidRDefault="0074761B">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3ACD53A0" w14:textId="77777777" w:rsidR="0074761B" w:rsidRDefault="0074761B">
      <w:r>
        <w:br w:type="page"/>
      </w:r>
    </w:p>
    <w:p w14:paraId="3ACD53A1" w14:textId="77777777" w:rsidR="0074761B" w:rsidRDefault="0074761B"/>
    <w:p w14:paraId="3ACD53A2" w14:textId="77777777" w:rsidR="0074761B" w:rsidRDefault="0074761B">
      <w:r>
        <w:pict w14:anchorId="3ACD54B1">
          <v:rect id="_x0000_i1062" style="width:0;height:1.5pt" o:hralign="center" o:hrstd="t" o:hr="t"/>
        </w:pict>
      </w:r>
    </w:p>
    <w:p w14:paraId="3ACD53A3" w14:textId="77777777" w:rsidR="0074761B" w:rsidRDefault="0074761B">
      <w:pPr>
        <w:pStyle w:val="Heading2"/>
      </w:pPr>
      <w:r>
        <w:t>5.5 Implications for Early-Warning System Design</w:t>
      </w:r>
    </w:p>
    <w:p w14:paraId="3ACD53A4" w14:textId="77777777" w:rsidR="0074761B" w:rsidRDefault="0074761B"/>
    <w:p w14:paraId="3ACD53A5" w14:textId="77777777" w:rsidR="0074761B" w:rsidRDefault="0074761B">
      <w:r>
        <w:t>Four practical implications follow from the augmented analysis, stated with appropriate caution given the evaluation constraints throughout Chapter 4.</w:t>
      </w:r>
    </w:p>
    <w:p w14:paraId="3ACD53A6" w14:textId="77777777" w:rsidR="0074761B" w:rsidRDefault="0074761B"/>
    <w:p w14:paraId="3ACD53A7" w14:textId="77777777" w:rsidR="0074761B" w:rsidRDefault="0074761B">
      <w:r>
        <w:t>First, extending training history is necessary but not sufficient for prospective EWS performance. The augmented Stage 1 analysis shows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w:t>
      </w:r>
      <w:r>
        <w:t>sification layer that identifies the current crisis type before applying model predictions, or a portfolio of models each calibrated to a specific crisis mechanism, rather than a single general-purpose classifier.</w:t>
      </w:r>
    </w:p>
    <w:p w14:paraId="3ACD53A8" w14:textId="77777777" w:rsidR="0074761B" w:rsidRDefault="0074761B"/>
    <w:p w14:paraId="3ACD53A9" w14:textId="77777777" w:rsidR="0074761B" w:rsidRDefault="0074761B">
      <w:r>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w:t>
      </w:r>
      <w:r>
        <w:t>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w:t>
      </w:r>
      <w:r>
        <w:t>er, this recommendation comes with the qualification established by the temporal validation: greater interpretability via EBM does not confer prospective robustness, and may increase sensitivity to regime-specific overfitting.</w:t>
      </w:r>
    </w:p>
    <w:p w14:paraId="3ACD53AA" w14:textId="77777777" w:rsidR="0074761B" w:rsidRDefault="0074761B"/>
    <w:p w14:paraId="3ACD53AB" w14:textId="77777777" w:rsidR="0074761B" w:rsidRDefault="0074761B">
      <w:r>
        <w:t xml:space="preserve">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w:t>
      </w:r>
      <w:r>
        <w:t>— which is a practically important property for any system that must assign concrete probability thresholds for policy review. This recommendation is qualified by the absence of prospective validation across multiple crisis episodes.</w:t>
      </w:r>
    </w:p>
    <w:p w14:paraId="3ACD53AC" w14:textId="77777777" w:rsidR="0074761B" w:rsidRDefault="0074761B"/>
    <w:p w14:paraId="3ACD53AD" w14:textId="77777777" w:rsidR="0074761B" w:rsidRDefault="0074761B">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w:t>
      </w:r>
      <w:r>
        <w:t>arning signal. The panel logistic result — sentiment pseudo-R² increment of only 0.034 with non-significant individual coefficients (p = 0.103) — reinforces this caution. These findings collectively provide the dissertation’s direct answer to its central research question. The augmented analysis demonstrates that interpretable non-linear modelling — specifically EBM — can improve the apparent interpretability–accuracy trade-off within expanding-window evaluation: EBM achieves competitive discrimination metr</w:t>
      </w:r>
      <w:r>
        <w:t xml:space="preserve">ics while providing direct, regime-legible shape functions that post-hoc SHAP approximations cannot match. However, strict temporal validation shows that this improvement does not survive prospective transfer to a held-out crisis episode. Neither additional macro history, sentiment augmentation, ensemble averaging, nor native interpretability resolves the underlying problem of regime non-stationarity. The dissertation therefore reframes the interpretability–accuracy trade-off: the primary constraint on EWS </w:t>
      </w:r>
      <w:r>
        <w:t>performance is not model architecture but the absence of a stable predictor–outcome mapping across crisis regimes. EBM’s distinctive contribution is to make this instability directly visible rather than to overcome it.</w:t>
      </w:r>
    </w:p>
    <w:p w14:paraId="3ACD53AE" w14:textId="77777777" w:rsidR="0074761B" w:rsidRDefault="0074761B">
      <w:r>
        <w:pict w14:anchorId="3ACD54B2">
          <v:rect id="_x0000_i1063" style="width:0;height:1.5pt" o:hralign="center" o:hrstd="t" o:hr="t"/>
        </w:pict>
      </w:r>
    </w:p>
    <w:p w14:paraId="3ACD53AF" w14:textId="77777777" w:rsidR="0074761B" w:rsidRDefault="0074761B">
      <w:pPr>
        <w:pStyle w:val="Heading2"/>
      </w:pPr>
      <w:r>
        <w:t>5.6 Limitations</w:t>
      </w:r>
    </w:p>
    <w:p w14:paraId="3ACD53B0" w14:textId="77777777" w:rsidR="0074761B" w:rsidRDefault="0074761B">
      <w:r>
        <w:t>Several limitations constrain the interpretation of results throughout this analysis.</w:t>
      </w:r>
    </w:p>
    <w:p w14:paraId="3ACD53B1" w14:textId="77777777" w:rsidR="0074761B" w:rsidRDefault="0074761B"/>
    <w:p w14:paraId="3ACD53B2" w14:textId="77777777" w:rsidR="0074761B" w:rsidRDefault="0074761B">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w:t>
      </w:r>
      <w:r>
        <w:t>irically grounded bound on what the models can be expected to achieve in genuine forward-looking deployment.</w:t>
      </w:r>
    </w:p>
    <w:p w14:paraId="3ACD53B3" w14:textId="77777777" w:rsidR="0074761B" w:rsidRDefault="0074761B"/>
    <w:p w14:paraId="3ACD53B4" w14:textId="77777777" w:rsidR="0074761B" w:rsidRDefault="0074761B">
      <w:r>
        <w:t>The EBM prospective collapse (AUROC 0.333 in Split B) introduces a specific limitation on the interpretability contribution. The shape function analysis provides evidence of regime instability as a property of the fitted model, consistent with instability in the underlying data-generating process. However, the worse prospective performance of EBM relative to Random Forest indicates that higher representational flexibility can itself exacerbate regime-specific overfitting. The practical implication is that i</w:t>
      </w:r>
      <w:r>
        <w:t>nterpretable models should be adopted for their transparency value rather than their prospective predictive superiority, and that their higher in-sample performance should be treated with the same scepticism applied to all expanding-window metrics.</w:t>
      </w:r>
    </w:p>
    <w:p w14:paraId="3ACD53B5" w14:textId="77777777" w:rsidR="0074761B" w:rsidRDefault="0074761B"/>
    <w:p w14:paraId="3ACD53B6" w14:textId="77777777" w:rsidR="0074761B" w:rsidRDefault="0074761B">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3ACD53B7" w14:textId="77777777" w:rsidR="0074761B" w:rsidRDefault="0074761B"/>
    <w:p w14:paraId="3ACD53B8" w14:textId="77777777" w:rsidR="0074761B" w:rsidRDefault="0074761B">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3ACD53B9" w14:textId="77777777" w:rsidR="0074761B" w:rsidRDefault="0074761B"/>
    <w:p w14:paraId="3ACD53BA" w14:textId="77777777" w:rsidR="0074761B" w:rsidRDefault="0074761B">
      <w:r>
        <w:t>Bootstrap confidence intervals throughout Chapter 4 are indicative only and should not be used to make claims of statistical significance. Panel dependence — crisis events clustered by country and year within the GFC episode — violates the independence assumption of standard bootstrap resampling, meaning the true uncertainty in Stage 2 metrics is substantially larger than the reported intervals suggest. Rather than relying on bootstrap CIs as the primary basis for characterising model uncertainty, the disag</w:t>
      </w:r>
      <w:r>
        <w:t>reement analysis in Section 4.10.2 — which documents that mean absolute disagreement between models is 2.8 times higher at crisis observations than at non-crisis observations — provides the more epistemically appropriate tool within this constrained evaluation setting. The bootstrap CIs are retained as descriptive summaries of resampling variability only, and no inferential weight should be placed on whether a CI spans zero in the Stage 2 context.</w:t>
      </w:r>
    </w:p>
    <w:p w14:paraId="3ACD53BB" w14:textId="77777777" w:rsidR="0074761B" w:rsidRDefault="0074761B">
      <w:r>
        <w:pict w14:anchorId="3ACD54B3">
          <v:rect id="_x0000_i1064" style="width:0;height:1.5pt" o:hralign="center" o:hrstd="t" o:hr="t"/>
        </w:pict>
      </w:r>
    </w:p>
    <w:p w14:paraId="3ACD53BC" w14:textId="77777777" w:rsidR="0074761B" w:rsidRDefault="0074761B">
      <w:pPr>
        <w:pStyle w:val="Heading2"/>
      </w:pPr>
      <w:r>
        <w:t>5.7 Extensions and Future Research</w:t>
      </w:r>
    </w:p>
    <w:p w14:paraId="3ACD53BD" w14:textId="77777777" w:rsidR="0074761B" w:rsidRDefault="0074761B"/>
    <w:p w14:paraId="3ACD53BE" w14:textId="77777777" w:rsidR="0074761B" w:rsidRDefault="0074761B">
      <w:r>
        <w:t>Three extensions follow directly from the present analysis, ordered by feasibility and proximity to the existing framework.</w:t>
      </w:r>
    </w:p>
    <w:p w14:paraId="3ACD53BF" w14:textId="77777777" w:rsidR="0074761B" w:rsidRDefault="0074761B"/>
    <w:p w14:paraId="3ACD53C0" w14:textId="77777777" w:rsidR="0074761B" w:rsidRDefault="0074761B">
      <w:r>
        <w:rPr>
          <w:b/>
          <w:bCs/>
        </w:rPr>
        <w:t>Completed Extension — Topic-specific text features:</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w:t>
      </w:r>
      <w:r>
        <w:t xml:space="preserve"> one through three years, generating nine additional features for direct augmentation of the macro baseline.</w:t>
      </w:r>
    </w:p>
    <w:p w14:paraId="3ACD53C1" w14:textId="77777777" w:rsidR="0074761B" w:rsidRDefault="0074761B">
      <w:r>
        <w:t xml:space="preserve">The extension finds that topic disaggregation does not recover a predictive signal that aggregate sentiment fails to provide: EBM shows zero incremental AUROC and AUPRC when topic-sentiment features are added to the macro baseline. Shape function analysis </w:t>
      </w:r>
      <w:r>
        <w:lastRenderedPageBreak/>
        <w:t>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3ACD53C2" w14:textId="77777777" w:rsidR="0074761B" w:rsidRDefault="0074761B">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3ACD53C3" w14:textId="77777777" w:rsidR="0074761B" w:rsidRDefault="0074761B">
      <w:pPr>
        <w:rPr>
          <w:b/>
          <w:bCs/>
        </w:rPr>
      </w:pPr>
    </w:p>
    <w:p w14:paraId="3ACD53C4" w14:textId="77777777" w:rsidR="0074761B" w:rsidRDefault="0074761B">
      <w:r>
        <w:rPr>
          <w:b/>
          <w:bCs/>
        </w:rPr>
        <w:t>Proposed Extension 1 —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w:t>
      </w:r>
    </w:p>
    <w:p w14:paraId="3ACD53C5" w14:textId="77777777" w:rsidR="0074761B" w:rsidRDefault="0074761B">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3ACD53C6" w14:textId="77777777" w:rsidR="0074761B" w:rsidRDefault="0074761B">
      <w:r>
        <w:t>This extension directly addresses the core finding of this dissertation and would constitute the most substantive methodological advancement.</w:t>
      </w:r>
    </w:p>
    <w:p w14:paraId="3ACD53C7" w14:textId="77777777" w:rsidR="0074761B" w:rsidRDefault="0074761B">
      <w:pPr>
        <w:rPr>
          <w:b/>
          <w:bCs/>
        </w:rPr>
      </w:pPr>
    </w:p>
    <w:p w14:paraId="3ACD53C8" w14:textId="77777777" w:rsidR="0074761B" w:rsidRDefault="0074761B">
      <w:r>
        <w:rPr>
          <w:b/>
          <w:bCs/>
        </w:rPr>
        <w:t>Proposed Extension 2 —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w:t>
      </w:r>
      <w:r>
        <w:t xml:space="preserve"> and those exposed primarily through external transmission.</w:t>
      </w:r>
    </w:p>
    <w:p w14:paraId="3ACD53C9" w14:textId="77777777" w:rsidR="0074761B" w:rsidRDefault="0074761B">
      <w:r>
        <w:t>This extension requires substantial additional data collection and represents a more fundamental departure from the present modelling framework but would directly address the crisis heterogeneity limitation identified in Section 5.4.</w:t>
      </w:r>
    </w:p>
    <w:p w14:paraId="3ACD53CA" w14:textId="77777777" w:rsidR="0074761B" w:rsidRDefault="0074761B"/>
    <w:p w14:paraId="3ACD53CB" w14:textId="77777777" w:rsidR="0074761B" w:rsidRDefault="0074761B">
      <w:r>
        <w:pict w14:anchorId="3ACD54B4">
          <v:rect id="_x0000_i1065" style="width:0;height:1.5pt" o:hralign="center" o:bullet="t" o:hrstd="t" o:hr="t"/>
        </w:pict>
      </w:r>
    </w:p>
    <w:p w14:paraId="3ACD53CC" w14:textId="77777777" w:rsidR="0074761B" w:rsidRDefault="0074761B"/>
    <w:p w14:paraId="3ACD53CD" w14:textId="77777777" w:rsidR="0074761B" w:rsidRDefault="0074761B">
      <w:pPr>
        <w:pStyle w:val="Heading2"/>
      </w:pPr>
      <w:r>
        <w:t>5.8 Conclusion</w:t>
      </w:r>
    </w:p>
    <w:p w14:paraId="3ACD53CE" w14:textId="77777777" w:rsidR="0074761B" w:rsidRDefault="0074761B"/>
    <w:p w14:paraId="3ACD53CF" w14:textId="77777777" w:rsidR="0074761B" w:rsidRDefault="0074761B">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w:t>
      </w:r>
      <w:r>
        <w:t>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w:t>
      </w:r>
      <w:r>
        <w:t>e.</w:t>
      </w:r>
    </w:p>
    <w:p w14:paraId="3ACD53D0" w14:textId="77777777" w:rsidR="0074761B" w:rsidRDefault="0074761B"/>
    <w:p w14:paraId="3ACD53D1" w14:textId="77777777" w:rsidR="0074761B" w:rsidRDefault="0074761B">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w:t>
      </w:r>
      <w:r>
        <w:t>corporates regime-awareness as a first-class design principle rather than a post-hoc qualification.</w:t>
      </w:r>
    </w:p>
    <w:p w14:paraId="3ACD53D2" w14:textId="77777777" w:rsidR="0074761B" w:rsidRDefault="0074761B">
      <w:pPr>
        <w:rPr>
          <w:i/>
          <w:iCs/>
        </w:rPr>
      </w:pPr>
    </w:p>
    <w:p w14:paraId="3ACD53D3" w14:textId="77777777" w:rsidR="0074761B" w:rsidRDefault="0074761B">
      <w:r>
        <w:br w:type="page"/>
      </w:r>
    </w:p>
    <w:p w14:paraId="3ACD53D4" w14:textId="77777777" w:rsidR="005A6139" w:rsidRDefault="0074761B">
      <w:r>
        <w:lastRenderedPageBreak/>
        <w:br w:type="page"/>
      </w:r>
    </w:p>
    <w:p w14:paraId="3ACD53D5" w14:textId="77777777" w:rsidR="005A6139" w:rsidRDefault="0074761B">
      <w:pPr>
        <w:pStyle w:val="Heading1"/>
      </w:pPr>
      <w:r>
        <w:lastRenderedPageBreak/>
        <w:t>Chapter 6: Conclusions and Recommendations</w:t>
      </w:r>
    </w:p>
    <w:p w14:paraId="3ACD53D6" w14:textId="77777777" w:rsidR="005A6139" w:rsidRDefault="0074761B">
      <w:pPr>
        <w:pStyle w:val="FirstParagraph"/>
      </w:pPr>
      <w:r>
        <w:rPr>
          <w:i/>
          <w:iCs/>
        </w:rPr>
        <w:t>Economic Crisis Prediction: Improving the Trade-off Between Interpretability and Statistical Accuracy in ML-Enhanced Crisis Prediction Models</w:t>
      </w:r>
    </w:p>
    <w:p w14:paraId="3ACD53D7" w14:textId="77777777" w:rsidR="005A6139" w:rsidRDefault="0074761B">
      <w:pPr>
        <w:pStyle w:val="BodyText"/>
      </w:pPr>
      <w:r>
        <w:t>Pavlos Papachristos • PP24589 • MSc Artificial Intelligence, University of Essex Online • April 2026</w:t>
      </w:r>
    </w:p>
    <w:p w14:paraId="3ACD53D8" w14:textId="77777777" w:rsidR="005A6139" w:rsidRDefault="0074761B">
      <w:r>
        <w:pict w14:anchorId="3ACD54B5">
          <v:rect id="_x0000_i1066" style="width:0;height:1.5pt" o:hralign="center" o:hrstd="t" o:hr="t"/>
        </w:pict>
      </w:r>
    </w:p>
    <w:p w14:paraId="3ACD53D9" w14:textId="77777777" w:rsidR="005A6139" w:rsidRDefault="0074761B">
      <w:pPr>
        <w:pStyle w:val="Heading2"/>
      </w:pPr>
      <w:r>
        <w:t>6.1 Summary of the Research</w:t>
      </w:r>
    </w:p>
    <w:p w14:paraId="3ACD53DA" w14:textId="77777777" w:rsidR="005A6139" w:rsidRDefault="0074761B">
      <w:pPr>
        <w:pStyle w:val="FirstParagraph"/>
      </w:pPr>
      <w:r>
        <w:t>This dissertation investigated whether, and under what conditions, machine learning-based early-warning systems for banking crises achieve genuinely prospective predictive performance, and aimed to characterise the structural conditions under which their generalisation fails. The research was motivated by a gap in the existing literature: while machine learning methods have been shown to outperform logistic regression within standard expanding-window cross-validation designs (Beutel, List and von Schweinitz</w:t>
      </w:r>
      <w:r>
        <w:t>, 2019), the reliability of these improvements under genuinely prospective validation — and the mechanism by which they break down — remained incompletely understood.</w:t>
      </w:r>
    </w:p>
    <w:p w14:paraId="3ACD53DB" w14:textId="77777777" w:rsidR="005A6139" w:rsidRDefault="0074761B">
      <w:pPr>
        <w:pStyle w:val="BodyText"/>
      </w:pPr>
      <w:r>
        <w:t>The analysis pursued three research questions simultaneously. The first was whether extending macro training history across multiple pre-GFC crisis episodes resolves the generalisation failure observed when models are trained exclusively on GFC-era data. The second was whether FinBERT-derived central bank speech sentiment provides a stable and generalisable complementary signal beyond the macro baseline. The third was whether interpretable non-linear models offer a practical advantage over black-box alterna</w:t>
      </w:r>
      <w:r>
        <w:t>tives — not only in terms of transparency but in the specific capability to make the failure mechanism directly visible.</w:t>
      </w:r>
    </w:p>
    <w:p w14:paraId="3ACD53DC" w14:textId="77777777" w:rsidR="005A6139" w:rsidRDefault="0074761B">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w:t>
      </w:r>
      <w:r>
        <w:t>velopment.</w:t>
      </w:r>
    </w:p>
    <w:p w14:paraId="3ACD53DD" w14:textId="77777777" w:rsidR="005A6139" w:rsidRDefault="0074761B">
      <w:r>
        <w:pict w14:anchorId="3ACD54B6">
          <v:rect id="_x0000_i1067" style="width:0;height:1.5pt" o:hralign="center" o:hrstd="t" o:hr="t"/>
        </w:pict>
      </w:r>
    </w:p>
    <w:p w14:paraId="3ACD53DE" w14:textId="77777777" w:rsidR="005A6139" w:rsidRDefault="0074761B">
      <w:pPr>
        <w:pStyle w:val="Heading2"/>
      </w:pPr>
      <w:r>
        <w:t>6.2 Principal Conclusions</w:t>
      </w:r>
    </w:p>
    <w:p w14:paraId="3ACD53DF" w14:textId="77777777" w:rsidR="005A6139" w:rsidRDefault="0074761B">
      <w:pPr>
        <w:pStyle w:val="Heading3"/>
      </w:pPr>
      <w:r>
        <w:t>6.2.1 Extending Training History Does Not Resolve the Generalisation Problem</w:t>
      </w:r>
    </w:p>
    <w:p w14:paraId="3ACD53E0" w14:textId="77777777" w:rsidR="005A6139" w:rsidRDefault="0074761B">
      <w:pPr>
        <w:pStyle w:val="FirstParagraph"/>
      </w:pPr>
      <w:r>
        <w:t>The first and most important conclusion is that the prospective failure of macro-based EWS is not an artefact of insufficient training data. M2 (Random Forest), trained on the extended 1989–2020 panel spanning the Nordic crisis cluster, Japan 1997, and a range of further pre-GFC episodes, achieves AUROC 0.481 in Split B strict temporal validation — below the random classifier threshold — when evaluated on the 2003–2011 GFC period. This result extends the finding of the original analysis and establishes that</w:t>
      </w:r>
      <w:r>
        <w:t xml:space="preserve"> adding fifteen additional years of crisis history, including structurally diverse episodes, does not produce a model that generalises prospectively to the GFC. The regime discontinuity between pre-GFC crisis types and the GFC credit-cycle dynamics is too large for the aggregate macro features used in this study to bridge, even after extending the training window by fifteen years.</w:t>
      </w:r>
    </w:p>
    <w:p w14:paraId="3ACD53E1" w14:textId="77777777" w:rsidR="005A6139" w:rsidRDefault="0074761B">
      <w:pPr>
        <w:pStyle w:val="BodyText"/>
      </w:pPr>
      <w:r>
        <w:lastRenderedPageBreak/>
        <w:t>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p w14:paraId="3ACD53E2" w14:textId="77777777" w:rsidR="005A6139" w:rsidRDefault="0074761B">
      <w:pPr>
        <w:pStyle w:val="Heading3"/>
      </w:pPr>
      <w:r>
        <w:t>6.2.2 The Interpretability-Accuracy Trade-off Is Not Binary</w:t>
      </w:r>
    </w:p>
    <w:p w14:paraId="3ACD53E3" w14:textId="77777777" w:rsidR="005A6139" w:rsidRDefault="0074761B">
      <w:pPr>
        <w:pStyle w:val="FirstParagraph"/>
      </w:pPr>
      <w:r>
        <w:t>The second principal conclusion concerns the interpretability-accuracy trade-off that motivates the dissertation’s central hypothesis. Within the expanding-window evaluation setting, M2.5 (EBM) achieves higher point estimates on both AUROC (0.753 versus M2’s 0.636 at Stage 1) and AUPRC (0.532 versus M3’s 0.411 at Stage 2) while providing natively interpretable shape functions that require no post-hoc attribution. This finding demonstrates that within the non-linear model class, the interpretability-accuracy</w:t>
      </w:r>
      <w:r>
        <w:t xml:space="preserve"> trade-off is not binary: an interpretable model can appear to outperform its black-box counterparts on standard evaluation metrics within the same evaluation framework.</w:t>
      </w:r>
    </w:p>
    <w:p w14:paraId="3ACD53E4" w14:textId="77777777" w:rsidR="005A6139" w:rsidRDefault="0074761B">
      <w:pPr>
        <w:pStyle w:val="BodyText"/>
      </w:pPr>
      <w:r>
        <w:t>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w:t>
      </w:r>
      <w:r>
        <w:t>,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w:t>
      </w:r>
      <w:r>
        <w:t>n the regime changes.</w:t>
      </w:r>
    </w:p>
    <w:p w14:paraId="3ACD53E5" w14:textId="77777777" w:rsidR="005A6139" w:rsidRDefault="0074761B">
      <w:pPr>
        <w:pStyle w:val="Heading3"/>
      </w:pPr>
      <w:r>
        <w:t>6.2.3 EBM Shape Functions Make the Failure Mechanism Directly Visible</w:t>
      </w:r>
    </w:p>
    <w:p w14:paraId="3ACD53E6" w14:textId="77777777" w:rsidR="005A6139" w:rsidRDefault="0074761B">
      <w:pPr>
        <w:pStyle w:val="FirstParagraph"/>
      </w:pPr>
      <w:r>
        <w:t>The third principal conclusion is the dissertation’s most theoretically significant contribution. Because EBM’s shape functions are the model itself rather than post-hoc approximations, the instability observed in those functions when models are trained on disjoint sub-periods is a direct property of the fitted model rather than an artefact of an attribution tool, and provides evidence of instability in the underlying data-generating process. The comparison of pre-GFC (2003–2006) and GFC-inclusive (2003–201</w:t>
      </w:r>
      <w:r>
        <w:t>0) shape functions for term spread and credit across all three lag horizons reveals qualitatively distinct mappings — not merely scaled versions — with the most pronounced instability at term_spread_lag3, the highest-ranked EBM feature by native importance (1.717). The two shape curves cross at lag three: the same feature value is associated with reduced crisis risk under one regime-specific representation and increased risk under the other.</w:t>
      </w:r>
    </w:p>
    <w:p w14:paraId="3ACD53E7" w14:textId="77777777" w:rsidR="005A6139" w:rsidRDefault="0074761B">
      <w:pPr>
        <w:pStyle w:val="BodyText"/>
      </w:pPr>
      <w:r>
        <w:t>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w:t>
      </w:r>
      <w:r>
        <w:t xml:space="preserve"> This places banking crisis prediction within </w:t>
      </w:r>
      <w:r>
        <w:lastRenderedPageBreak/>
        <w:t>the broader class of non-stationary machine learning problems under distribution shift, where models trained on historical data cannot reliably extrapolate to future states drawn from a different underlying process.</w:t>
      </w:r>
    </w:p>
    <w:p w14:paraId="3ACD53E8" w14:textId="77777777" w:rsidR="005A6139" w:rsidRDefault="0074761B">
      <w:pPr>
        <w:pStyle w:val="Heading3"/>
      </w:pPr>
      <w:r>
        <w:t>6.2.4 Sentiment Augmentation Contributes a Directional but Unstable Signal</w:t>
      </w:r>
    </w:p>
    <w:p w14:paraId="3ACD53E9" w14:textId="77777777" w:rsidR="005A6139" w:rsidRDefault="0074761B">
      <w:pPr>
        <w:pStyle w:val="FirstParagraph"/>
      </w:pPr>
      <w:r>
        <w:t>The fourth conclusion concerns the role of FinBERT-derived central bank speech sentiment. Within the Stage 2 cross-sectional evaluation, M3 achieves AUPRC 0.411 against M2-matched’s 0.343 — a directional gain of 6.8 percentage points. However, the bootstrap 95 per cent confidence interval spans zero, all auxiliary statistical tests (Granger causality, panel logistic regression) find no significant relationship between sentiment and crisis outcomes, and the EBM benchmark demonstrates that an interpretable ma</w:t>
      </w:r>
      <w:r>
        <w:t>cro-only model appears to achieve higher AUPRC (0.532) than M3 without any sentiment information. The observed M3 advantage over M2-matched cannot be attributed to a stable sentiment signal with confidence: Stage 2 performance differences are at least as sensitive to model class as to the sentiment feature extension, since EBM and XGBoost also differ in regularisation, interaction handling, and calibration behaviour — meaning the design cannot cleanly isolate the independent contribution of sentiment.</w:t>
      </w:r>
    </w:p>
    <w:p w14:paraId="3ACD53EA" w14:textId="77777777" w:rsidR="005A6139" w:rsidRDefault="0074761B">
      <w:pPr>
        <w:pStyle w:val="BodyText"/>
      </w:pPr>
      <w:r>
        <w:t>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significant (p = 0.103). Taken together, the evidence characterises sentiment as a directional but unstable episode-specific pattern rather than a generalisab</w:t>
      </w:r>
      <w:r>
        <w:t>le predictive channel.</w:t>
      </w:r>
    </w:p>
    <w:p w14:paraId="3ACD53EB" w14:textId="77777777" w:rsidR="005A6139" w:rsidRDefault="0074761B">
      <w:pPr>
        <w:pStyle w:val="Heading3"/>
      </w:pPr>
      <w:r>
        <w:t>6.2.5 Ensemble Averaging Provides Calibration Benefits Under Single-Episode Constraints</w:t>
      </w:r>
    </w:p>
    <w:p w14:paraId="3ACD53EC" w14:textId="77777777" w:rsidR="005A6139" w:rsidRDefault="0074761B">
      <w:pPr>
        <w:pStyle w:val="FirstParagraph"/>
      </w:pPr>
      <w:r>
        <w:t>The fifth conclusion concerns the ensemble extension. E1-EBM (M2-matched + EBM) achieves Brier Score 0.056 — the lowest Brier Score and therefore the best global probability accuracy of any Stage 2 configuration — and AUROC 0.955. The model disagreement analysis confirms the Holopainen and Sarlin (2017) motivation: mean absolute disagreement between M2-matched and EBM is 2.8 times higher at crisis observations than at non-crisis observations (0.348 versus 0.125), meaning the ensemble’s stabilising effect is</w:t>
      </w:r>
      <w:r>
        <w:t xml:space="preserve"> strongest precisely where individual model uncertainty is highest. The ensemble gain is concentrated in calibration and AUROC rather than AUPRC, as averaging with M2-matched pulls the combined precision-recall performance below EBM’s individual level. All ensemble results are conditioned on the single-episode GFC evaluation setting and should not be interpreted as evidence of prospective reliability.</w:t>
      </w:r>
    </w:p>
    <w:p w14:paraId="3ACD53ED" w14:textId="77777777" w:rsidR="005A6139" w:rsidRDefault="0074761B">
      <w:r>
        <w:pict w14:anchorId="3ACD54B7">
          <v:rect id="_x0000_i1068" style="width:0;height:1.5pt" o:hralign="center" o:hrstd="t" o:hr="t"/>
        </w:pict>
      </w:r>
    </w:p>
    <w:p w14:paraId="3ACD53EE" w14:textId="77777777" w:rsidR="005A6139" w:rsidRDefault="0074761B">
      <w:pPr>
        <w:pStyle w:val="Heading2"/>
      </w:pPr>
      <w:r>
        <w:t>6.3 Practical Recommendations</w:t>
      </w:r>
    </w:p>
    <w:p w14:paraId="3ACD53EF" w14:textId="77777777" w:rsidR="005A6139" w:rsidRDefault="0074761B">
      <w:pPr>
        <w:pStyle w:val="FirstParagraph"/>
      </w:pPr>
      <w:r>
        <w:t>Four practical recommendations follow from the conclusions above, addressed to practitioners and researchers involved in the design and deployment of financial early-warning systems.</w:t>
      </w:r>
    </w:p>
    <w:p w14:paraId="3ACD53F0" w14:textId="77777777" w:rsidR="005A6139" w:rsidRDefault="0074761B">
      <w:pPr>
        <w:pStyle w:val="BodyText"/>
      </w:pPr>
      <w:r>
        <w:rPr>
          <w:b/>
          <w:bCs/>
        </w:rPr>
        <w:t>Recommendation 1: Prospective validation across crisis regimes must be a mandatory evaluation step.</w:t>
      </w:r>
      <w:r>
        <w:t xml:space="preserve"> Expanding-window cross-validation metrics substantially overstate the prospective predictive power of EWS models when the evaluation dataset is dominated by a single crisis episode. Practitioners and researchers should treat strict temporal validation — training exclusively on pre-crisis data and evaluating on a subsequent crisis episode — as a </w:t>
      </w:r>
      <w:r>
        <w:lastRenderedPageBreak/>
        <w:t>mandatory component of EWS evaluation rather than an optional robustness check. Models that achieve high expanding-window metrics but fail strict temporal validatio</w:t>
      </w:r>
      <w:r>
        <w:t>n should not be characterised as predictively useful without explicit disclosure of this limitation.</w:t>
      </w:r>
    </w:p>
    <w:p w14:paraId="3ACD53F1" w14:textId="77777777" w:rsidR="005A6139" w:rsidRDefault="0074761B">
      <w:pPr>
        <w:pStyle w:val="BodyText"/>
      </w:pPr>
      <w:r>
        <w:rPr>
          <w:b/>
          <w:bCs/>
        </w:rPr>
        <w:t>Recommendation 2: Interpretable non-linear models should be preferred for regime stability diagnosis.</w:t>
      </w:r>
      <w:r>
        <w:t xml:space="preserve"> EBM’s shape function analysis provides a capability that black-box models with post-hoc attribution can only approximate: direct, model-native observation of whether the learned feature-risk mapping is regime-stable. Supervisory authorities and central banks that maintain EWS models should consider incorporating EBM or similar inherently interpretable non-linear models — not as a substitute for higher-performing black-box models, but as a diagnostic tool that reveals when the model’s learned mapping no lon</w:t>
      </w:r>
      <w:r>
        <w:t>ger accurately reflects the current economic environment. This is a capability with direct regulatory value in model risk management frameworks.</w:t>
      </w:r>
    </w:p>
    <w:p w14:paraId="3ACD53F2" w14:textId="77777777" w:rsidR="005A6139" w:rsidRDefault="0074761B">
      <w:pPr>
        <w:pStyle w:val="BodyText"/>
      </w:pPr>
      <w:r>
        <w:rPr>
          <w:b/>
          <w:bCs/>
        </w:rPr>
        <w:t>Recommendation 3: Ensemble averaging should be considered as a calibration-oriented output mechanism.</w:t>
      </w:r>
      <w:r>
        <w:t xml:space="preserve"> When individual EWS models cannot be definitively ranked on prospective performance — as is the case when the evaluation dataset contains only a single crisis episode — equal-weighted ensemble averaging provides a more reliable probability estimate than any single component model, as measured by Brier Score. An operational EWS that must assign probability thresholds for policy review may prefer the ensemble’s lower-Brier outputs, subject to validation across additional crisis episodes. The ensemble design </w:t>
      </w:r>
      <w:r>
        <w:t>should use equal weights derived independently of the OOS evaluation pool to avoid circular weight selection.</w:t>
      </w:r>
    </w:p>
    <w:p w14:paraId="3ACD53F3" w14:textId="77777777" w:rsidR="005A6139" w:rsidRDefault="0074761B">
      <w:pPr>
        <w:pStyle w:val="BodyText"/>
      </w:pPr>
      <w:r>
        <w:rPr>
          <w:b/>
          <w:bCs/>
        </w:rPr>
        <w:t>Recommendation 4: Sentiment augmentation requires multi-episode validation before operational deployment.</w:t>
      </w:r>
      <w:r>
        <w:t xml:space="preserve"> The directional AUPRC gain from FinBERT sentiment in Stage 2 cannot be taken as evidence of a stable and generalisable predictive channel. The signal is episode-specific, statistically unconfirmed, and partially attributable to algorithm non-linearity rather than sentiment content. Before incorporating central bank speech sentiment into an operational EWS, practitioners should validate the sentiment channel across at least two structurally distinct crisis episodes and confirm that the signal remains signif</w:t>
      </w:r>
      <w:r>
        <w:t>icant after controlling for algorithm effects. Topic-specific text features, as proposed by Ho, Moench and Steeley (2022), are likely to provide more stable signals than aggregate sentiment polarity and represent a more promising avenue for operational development.</w:t>
      </w:r>
    </w:p>
    <w:p w14:paraId="3ACD53F4" w14:textId="77777777" w:rsidR="005A6139" w:rsidRDefault="0074761B">
      <w:r>
        <w:pict w14:anchorId="3ACD54B8">
          <v:rect id="_x0000_i1069" style="width:0;height:1.5pt" o:hralign="center" o:hrstd="t" o:hr="t"/>
        </w:pict>
      </w:r>
    </w:p>
    <w:p w14:paraId="3ACD53F5" w14:textId="77777777" w:rsidR="005A6139" w:rsidRDefault="0074761B">
      <w:pPr>
        <w:pStyle w:val="Heading2"/>
      </w:pPr>
      <w:r>
        <w:t>6.4 Contribution to the MSc in Artificial Intelligence</w:t>
      </w:r>
    </w:p>
    <w:p w14:paraId="3ACD53F6" w14:textId="77777777" w:rsidR="005A6139" w:rsidRDefault="0074761B">
      <w:pPr>
        <w:pStyle w:val="FirstParagraph"/>
      </w:pPr>
      <w:r>
        <w:t>The project contributes to the MSc in Artificial Intelligence learning outcomes across four dimensions.</w:t>
      </w:r>
    </w:p>
    <w:p w14:paraId="3ACD53F7" w14:textId="77777777" w:rsidR="005A6139" w:rsidRDefault="0074761B">
      <w:pPr>
        <w:pStyle w:val="BodyText"/>
      </w:pPr>
      <w:r>
        <w:rPr>
          <w:b/>
          <w:bCs/>
        </w:rPr>
        <w:t>Technical AI and ML implementation.</w:t>
      </w:r>
      <w:r>
        <w:t xml:space="preserve"> The project implements three distinct machine learning model classes — gradient-boosted trees (XGBoost), ensemble methods (Random Forest), and gradient-boosted generalised additive models (EBM) — alongside a transformer-based NLP pipeline (FinBERT). The EBM implementation requires engagement with an advanced interpretability-first model architecture and the interpret package API. The full pipeline spans ten Jupyter notebooks covering data ingestion, NLP inference, feature engineering, model training, robus</w:t>
      </w:r>
      <w:r>
        <w:t>tness validation, and ensemble construction.</w:t>
      </w:r>
    </w:p>
    <w:p w14:paraId="3ACD53F8" w14:textId="77777777" w:rsidR="005A6139" w:rsidRDefault="0074761B">
      <w:pPr>
        <w:pStyle w:val="BodyText"/>
      </w:pPr>
      <w:r>
        <w:rPr>
          <w:b/>
          <w:bCs/>
        </w:rPr>
        <w:t>Critical evaluation of AI systems.</w:t>
      </w:r>
      <w:r>
        <w:t xml:space="preserve"> The dissertation’s central contribution is a critical evaluation of the conditions under which ML-based prediction systems fail under distribution shift. The strict temporal validation design, the shape function instability analysis, and the </w:t>
      </w:r>
      <w:r>
        <w:lastRenderedPageBreak/>
        <w:t>reconciliation of high in-sample performance with prospective collapse all demonstrate the ability to evaluate AI systems rigorously rather than accept benchmark metrics at face value. This critical orientation is directly relevant to responsible AI practice in high-st</w:t>
      </w:r>
      <w:r>
        <w:t>akes domains.</w:t>
      </w:r>
    </w:p>
    <w:p w14:paraId="3ACD53F9" w14:textId="77777777" w:rsidR="005A6139" w:rsidRDefault="0074761B">
      <w:pPr>
        <w:pStyle w:val="BodyText"/>
      </w:pPr>
      <w:r>
        <w:rPr>
          <w:b/>
          <w:bCs/>
        </w:rPr>
        <w:t>Research methodology and academic communication.</w:t>
      </w:r>
      <w:r>
        <w:t xml:space="preserve"> The dissertation applies expanding-window cross-validation, bootstrap confidence interval estimation, Granger causality testing, panel logistic regression, SHAP attribution, and EBM shape function analysis — a broad quantitative toolkit appropriate for advanced applied AI research. The explicit acknowledgement of evaluation bias, the honest reporting of negative results (prospective failure of all models), and the careful qualification of all performance claims reflect the professional standards required o</w:t>
      </w:r>
      <w:r>
        <w:t>f AI practitioners in regulated domains.</w:t>
      </w:r>
    </w:p>
    <w:p w14:paraId="3ACD53FA" w14:textId="77777777" w:rsidR="005A6139" w:rsidRDefault="0074761B">
      <w:pPr>
        <w:pStyle w:val="BodyText"/>
      </w:pPr>
      <w:r>
        <w:rPr>
          <w:b/>
          <w:bCs/>
        </w:rPr>
        <w:t>Ethical and professional responsibility.</w:t>
      </w:r>
      <w:r>
        <w:t xml:space="preserve"> The research uses exclusively publicly available secondary data, obtained informed ethical review clearance, and makes the full pipeline publicly available through the project GitHub repository at </w:t>
      </w:r>
      <w:hyperlink>
        <w:r>
          <w:rPr>
            <w:rStyle w:val="Hyperlink"/>
          </w:rPr>
          <w:t>https://github.com/spike2025-art/eportfolio-uoe/tree/main</w:t>
        </w:r>
      </w:hyperlink>
      <w:r>
        <w:t xml:space="preserve">. The ePortfolio at </w:t>
      </w:r>
      <w:hyperlink>
        <w:r>
          <w:rPr>
            <w:rStyle w:val="Hyperlink"/>
          </w:rPr>
          <w:t>https://spike2025-art.github.io/eportfolio-uoe/</w:t>
        </w:r>
      </w:hyperlink>
      <w:r>
        <w:t xml:space="preserve"> documents the project’s development and situates it within the broader MSc learning journey. The commitment to reproducibility — fixed random seeds, documented software environments, public code — reflects the open science principles increasingly required of AI research in academic and professional contexts.</w:t>
      </w:r>
    </w:p>
    <w:p w14:paraId="3ACD53FB" w14:textId="77777777" w:rsidR="005A6139" w:rsidRDefault="0074761B">
      <w:r>
        <w:pict w14:anchorId="3ACD54B9">
          <v:rect id="_x0000_i1070" style="width:0;height:1.5pt" o:hralign="center" o:hrstd="t" o:hr="t"/>
        </w:pict>
      </w:r>
    </w:p>
    <w:p w14:paraId="3ACD53FC" w14:textId="77777777" w:rsidR="005A6139" w:rsidRDefault="0074761B">
      <w:pPr>
        <w:pStyle w:val="Heading2"/>
      </w:pPr>
      <w:r>
        <w:t>6.5 Extensions and Future Development</w:t>
      </w:r>
    </w:p>
    <w:p w14:paraId="3ACD53FD" w14:textId="77777777" w:rsidR="005A6139" w:rsidRDefault="0074761B">
      <w:pPr>
        <w:pStyle w:val="FirstParagraph"/>
      </w:pPr>
      <w:r>
        <w:t>The completed extension and two proposed extensions identified in Chapter 5 are consolidated here. The completed extension is included because it extends the primary model sequence and helps contextualise the remaining research agenda.</w:t>
      </w:r>
    </w:p>
    <w:p w14:paraId="3ACD53FE" w14:textId="77777777" w:rsidR="005A6139" w:rsidRDefault="0074761B">
      <w:pPr>
        <w:spacing w:before="120" w:after="120"/>
      </w:pPr>
      <w:r>
        <w:rPr>
          <w:b/>
        </w:rPr>
        <w:t xml:space="preserve">Completed Extension — Topic-specific textual features (NB10C). </w:t>
      </w:r>
      <w:r>
        <w:t>This extension has been implemented and its results are reported in Chapter 5 (Section 5.7) and Appendix A. Replacing generic FinBERT polarity scores with topic-disaggregated sentiment signals, it uses a keyword taxonomy to assign the 16,622 BIS speeches to three topic domains — credit conditions, monetary policy, and corporate sector — and computes FinBERT negative sentiment scores within each domain at lags one through three years, generating nine additional features. The extension finds that topic disagg</w:t>
      </w:r>
      <w:r>
        <w:t xml:space="preserve">regation does not recover a predictive signal that aggregate sentiment fails to provide: EBM shows zero incremental AUROC and AUPRC when topic-sentiment features are added to the macro baseline, and shape function analysis confirms that topic-sentiment features exhibit qualitative non-stationarity consistent with the macro findings of Section 4.7.3. These results strengthen the dissertation’s central argument: regime instability is a property of the crisis-generating process that operates across both macro </w:t>
      </w:r>
      <w:r>
        <w:t>and textual feature classes, and finer-grained sentiment construction does not resolve the generalisation limitation.</w:t>
      </w:r>
    </w:p>
    <w:p w14:paraId="3ACD53FF" w14:textId="77777777" w:rsidR="005A6139" w:rsidRDefault="0074761B">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w:t>
      </w:r>
      <w:r>
        <w:t xml:space="preserve"> — would directly address the core </w:t>
      </w:r>
      <w:r>
        <w:lastRenderedPageBreak/>
        <w:t>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14:paraId="3ACD5400" w14:textId="77777777" w:rsidR="005A6139" w:rsidRDefault="0074761B">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w:t>
      </w:r>
      <w:r>
        <w:t>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3ACD5401" w14:textId="77777777" w:rsidR="005A6139" w:rsidRDefault="0074761B">
      <w:r>
        <w:pict w14:anchorId="3ACD54BA">
          <v:rect id="_x0000_i1071" style="width:0;height:1.5pt" o:hralign="center" o:hrstd="t" o:hr="t"/>
        </w:pict>
      </w:r>
    </w:p>
    <w:p w14:paraId="3ACD5402" w14:textId="77777777" w:rsidR="005A6139" w:rsidRDefault="0074761B">
      <w:pPr>
        <w:pStyle w:val="Heading2"/>
      </w:pPr>
      <w:r>
        <w:t>6.6 Final Reflection</w:t>
      </w:r>
    </w:p>
    <w:p w14:paraId="3ACD5403" w14:textId="77777777" w:rsidR="005A6139" w:rsidRDefault="0074761B">
      <w:pPr>
        <w:pStyle w:val="FirstParagraph"/>
      </w:pPr>
      <w:r>
        <w:t>This dissertation began with a model comparison question — does sentiment augmentation improve crisis prediction? — and ended with a theoretical contribution about the structural limits of predictive modelling under distribution shift. The journey between those two points was driven by a methodological commitment to honest evaluation: reporting what the models actually achieve under genuinely prospective conditions, not what they appear to achieve within evaluation frameworks that favour in-sample over out-</w:t>
      </w:r>
      <w:r>
        <w:t>of-sample performance.</w:t>
      </w:r>
    </w:p>
    <w:p w14:paraId="3ACD5404" w14:textId="77777777" w:rsidR="005A6139" w:rsidRDefault="0074761B">
      <w:pPr>
        <w:pStyle w:val="BodyText"/>
      </w:pPr>
      <w:r>
        <w:t>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w:t>
      </w:r>
      <w:r>
        <w:t>presentation becomes a misrepresentation. EBM’s contribution is to make this misrepresentation visible: its shape functions show, in the language of log-odds, exactly how the model’s understanding of the world differs from the world it is being asked to predict.</w:t>
      </w:r>
    </w:p>
    <w:p w14:paraId="3ACD5405" w14:textId="77777777" w:rsidR="005A6139" w:rsidRDefault="0074761B">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w:t>
      </w:r>
      <w:r>
        <w:t xml:space="preserve"> the accuracy of the models it produces, but in the quality of the understanding it provides — understanding that is essential for responsible AI deployment in environments where the cost of a missed warning is measured in years of economic recovery.</w:t>
      </w:r>
    </w:p>
    <w:p w14:paraId="3ACD5406" w14:textId="77777777" w:rsidR="005A6139" w:rsidRDefault="0074761B">
      <w:r>
        <w:pict w14:anchorId="3ACD54BB">
          <v:rect id="_x0000_i1072" style="width:0;height:1.5pt" o:hralign="center" o:hrstd="t" o:hr="t"/>
        </w:pict>
      </w:r>
    </w:p>
    <w:p w14:paraId="3ACD5407" w14:textId="77777777" w:rsidR="005A6139" w:rsidRDefault="0074761B">
      <w:r>
        <w:br w:type="page"/>
      </w:r>
    </w:p>
    <w:p w14:paraId="3ACD5408" w14:textId="77777777" w:rsidR="005A6139" w:rsidRDefault="0074761B">
      <w:r>
        <w:lastRenderedPageBreak/>
        <w:br w:type="page"/>
      </w:r>
    </w:p>
    <w:p w14:paraId="3ACD5409" w14:textId="77777777" w:rsidR="005A6139" w:rsidRDefault="0074761B">
      <w:pPr>
        <w:spacing w:after="240"/>
      </w:pPr>
      <w:r>
        <w:rPr>
          <w:b/>
          <w:color w:val="1F4E79"/>
          <w:sz w:val="28"/>
        </w:rPr>
        <w:lastRenderedPageBreak/>
        <w:t>References</w:t>
      </w:r>
    </w:p>
    <w:p w14:paraId="3ACD540A" w14:textId="77777777" w:rsidR="005A6139" w:rsidRDefault="0074761B">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3ACD540B" w14:textId="77777777" w:rsidR="005A6139" w:rsidRDefault="0074761B">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3ACD540C" w14:textId="77777777" w:rsidR="005A6139" w:rsidRDefault="0074761B">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3ACD540D" w14:textId="77777777" w:rsidR="005A6139" w:rsidRDefault="0074761B">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3ACD540E" w14:textId="77777777" w:rsidR="005A6139" w:rsidRDefault="0074761B">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3ACD540F" w14:textId="77777777" w:rsidR="005A6139" w:rsidRDefault="0074761B">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3ACD5410" w14:textId="77777777" w:rsidR="005A6139" w:rsidRDefault="0074761B">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3ACD5411" w14:textId="77777777" w:rsidR="005A6139" w:rsidRDefault="0074761B">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3ACD5412" w14:textId="77777777" w:rsidR="005A6139" w:rsidRDefault="0074761B">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3ACD5413" w14:textId="77777777" w:rsidR="005A6139" w:rsidRDefault="0074761B">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3ACD5414" w14:textId="77777777" w:rsidR="005A6139" w:rsidRDefault="0074761B">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3ACD5415" w14:textId="77777777" w:rsidR="005A6139" w:rsidRDefault="0074761B">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3ACD5416" w14:textId="77777777" w:rsidR="005A6139" w:rsidRDefault="0074761B">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3ACD5417" w14:textId="77777777" w:rsidR="005A6139" w:rsidRDefault="0074761B">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3ACD5418" w14:textId="77777777" w:rsidR="005A6139" w:rsidRDefault="0074761B">
      <w:pPr>
        <w:spacing w:after="100"/>
        <w:ind w:left="720" w:hanging="720"/>
      </w:pPr>
      <w:r>
        <w:rPr>
          <w:sz w:val="22"/>
        </w:rPr>
        <w:t xml:space="preserve">Obstfeld, M. (1996) 'Models of currency crises with self-fulfilling features', </w:t>
      </w:r>
      <w:r>
        <w:rPr>
          <w:i/>
          <w:sz w:val="22"/>
        </w:rPr>
        <w:t>European Economic Review</w:t>
      </w:r>
      <w:r>
        <w:rPr>
          <w:sz w:val="22"/>
        </w:rPr>
        <w:t>, 40(3–5), pp. 1037–1047.</w:t>
      </w:r>
    </w:p>
    <w:p w14:paraId="3ACD5419" w14:textId="77777777" w:rsidR="005A6139" w:rsidRDefault="0074761B">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3ACD541A" w14:textId="77777777" w:rsidR="005A6139" w:rsidRDefault="0074761B">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3ACD541B" w14:textId="77777777" w:rsidR="005A6139" w:rsidRDefault="0074761B">
      <w:pPr>
        <w:spacing w:after="100"/>
        <w:ind w:left="720" w:hanging="720"/>
      </w:pPr>
      <w:r>
        <w:rPr>
          <w:sz w:val="22"/>
        </w:rPr>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3ACD541C" w14:textId="77777777" w:rsidR="005A6139" w:rsidRDefault="0074761B">
      <w:r>
        <w:br w:type="page"/>
      </w:r>
    </w:p>
    <w:p w14:paraId="3ACD541D" w14:textId="77777777" w:rsidR="005A6139" w:rsidRDefault="0074761B">
      <w:pPr>
        <w:pStyle w:val="Heading1"/>
        <w:spacing w:before="240" w:after="120"/>
      </w:pPr>
      <w:r>
        <w:rPr>
          <w:color w:val="2E75B6"/>
          <w:sz w:val="32"/>
        </w:rPr>
        <w:lastRenderedPageBreak/>
        <w:t>Appendix A: Supplementary Figures</w:t>
      </w:r>
    </w:p>
    <w:p w14:paraId="3ACD541E" w14:textId="77777777" w:rsidR="005A6139" w:rsidRDefault="0074761B">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3ACD541F" w14:textId="77777777" w:rsidR="005A6139" w:rsidRDefault="0074761B">
      <w:pPr>
        <w:pStyle w:val="Heading2"/>
        <w:spacing w:before="200" w:after="80"/>
      </w:pPr>
      <w:r>
        <w:rPr>
          <w:color w:val="2E75B6"/>
          <w:sz w:val="24"/>
        </w:rPr>
        <w:t>A.1  Dataset and Crisis Distribution</w:t>
      </w:r>
    </w:p>
    <w:p w14:paraId="3ACD5420" w14:textId="77777777" w:rsidR="005A6139" w:rsidRDefault="0074761B">
      <w:pPr>
        <w:spacing w:before="120" w:after="60"/>
        <w:jc w:val="center"/>
      </w:pPr>
      <w:r>
        <w:rPr>
          <w:noProof/>
        </w:rPr>
        <w:drawing>
          <wp:inline distT="0" distB="0" distL="0" distR="0" wp14:anchorId="3ACD54BC" wp14:editId="3ACD54BD">
            <wp:extent cx="5486400" cy="1918266"/>
            <wp:effectExtent l="0" t="0" r="0" b="0"/>
            <wp:docPr id="444175633" name="Picture 44417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3ACD5421" w14:textId="77777777" w:rsidR="005A6139" w:rsidRDefault="0074761B">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3ACD5422" w14:textId="77777777" w:rsidR="005A6139" w:rsidRDefault="0074761B">
      <w:pPr>
        <w:pStyle w:val="Heading2"/>
        <w:spacing w:before="200" w:after="80"/>
      </w:pPr>
      <w:r>
        <w:rPr>
          <w:color w:val="2E75B6"/>
          <w:sz w:val="24"/>
        </w:rPr>
        <w:t>A.2  Early Prototype Analysis</w:t>
      </w:r>
    </w:p>
    <w:p w14:paraId="3ACD5423" w14:textId="77777777" w:rsidR="005A6139" w:rsidRDefault="0074761B">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3ACD5424" w14:textId="77777777" w:rsidR="005A6139" w:rsidRDefault="0074761B">
      <w:pPr>
        <w:spacing w:before="120" w:after="60"/>
        <w:jc w:val="center"/>
      </w:pPr>
      <w:r>
        <w:rPr>
          <w:noProof/>
        </w:rPr>
        <w:drawing>
          <wp:inline distT="0" distB="0" distL="0" distR="0" wp14:anchorId="3ACD54BE" wp14:editId="3ACD54BF">
            <wp:extent cx="3840480" cy="2880360"/>
            <wp:effectExtent l="0" t="0" r="0" b="0"/>
            <wp:docPr id="1166185395" name="Picture 116618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3ACD5425" w14:textId="77777777" w:rsidR="005A6139" w:rsidRDefault="0074761B">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3ACD5426" w14:textId="77777777" w:rsidR="005A6139" w:rsidRDefault="0074761B">
      <w:pPr>
        <w:spacing w:before="120" w:after="60"/>
        <w:jc w:val="center"/>
      </w:pPr>
      <w:r>
        <w:rPr>
          <w:noProof/>
        </w:rPr>
        <w:lastRenderedPageBreak/>
        <w:drawing>
          <wp:inline distT="0" distB="0" distL="0" distR="0" wp14:anchorId="3ACD54C0" wp14:editId="3ACD54C1">
            <wp:extent cx="3840480" cy="2880360"/>
            <wp:effectExtent l="0" t="0" r="0" b="0"/>
            <wp:docPr id="147058097" name="Picture 14705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3ACD5427" w14:textId="77777777" w:rsidR="005A6139" w:rsidRDefault="0074761B">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3ACD5428" w14:textId="77777777" w:rsidR="005A6139" w:rsidRDefault="0074761B">
      <w:pPr>
        <w:spacing w:before="120" w:after="60"/>
        <w:jc w:val="center"/>
      </w:pPr>
      <w:r>
        <w:rPr>
          <w:noProof/>
        </w:rPr>
        <w:drawing>
          <wp:inline distT="0" distB="0" distL="0" distR="0" wp14:anchorId="3ACD54C2" wp14:editId="3ACD54C3">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3ACD5429" w14:textId="77777777" w:rsidR="005A6139" w:rsidRDefault="0074761B">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3ACD542A" w14:textId="77777777" w:rsidR="005A6139" w:rsidRDefault="0074761B">
      <w:pPr>
        <w:spacing w:before="120" w:after="60"/>
        <w:jc w:val="center"/>
      </w:pPr>
      <w:r>
        <w:rPr>
          <w:noProof/>
        </w:rPr>
        <w:drawing>
          <wp:inline distT="0" distB="0" distL="0" distR="0" wp14:anchorId="3ACD54C4" wp14:editId="3ACD54C5">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3ACD542B" w14:textId="77777777" w:rsidR="005A6139" w:rsidRDefault="0074761B">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3ACD542C" w14:textId="77777777" w:rsidR="005A6139" w:rsidRDefault="0074761B">
      <w:pPr>
        <w:spacing w:before="120" w:after="60"/>
        <w:jc w:val="center"/>
      </w:pPr>
      <w:r>
        <w:rPr>
          <w:noProof/>
        </w:rPr>
        <w:lastRenderedPageBreak/>
        <w:drawing>
          <wp:inline distT="0" distB="0" distL="0" distR="0" wp14:anchorId="3ACD54C6" wp14:editId="3ACD54C7">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3ACD542D" w14:textId="77777777" w:rsidR="005A6139" w:rsidRDefault="0074761B">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3ACD542E" w14:textId="77777777" w:rsidR="005A6139" w:rsidRDefault="0074761B">
      <w:pPr>
        <w:spacing w:before="120" w:after="60"/>
        <w:jc w:val="center"/>
      </w:pPr>
      <w:r>
        <w:rPr>
          <w:noProof/>
        </w:rPr>
        <w:drawing>
          <wp:inline distT="0" distB="0" distL="0" distR="0" wp14:anchorId="3ACD54C8" wp14:editId="3ACD54C9">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3ACD542F" w14:textId="77777777" w:rsidR="005A6139" w:rsidRDefault="0074761B">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3ACD5430" w14:textId="77777777" w:rsidR="005A6139" w:rsidRDefault="0074761B">
      <w:pPr>
        <w:spacing w:before="120" w:after="60"/>
        <w:jc w:val="center"/>
      </w:pPr>
      <w:r>
        <w:rPr>
          <w:noProof/>
        </w:rPr>
        <w:drawing>
          <wp:inline distT="0" distB="0" distL="0" distR="0" wp14:anchorId="3ACD54CA" wp14:editId="3ACD54CB">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3ACD5431" w14:textId="77777777" w:rsidR="005A6139" w:rsidRDefault="0074761B">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3ACD5432" w14:textId="77777777" w:rsidR="005A6139" w:rsidRDefault="0074761B">
      <w:pPr>
        <w:spacing w:before="120" w:after="60"/>
        <w:jc w:val="center"/>
      </w:pPr>
      <w:r>
        <w:rPr>
          <w:noProof/>
        </w:rPr>
        <w:drawing>
          <wp:inline distT="0" distB="0" distL="0" distR="0" wp14:anchorId="3ACD54CC" wp14:editId="3ACD54CD">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3ACD5433" w14:textId="77777777" w:rsidR="005A6139" w:rsidRDefault="0074761B">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3ACD5434" w14:textId="77777777" w:rsidR="005A6139" w:rsidRDefault="0074761B">
      <w:pPr>
        <w:spacing w:before="120" w:after="60"/>
        <w:jc w:val="center"/>
      </w:pPr>
      <w:r>
        <w:rPr>
          <w:noProof/>
        </w:rPr>
        <w:drawing>
          <wp:inline distT="0" distB="0" distL="0" distR="0" wp14:anchorId="3ACD54CE" wp14:editId="3ACD54CF">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3ACD5435" w14:textId="77777777" w:rsidR="005A6139" w:rsidRDefault="0074761B">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3ACD5436" w14:textId="77777777" w:rsidR="005A6139" w:rsidRDefault="0074761B">
      <w:pPr>
        <w:pStyle w:val="Heading2"/>
        <w:spacing w:before="200" w:after="80"/>
      </w:pPr>
      <w:r>
        <w:rPr>
          <w:color w:val="2E75B6"/>
          <w:sz w:val="24"/>
        </w:rPr>
        <w:t>A.3  Augmented Analysis — Pre-EBM Specification</w:t>
      </w:r>
    </w:p>
    <w:p w14:paraId="3ACD5437" w14:textId="77777777" w:rsidR="005A6139" w:rsidRDefault="0074761B">
      <w:pPr>
        <w:spacing w:after="120"/>
      </w:pPr>
      <w:r>
        <w:rPr>
          <w:sz w:val="21"/>
        </w:rPr>
        <w:t>Figures A.11–A.16 document the augmented analysis before EBM M2.5 was incorporated as the interpretable non-linear benchmark. All metrics are subject to the evaluation caveats of Section 4.1.</w:t>
      </w:r>
    </w:p>
    <w:p w14:paraId="3ACD5438" w14:textId="77777777" w:rsidR="005A6139" w:rsidRDefault="0074761B">
      <w:pPr>
        <w:spacing w:before="120" w:after="60"/>
        <w:jc w:val="center"/>
      </w:pPr>
      <w:r>
        <w:rPr>
          <w:noProof/>
        </w:rPr>
        <w:lastRenderedPageBreak/>
        <w:drawing>
          <wp:inline distT="0" distB="0" distL="0" distR="0" wp14:anchorId="3ACD54D0" wp14:editId="3ACD54D1">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3ACD5439" w14:textId="77777777" w:rsidR="005A6139" w:rsidRDefault="0074761B">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3ACD543A" w14:textId="77777777" w:rsidR="005A6139" w:rsidRDefault="0074761B">
      <w:pPr>
        <w:spacing w:before="120" w:after="60"/>
        <w:jc w:val="center"/>
      </w:pPr>
      <w:r>
        <w:rPr>
          <w:noProof/>
        </w:rPr>
        <w:drawing>
          <wp:inline distT="0" distB="0" distL="0" distR="0" wp14:anchorId="3ACD54D2" wp14:editId="3ACD54D3">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3ACD543B" w14:textId="77777777" w:rsidR="005A6139" w:rsidRDefault="0074761B">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3ACD543C" w14:textId="77777777" w:rsidR="005A6139" w:rsidRDefault="0074761B">
      <w:pPr>
        <w:spacing w:before="120" w:after="60"/>
        <w:jc w:val="center"/>
      </w:pPr>
      <w:r>
        <w:rPr>
          <w:noProof/>
        </w:rPr>
        <w:lastRenderedPageBreak/>
        <w:drawing>
          <wp:inline distT="0" distB="0" distL="0" distR="0" wp14:anchorId="3ACD54D4" wp14:editId="3ACD54D5">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3ACD543D" w14:textId="77777777" w:rsidR="005A6139" w:rsidRDefault="0074761B">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3ACD543E" w14:textId="77777777" w:rsidR="005A6139" w:rsidRDefault="0074761B">
      <w:pPr>
        <w:spacing w:before="120" w:after="60"/>
        <w:jc w:val="center"/>
      </w:pPr>
      <w:r>
        <w:rPr>
          <w:noProof/>
        </w:rPr>
        <w:drawing>
          <wp:inline distT="0" distB="0" distL="0" distR="0" wp14:anchorId="3ACD54D6" wp14:editId="3ACD54D7">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3ACD543F" w14:textId="77777777" w:rsidR="005A6139" w:rsidRDefault="0074761B">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3ACD5440" w14:textId="77777777" w:rsidR="005A6139" w:rsidRDefault="0074761B">
      <w:pPr>
        <w:spacing w:before="120" w:after="60"/>
        <w:jc w:val="center"/>
      </w:pPr>
      <w:r>
        <w:rPr>
          <w:noProof/>
        </w:rPr>
        <w:drawing>
          <wp:inline distT="0" distB="0" distL="0" distR="0" wp14:anchorId="3ACD54D8" wp14:editId="3ACD54D9">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3ACD5441" w14:textId="77777777" w:rsidR="005A6139" w:rsidRDefault="0074761B">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3ACD5442" w14:textId="77777777" w:rsidR="005A6139" w:rsidRDefault="0074761B">
      <w:pPr>
        <w:spacing w:before="120" w:after="60"/>
        <w:jc w:val="center"/>
      </w:pPr>
      <w:r>
        <w:rPr>
          <w:noProof/>
        </w:rPr>
        <w:lastRenderedPageBreak/>
        <w:drawing>
          <wp:inline distT="0" distB="0" distL="0" distR="0" wp14:anchorId="3ACD54DA" wp14:editId="3ACD54DB">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3ACD5443" w14:textId="77777777" w:rsidR="005A6139" w:rsidRDefault="0074761B">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3ACD5444" w14:textId="77777777" w:rsidR="005A6139" w:rsidRDefault="0074761B">
      <w:pPr>
        <w:pStyle w:val="Heading2"/>
        <w:spacing w:before="200" w:after="80"/>
      </w:pPr>
      <w:r>
        <w:rPr>
          <w:color w:val="2E75B6"/>
          <w:sz w:val="24"/>
        </w:rPr>
        <w:t>A.4  EBM Shape Function Analysis — Supplementary</w:t>
      </w:r>
    </w:p>
    <w:p w14:paraId="3ACD5445" w14:textId="77777777" w:rsidR="005A6139" w:rsidRDefault="0074761B">
      <w:pPr>
        <w:spacing w:after="120"/>
      </w:pPr>
      <w:r>
        <w:rPr>
          <w:sz w:val="21"/>
        </w:rPr>
        <w:t>Figure A.17 provides a simplified two-feature view of EBM shape function instability, complementing the six-panel display in Figure 4.7.</w:t>
      </w:r>
    </w:p>
    <w:p w14:paraId="3ACD5446" w14:textId="77777777" w:rsidR="005A6139" w:rsidRDefault="0074761B">
      <w:pPr>
        <w:spacing w:before="120" w:after="60"/>
        <w:jc w:val="center"/>
      </w:pPr>
      <w:r>
        <w:rPr>
          <w:noProof/>
        </w:rPr>
        <w:drawing>
          <wp:inline distT="0" distB="0" distL="0" distR="0" wp14:anchorId="3ACD54DC" wp14:editId="3ACD54DD">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3ACD5447" w14:textId="77777777" w:rsidR="005A6139" w:rsidRDefault="0074761B">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3ACD5448" w14:textId="77777777" w:rsidR="005A6139" w:rsidRDefault="0074761B">
      <w:pPr>
        <w:pStyle w:val="Heading2"/>
        <w:spacing w:before="200" w:after="80"/>
      </w:pPr>
      <w:r>
        <w:rPr>
          <w:color w:val="2E75B6"/>
          <w:sz w:val="24"/>
        </w:rPr>
        <w:t>A.5  Sentiment Analysis — Additional Results</w:t>
      </w:r>
    </w:p>
    <w:p w14:paraId="3ACD5449" w14:textId="77777777" w:rsidR="005A6139" w:rsidRDefault="0074761B">
      <w:pPr>
        <w:spacing w:after="120"/>
      </w:pPr>
      <w:r>
        <w:rPr>
          <w:sz w:val="21"/>
        </w:rPr>
        <w:t>Figures A.18–A.25 present additional diagnostic output from the sentiment analysis pipeline, including Granger causality tests, SHAP attribution comparisons, and calibration diagnostics.</w:t>
      </w:r>
    </w:p>
    <w:p w14:paraId="3ACD544A" w14:textId="77777777" w:rsidR="005A6139" w:rsidRDefault="0074761B">
      <w:pPr>
        <w:spacing w:before="120" w:after="60"/>
        <w:jc w:val="center"/>
      </w:pPr>
      <w:r>
        <w:rPr>
          <w:noProof/>
        </w:rPr>
        <w:lastRenderedPageBreak/>
        <w:drawing>
          <wp:inline distT="0" distB="0" distL="0" distR="0" wp14:anchorId="3ACD54DE" wp14:editId="3ACD54DF">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3ACD544B" w14:textId="77777777" w:rsidR="005A6139" w:rsidRDefault="0074761B">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3ACD544C" w14:textId="77777777" w:rsidR="005A6139" w:rsidRDefault="0074761B">
      <w:pPr>
        <w:spacing w:before="120" w:after="60"/>
        <w:jc w:val="center"/>
      </w:pPr>
      <w:r>
        <w:rPr>
          <w:noProof/>
        </w:rPr>
        <w:drawing>
          <wp:inline distT="0" distB="0" distL="0" distR="0" wp14:anchorId="3ACD54E0" wp14:editId="3ACD54E1">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3ACD544D" w14:textId="77777777" w:rsidR="005A6139" w:rsidRDefault="0074761B">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3ACD544E" w14:textId="77777777" w:rsidR="005A6139" w:rsidRDefault="0074761B">
      <w:pPr>
        <w:spacing w:before="120" w:after="60"/>
        <w:jc w:val="center"/>
      </w:pPr>
      <w:r>
        <w:rPr>
          <w:noProof/>
        </w:rPr>
        <w:drawing>
          <wp:inline distT="0" distB="0" distL="0" distR="0" wp14:anchorId="3ACD54E2" wp14:editId="3ACD54E3">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3ACD544F" w14:textId="77777777" w:rsidR="005A6139" w:rsidRDefault="0074761B">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r>
      <w:r>
        <w:rPr>
          <w:i/>
          <w:sz w:val="18"/>
        </w:rPr>
        <w:lastRenderedPageBreak/>
        <w:t>sample-specific re-weighting under the rolling demeaning approac</w:t>
      </w:r>
      <w:r>
        <w:rPr>
          <w:i/>
          <w:sz w:val="18"/>
        </w:rPr>
        <w:t>h rather than a stable predictive channel (see Section 5.1 for discussion).</w:t>
      </w:r>
    </w:p>
    <w:p w14:paraId="3ACD5450" w14:textId="77777777" w:rsidR="005A6139" w:rsidRDefault="0074761B">
      <w:pPr>
        <w:spacing w:before="120" w:after="60"/>
        <w:jc w:val="center"/>
      </w:pPr>
      <w:r>
        <w:rPr>
          <w:noProof/>
        </w:rPr>
        <w:drawing>
          <wp:inline distT="0" distB="0" distL="0" distR="0" wp14:anchorId="3ACD54E4" wp14:editId="3ACD54E5">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3ACD5451" w14:textId="77777777" w:rsidR="005A6139" w:rsidRDefault="0074761B">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3ACD5452" w14:textId="77777777" w:rsidR="005A6139" w:rsidRDefault="0074761B">
      <w:pPr>
        <w:spacing w:before="120" w:after="60"/>
        <w:jc w:val="center"/>
      </w:pPr>
      <w:r>
        <w:rPr>
          <w:noProof/>
        </w:rPr>
        <w:drawing>
          <wp:inline distT="0" distB="0" distL="0" distR="0" wp14:anchorId="3ACD54E6" wp14:editId="3ACD54E7">
            <wp:extent cx="5029200" cy="2476371"/>
            <wp:effectExtent l="0" t="0" r="0" b="0"/>
            <wp:docPr id="522969992" name="Picture 52296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3ACD5453" w14:textId="77777777" w:rsidR="005A6139" w:rsidRDefault="0074761B">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3ACD5454" w14:textId="77777777" w:rsidR="005A6139" w:rsidRDefault="0074761B">
      <w:pPr>
        <w:spacing w:before="120" w:after="60"/>
        <w:jc w:val="center"/>
      </w:pPr>
      <w:r>
        <w:rPr>
          <w:noProof/>
        </w:rPr>
        <w:lastRenderedPageBreak/>
        <w:drawing>
          <wp:inline distT="0" distB="0" distL="0" distR="0" wp14:anchorId="3ACD54E8" wp14:editId="3ACD54E9">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3ACD5455" w14:textId="77777777" w:rsidR="005A6139" w:rsidRDefault="0074761B">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3ACD5456" w14:textId="77777777" w:rsidR="005A6139" w:rsidRDefault="0074761B">
      <w:pPr>
        <w:spacing w:before="120" w:after="60"/>
        <w:jc w:val="center"/>
      </w:pPr>
      <w:r>
        <w:rPr>
          <w:noProof/>
        </w:rPr>
        <w:drawing>
          <wp:inline distT="0" distB="0" distL="0" distR="0" wp14:anchorId="3ACD54EA" wp14:editId="3ACD54EB">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3ACD5457" w14:textId="77777777" w:rsidR="005A6139" w:rsidRDefault="0074761B">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3ACD5458" w14:textId="77777777" w:rsidR="005A6139" w:rsidRDefault="0074761B">
      <w:pPr>
        <w:spacing w:before="120" w:after="60"/>
        <w:jc w:val="center"/>
      </w:pPr>
      <w:r>
        <w:rPr>
          <w:noProof/>
        </w:rPr>
        <w:lastRenderedPageBreak/>
        <w:drawing>
          <wp:inline distT="0" distB="0" distL="0" distR="0" wp14:anchorId="3ACD54EC" wp14:editId="3ACD54ED">
            <wp:extent cx="4389120" cy="2907422"/>
            <wp:effectExtent l="0" t="0" r="0" b="0"/>
            <wp:docPr id="455701773" name="Picture 45570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3ACD5459" w14:textId="77777777" w:rsidR="005A6139" w:rsidRDefault="0074761B">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3ACD545A" w14:textId="77777777" w:rsidR="005A6139" w:rsidRDefault="0074761B">
      <w:pPr>
        <w:pStyle w:val="Heading2"/>
        <w:spacing w:before="200" w:after="80"/>
      </w:pPr>
      <w:r>
        <w:rPr>
          <w:color w:val="2E75B6"/>
          <w:sz w:val="24"/>
        </w:rPr>
        <w:t>A.6  Calibration and Decision-Threshold Analysis</w:t>
      </w:r>
    </w:p>
    <w:p w14:paraId="3ACD545B" w14:textId="77777777" w:rsidR="005A6139" w:rsidRDefault="0074761B">
      <w:pPr>
        <w:spacing w:after="120"/>
      </w:pPr>
      <w:r>
        <w:rPr>
          <w:sz w:val="21"/>
        </w:rPr>
        <w:t>Figures A.26–A.29 provide additional calibration diagnostics and threshold sensitivity analysis to complement Figure 4.8.</w:t>
      </w:r>
    </w:p>
    <w:p w14:paraId="3ACD545C" w14:textId="77777777" w:rsidR="005A6139" w:rsidRDefault="0074761B">
      <w:pPr>
        <w:spacing w:before="120" w:after="60"/>
        <w:jc w:val="center"/>
      </w:pPr>
      <w:r>
        <w:rPr>
          <w:noProof/>
        </w:rPr>
        <w:drawing>
          <wp:inline distT="0" distB="0" distL="0" distR="0" wp14:anchorId="3ACD54EE" wp14:editId="3ACD54EF">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3ACD545D" w14:textId="77777777" w:rsidR="005A6139" w:rsidRDefault="0074761B">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3ACD545E" w14:textId="77777777" w:rsidR="005A6139" w:rsidRDefault="0074761B">
      <w:pPr>
        <w:spacing w:before="120" w:after="60"/>
        <w:jc w:val="center"/>
      </w:pPr>
      <w:r>
        <w:rPr>
          <w:noProof/>
        </w:rPr>
        <w:lastRenderedPageBreak/>
        <w:drawing>
          <wp:inline distT="0" distB="0" distL="0" distR="0" wp14:anchorId="3ACD54F0" wp14:editId="3ACD54F1">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3ACD545F" w14:textId="77777777" w:rsidR="005A6139" w:rsidRDefault="0074761B">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3ACD5460" w14:textId="77777777" w:rsidR="005A6139" w:rsidRDefault="0074761B">
      <w:pPr>
        <w:spacing w:before="120" w:after="60"/>
        <w:jc w:val="center"/>
      </w:pPr>
      <w:r>
        <w:rPr>
          <w:noProof/>
        </w:rPr>
        <w:drawing>
          <wp:inline distT="0" distB="0" distL="0" distR="0" wp14:anchorId="3ACD54F2" wp14:editId="3ACD54F3">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3ACD5461" w14:textId="77777777" w:rsidR="005A6139" w:rsidRDefault="0074761B">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3ACD5462" w14:textId="77777777" w:rsidR="005A6139" w:rsidRDefault="0074761B">
      <w:pPr>
        <w:spacing w:before="120" w:after="60"/>
        <w:jc w:val="center"/>
      </w:pPr>
      <w:r>
        <w:rPr>
          <w:noProof/>
        </w:rPr>
        <w:drawing>
          <wp:inline distT="0" distB="0" distL="0" distR="0" wp14:anchorId="3ACD54F4" wp14:editId="3ACD54F5">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3ACD5463" w14:textId="77777777" w:rsidR="005A6139" w:rsidRDefault="0074761B">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3ACD5464" w14:textId="77777777" w:rsidR="005A6139" w:rsidRDefault="0074761B">
      <w:pPr>
        <w:pStyle w:val="Heading2"/>
        <w:spacing w:before="200" w:after="80"/>
      </w:pPr>
      <w:r>
        <w:rPr>
          <w:color w:val="2E75B6"/>
          <w:sz w:val="24"/>
        </w:rPr>
        <w:t>A.7  Original Ensemble Extension (NB09A)</w:t>
      </w:r>
    </w:p>
    <w:p w14:paraId="3ACD5465" w14:textId="77777777" w:rsidR="005A6139" w:rsidRDefault="0074761B">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3ACD5466" w14:textId="77777777" w:rsidR="005A6139" w:rsidRDefault="0074761B">
      <w:pPr>
        <w:spacing w:before="120" w:after="60"/>
        <w:jc w:val="center"/>
      </w:pPr>
      <w:r>
        <w:rPr>
          <w:noProof/>
        </w:rPr>
        <w:drawing>
          <wp:inline distT="0" distB="0" distL="0" distR="0" wp14:anchorId="3ACD54F6" wp14:editId="3ACD54F7">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3ACD5467" w14:textId="77777777" w:rsidR="005A6139" w:rsidRDefault="0074761B">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3ACD5468" w14:textId="77777777" w:rsidR="005A6139" w:rsidRDefault="0074761B">
      <w:pPr>
        <w:spacing w:before="120" w:after="60"/>
        <w:jc w:val="center"/>
      </w:pPr>
      <w:r>
        <w:rPr>
          <w:noProof/>
        </w:rPr>
        <w:drawing>
          <wp:inline distT="0" distB="0" distL="0" distR="0" wp14:anchorId="3ACD54F8" wp14:editId="3ACD54F9">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3ACD5469" w14:textId="77777777" w:rsidR="005A6139" w:rsidRDefault="0074761B">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3ACD546A" w14:textId="77777777" w:rsidR="005A6139" w:rsidRDefault="0074761B">
      <w:pPr>
        <w:spacing w:before="120" w:after="60"/>
        <w:jc w:val="center"/>
      </w:pPr>
      <w:r>
        <w:rPr>
          <w:noProof/>
        </w:rPr>
        <w:lastRenderedPageBreak/>
        <w:drawing>
          <wp:inline distT="0" distB="0" distL="0" distR="0" wp14:anchorId="3ACD54FA" wp14:editId="3ACD54FB">
            <wp:extent cx="5029200" cy="2406095"/>
            <wp:effectExtent l="0" t="0" r="0" b="0"/>
            <wp:docPr id="744414955" name="Picture 74441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3ACD546B" w14:textId="77777777" w:rsidR="005A6139" w:rsidRDefault="0074761B">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3ACD546C" w14:textId="77777777" w:rsidR="005A6139" w:rsidRDefault="0074761B">
      <w:pPr>
        <w:spacing w:before="120" w:after="60"/>
        <w:jc w:val="center"/>
      </w:pPr>
      <w:r>
        <w:rPr>
          <w:noProof/>
        </w:rPr>
        <w:drawing>
          <wp:inline distT="0" distB="0" distL="0" distR="0" wp14:anchorId="3ACD54FC" wp14:editId="3ACD54FD">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3ACD546D" w14:textId="77777777" w:rsidR="005A6139" w:rsidRDefault="0074761B">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3ACD546E" w14:textId="77777777" w:rsidR="005A6139" w:rsidRDefault="0074761B">
      <w:pPr>
        <w:spacing w:before="120" w:after="60"/>
        <w:jc w:val="center"/>
      </w:pPr>
      <w:r>
        <w:rPr>
          <w:noProof/>
        </w:rPr>
        <w:drawing>
          <wp:inline distT="0" distB="0" distL="0" distR="0" wp14:anchorId="3ACD54FE" wp14:editId="3ACD54FF">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3ACD546F" w14:textId="77777777" w:rsidR="005A6139" w:rsidRDefault="0074761B">
      <w:pPr>
        <w:spacing w:before="40" w:after="280"/>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sectPr w:rsidR="005A6139">
      <w:footerReference w:type="default" r:id="rId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51909" w14:textId="77777777" w:rsidR="0074761B" w:rsidRDefault="0074761B">
      <w:pPr>
        <w:spacing w:after="0" w:line="240" w:lineRule="auto"/>
      </w:pPr>
      <w:r>
        <w:separator/>
      </w:r>
    </w:p>
  </w:endnote>
  <w:endnote w:type="continuationSeparator" w:id="0">
    <w:p w14:paraId="0B4E1610" w14:textId="77777777" w:rsidR="0074761B" w:rsidRDefault="00747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5502" w14:textId="570EBC14" w:rsidR="005A6139" w:rsidRDefault="0074761B">
    <w:pPr>
      <w:jc w:val="center"/>
    </w:pPr>
    <w:r>
      <w:rPr>
        <w:color w:val="555555"/>
        <w:sz w:val="20"/>
      </w:rPr>
      <w:fldChar w:fldCharType="begin"/>
    </w:r>
    <w:r>
      <w:rPr>
        <w:color w:val="555555"/>
        <w:sz w:val="20"/>
      </w:rPr>
      <w:instrText xml:space="preserve"> PAGE </w:instrText>
    </w:r>
    <w:r w:rsidR="00993511">
      <w:rPr>
        <w:color w:val="555555"/>
        <w:sz w:val="20"/>
      </w:rPr>
      <w:fldChar w:fldCharType="separate"/>
    </w:r>
    <w:r w:rsidR="00993511">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5503" w14:textId="4B85960A" w:rsidR="005A6139" w:rsidRDefault="0074761B">
    <w:pPr>
      <w:jc w:val="center"/>
    </w:pPr>
    <w:r>
      <w:rPr>
        <w:color w:val="555555"/>
        <w:sz w:val="20"/>
      </w:rPr>
      <w:fldChar w:fldCharType="begin"/>
    </w:r>
    <w:r>
      <w:rPr>
        <w:color w:val="555555"/>
        <w:sz w:val="20"/>
      </w:rPr>
      <w:instrText xml:space="preserve"> PAGE </w:instrText>
    </w:r>
    <w:r w:rsidR="00993511">
      <w:rPr>
        <w:color w:val="555555"/>
        <w:sz w:val="20"/>
      </w:rPr>
      <w:fldChar w:fldCharType="separate"/>
    </w:r>
    <w:r w:rsidR="00993511">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57F63" w14:textId="77777777" w:rsidR="0074761B" w:rsidRDefault="0074761B">
      <w:r>
        <w:separator/>
      </w:r>
    </w:p>
  </w:footnote>
  <w:footnote w:type="continuationSeparator" w:id="0">
    <w:p w14:paraId="77A6198B" w14:textId="77777777" w:rsidR="0074761B" w:rsidRDefault="00747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B424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1A757FF"/>
    <w:multiLevelType w:val="hybridMultilevel"/>
    <w:tmpl w:val="3C5AD874"/>
    <w:lvl w:ilvl="0" w:tplc="80581B4C">
      <w:start w:val="1"/>
      <w:numFmt w:val="bullet"/>
      <w:lvlText w:val="●"/>
      <w:lvlJc w:val="left"/>
      <w:pPr>
        <w:ind w:left="720" w:hanging="360"/>
      </w:pPr>
    </w:lvl>
    <w:lvl w:ilvl="1" w:tplc="8440EA90">
      <w:start w:val="1"/>
      <w:numFmt w:val="bullet"/>
      <w:lvlText w:val="○"/>
      <w:lvlJc w:val="left"/>
      <w:pPr>
        <w:ind w:left="1440" w:hanging="360"/>
      </w:pPr>
    </w:lvl>
    <w:lvl w:ilvl="2" w:tplc="138C5C08">
      <w:start w:val="1"/>
      <w:numFmt w:val="bullet"/>
      <w:lvlText w:val="■"/>
      <w:lvlJc w:val="left"/>
      <w:pPr>
        <w:ind w:left="2160" w:hanging="360"/>
      </w:pPr>
    </w:lvl>
    <w:lvl w:ilvl="3" w:tplc="233E4B3E">
      <w:start w:val="1"/>
      <w:numFmt w:val="bullet"/>
      <w:lvlText w:val="●"/>
      <w:lvlJc w:val="left"/>
      <w:pPr>
        <w:ind w:left="2880" w:hanging="360"/>
      </w:pPr>
    </w:lvl>
    <w:lvl w:ilvl="4" w:tplc="F3BE536C">
      <w:start w:val="1"/>
      <w:numFmt w:val="bullet"/>
      <w:lvlText w:val="○"/>
      <w:lvlJc w:val="left"/>
      <w:pPr>
        <w:ind w:left="3600" w:hanging="360"/>
      </w:pPr>
    </w:lvl>
    <w:lvl w:ilvl="5" w:tplc="C7BCF592">
      <w:start w:val="1"/>
      <w:numFmt w:val="bullet"/>
      <w:lvlText w:val="■"/>
      <w:lvlJc w:val="left"/>
      <w:pPr>
        <w:ind w:left="4320" w:hanging="360"/>
      </w:pPr>
    </w:lvl>
    <w:lvl w:ilvl="6" w:tplc="77CA1D64">
      <w:start w:val="1"/>
      <w:numFmt w:val="bullet"/>
      <w:lvlText w:val="●"/>
      <w:lvlJc w:val="left"/>
      <w:pPr>
        <w:ind w:left="5040" w:hanging="360"/>
      </w:pPr>
    </w:lvl>
    <w:lvl w:ilvl="7" w:tplc="F02A4086">
      <w:start w:val="1"/>
      <w:numFmt w:val="bullet"/>
      <w:lvlText w:val="●"/>
      <w:lvlJc w:val="left"/>
      <w:pPr>
        <w:ind w:left="5760" w:hanging="360"/>
      </w:pPr>
    </w:lvl>
    <w:lvl w:ilvl="8" w:tplc="C810AD0A">
      <w:start w:val="1"/>
      <w:numFmt w:val="bullet"/>
      <w:lvlText w:val="●"/>
      <w:lvlJc w:val="left"/>
      <w:pPr>
        <w:ind w:left="6480" w:hanging="360"/>
      </w:pPr>
    </w:lvl>
  </w:abstractNum>
  <w:num w:numId="1" w16cid:durableId="627513275">
    <w:abstractNumId w:val="1"/>
    <w:lvlOverride w:ilvl="0">
      <w:startOverride w:val="1"/>
    </w:lvlOverride>
  </w:num>
  <w:num w:numId="2" w16cid:durableId="46072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139"/>
    <w:rsid w:val="0050601F"/>
    <w:rsid w:val="005A6139"/>
    <w:rsid w:val="0074761B"/>
    <w:rsid w:val="0099351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D50F8"/>
  <w15:docId w15:val="{7E01F9A1-DB44-42DC-9ECF-EC4AD86B1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1">
    <w:name w:val="Source Code1"/>
    <w:basedOn w:val="Normal"/>
    <w:pPr>
      <w:wordWrap w:val="0"/>
    </w:pPr>
  </w:style>
  <w:style w:type="character" w:customStyle="1" w:styleId="KeywordTok1">
    <w:name w:val="KeywordTok1"/>
    <w:rPr>
      <w:b/>
      <w:color w:val="007020"/>
    </w:rPr>
  </w:style>
  <w:style w:type="character" w:customStyle="1" w:styleId="DataTypeTok1">
    <w:name w:val="DataTypeTok1"/>
    <w:rPr>
      <w:color w:val="902000"/>
    </w:rPr>
  </w:style>
  <w:style w:type="character" w:customStyle="1" w:styleId="DecValTok1">
    <w:name w:val="DecValTok1"/>
    <w:rPr>
      <w:color w:val="40A070"/>
    </w:rPr>
  </w:style>
  <w:style w:type="character" w:customStyle="1" w:styleId="BaseNTok1">
    <w:name w:val="BaseNTok1"/>
    <w:rPr>
      <w:color w:val="40A070"/>
    </w:rPr>
  </w:style>
  <w:style w:type="character" w:customStyle="1" w:styleId="FloatTok1">
    <w:name w:val="FloatTok1"/>
    <w:rPr>
      <w:color w:val="40A070"/>
    </w:rPr>
  </w:style>
  <w:style w:type="character" w:customStyle="1" w:styleId="ConstantTok1">
    <w:name w:val="ConstantTok1"/>
    <w:rPr>
      <w:color w:val="880000"/>
    </w:rPr>
  </w:style>
  <w:style w:type="character" w:customStyle="1" w:styleId="CharTok1">
    <w:name w:val="CharTok1"/>
    <w:rPr>
      <w:color w:val="4070A0"/>
    </w:rPr>
  </w:style>
  <w:style w:type="character" w:customStyle="1" w:styleId="SpecialCharTok1">
    <w:name w:val="SpecialCharTok1"/>
    <w:rPr>
      <w:color w:val="4070A0"/>
    </w:rPr>
  </w:style>
  <w:style w:type="character" w:customStyle="1" w:styleId="StringTok1">
    <w:name w:val="StringTok1"/>
    <w:rPr>
      <w:color w:val="4070A0"/>
    </w:rPr>
  </w:style>
  <w:style w:type="character" w:customStyle="1" w:styleId="VerbatimStringTok1">
    <w:name w:val="VerbatimStringTok1"/>
    <w:rPr>
      <w:color w:val="4070A0"/>
    </w:rPr>
  </w:style>
  <w:style w:type="character" w:customStyle="1" w:styleId="SpecialStringTok1">
    <w:name w:val="SpecialStringTok1"/>
    <w:rPr>
      <w:color w:val="BB6688"/>
    </w:rPr>
  </w:style>
  <w:style w:type="character" w:customStyle="1" w:styleId="ImportTok1">
    <w:name w:val="ImportTok1"/>
    <w:rPr>
      <w:b/>
      <w:color w:val="008000"/>
    </w:rPr>
  </w:style>
  <w:style w:type="character" w:customStyle="1" w:styleId="CommentTok1">
    <w:name w:val="CommentTok1"/>
    <w:rPr>
      <w:i/>
      <w:color w:val="60A0B0"/>
    </w:rPr>
  </w:style>
  <w:style w:type="character" w:customStyle="1" w:styleId="DocumentationTok1">
    <w:name w:val="DocumentationTok1"/>
    <w:rPr>
      <w:i/>
      <w:color w:val="BA2121"/>
    </w:rPr>
  </w:style>
  <w:style w:type="character" w:customStyle="1" w:styleId="AnnotationTok1">
    <w:name w:val="AnnotationTok1"/>
    <w:rPr>
      <w:b/>
      <w:i/>
      <w:color w:val="60A0B0"/>
    </w:rPr>
  </w:style>
  <w:style w:type="character" w:customStyle="1" w:styleId="CommentVarTok1">
    <w:name w:val="CommentVarTok1"/>
    <w:rPr>
      <w:b/>
      <w:i/>
      <w:color w:val="60A0B0"/>
    </w:rPr>
  </w:style>
  <w:style w:type="character" w:customStyle="1" w:styleId="OtherTok1">
    <w:name w:val="OtherTok1"/>
    <w:rPr>
      <w:color w:val="007020"/>
    </w:rPr>
  </w:style>
  <w:style w:type="character" w:customStyle="1" w:styleId="FunctionTok1">
    <w:name w:val="FunctionTok1"/>
    <w:rPr>
      <w:color w:val="06287E"/>
    </w:rPr>
  </w:style>
  <w:style w:type="character" w:customStyle="1" w:styleId="VariableTok1">
    <w:name w:val="VariableTok1"/>
    <w:rPr>
      <w:color w:val="19177C"/>
    </w:rPr>
  </w:style>
  <w:style w:type="character" w:customStyle="1" w:styleId="ControlFlowTok1">
    <w:name w:val="ControlFlowTok1"/>
    <w:rPr>
      <w:b/>
      <w:color w:val="007020"/>
    </w:rPr>
  </w:style>
  <w:style w:type="character" w:customStyle="1" w:styleId="OperatorTok1">
    <w:name w:val="OperatorTok1"/>
    <w:rPr>
      <w:color w:val="666666"/>
    </w:rPr>
  </w:style>
  <w:style w:type="character" w:customStyle="1" w:styleId="BuiltInTok1">
    <w:name w:val="BuiltInTok1"/>
    <w:rPr>
      <w:color w:val="008000"/>
    </w:rPr>
  </w:style>
  <w:style w:type="character" w:customStyle="1" w:styleId="ExtensionTok1">
    <w:name w:val="ExtensionTok1"/>
  </w:style>
  <w:style w:type="character" w:customStyle="1" w:styleId="PreprocessorTok1">
    <w:name w:val="PreprocessorTok1"/>
    <w:rPr>
      <w:color w:val="BC7A00"/>
    </w:rPr>
  </w:style>
  <w:style w:type="character" w:customStyle="1" w:styleId="AttributeTok1">
    <w:name w:val="AttributeTok1"/>
    <w:rPr>
      <w:color w:val="7D9029"/>
    </w:rPr>
  </w:style>
  <w:style w:type="character" w:customStyle="1" w:styleId="RegionMarkerTok1">
    <w:name w:val="RegionMarkerTok1"/>
  </w:style>
  <w:style w:type="character" w:customStyle="1" w:styleId="InformationTok1">
    <w:name w:val="InformationTok1"/>
    <w:rPr>
      <w:b/>
      <w:i/>
      <w:color w:val="60A0B0"/>
    </w:rPr>
  </w:style>
  <w:style w:type="character" w:customStyle="1" w:styleId="WarningTok1">
    <w:name w:val="WarningTok1"/>
    <w:rPr>
      <w:b/>
      <w:i/>
      <w:color w:val="60A0B0"/>
    </w:rPr>
  </w:style>
  <w:style w:type="character" w:customStyle="1" w:styleId="AlertTok1">
    <w:name w:val="AlertTok1"/>
    <w:rPr>
      <w:b/>
      <w:color w:val="FF0000"/>
    </w:rPr>
  </w:style>
  <w:style w:type="character" w:customStyle="1" w:styleId="ErrorTok1">
    <w:name w:val="ErrorTok1"/>
    <w:rPr>
      <w:b/>
      <w:color w:val="FF0000"/>
    </w:rPr>
  </w:style>
  <w:style w:type="character" w:customStyle="1" w:styleId="NormalTok1">
    <w:name w:val="NormalTok1"/>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70</Pages>
  <Words>20896</Words>
  <Characters>119110</Characters>
  <Application>Microsoft Office Word</Application>
  <DocSecurity>0</DocSecurity>
  <Lines>992</Lines>
  <Paragraphs>279</Paragraphs>
  <ScaleCrop>false</ScaleCrop>
  <Company/>
  <LinksUpToDate>false</LinksUpToDate>
  <CharactersWithSpaces>139727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1</cp:revision>
  <dcterms:created xsi:type="dcterms:W3CDTF">2026-04-12T19:03:00Z</dcterms:created>
  <dcterms:modified xsi:type="dcterms:W3CDTF">2026-05-25T06:19:00Z</dcterms:modified>
</cp:coreProperties>
</file>