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2E75B6"/>
          <w:sz w:val="32"/>
        </w:rPr>
        <w:t>Appendix A: Supplementary Figures</w:t>
      </w:r>
    </w:p>
    <w:p>
      <w:pPr>
        <w:spacing w:after="120"/>
      </w:pPr>
      <w:r>
        <w:rPr>
          <w:sz w:val="21"/>
        </w:rPr>
        <w:t>This appendix presents all supplementary figures from the research pipeline, grouped thematically. Figures 4.1–4.11 and 5.1a–5.1b (already embedded in the main chapters) are excluded. Section cross-references are provided in captions. All evaluation caveats in Section 4.1 — the upper-bound nature of expanding-window metrics and the single-episode character of Stage 2 — apply equally to all figures herein.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A.1  Dataset and Crisis Distribution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18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A.1.  </w:t>
      </w:r>
      <w:r>
        <w:rPr>
          <w:i/>
          <w:sz w:val="18"/>
        </w:rPr>
        <w:t>Banking crisis frequency across 18 JST countries, 1985–2020. Blue bars = crisis onsets in the Stage 1 extension period (1985–2002); orange bars = onsets in the original evaluation window (2003–2020). The Nordic cluster peaks at four simultaneous onsets in 1991; the GFC produces 11 onsets in 2008, dominating the Stage 2 cross-sectional evaluation.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A.2  Early Prototype Analysis</w:t>
      </w:r>
    </w:p>
    <w:p>
      <w:pPr>
        <w:spacing w:after="120"/>
      </w:pPr>
      <w:r>
        <w:rPr>
          <w:sz w:val="21"/>
        </w:rPr>
        <w:t>Figures A.2–A.10 document the initial model development stage using unlagged or minimally-lagged features without the rolling-expanding demeaning applied in the main analysis. Read as a development reference, not primary evidence.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A.2.  </w:t>
      </w:r>
      <w:r>
        <w:rPr>
          <w:i/>
          <w:sz w:val="18"/>
        </w:rPr>
        <w:t>ROC curves — early prototype. LR (AUC=0.65), RF (AUC=0.69), XGBoost (AUC=0.65). Evaluated on a hold-out test split with unlagged features. The gap versus Figure 4.1 reflects the addition of lag structure, expanding-window evaluation, and demeaned features.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A.3.  </w:t>
      </w:r>
      <w:r>
        <w:rPr>
          <w:i/>
          <w:sz w:val="18"/>
        </w:rPr>
        <w:t>Precision-Recall curves — early prototype. LR (AP=0.06), RF (AP=0.16), XGBoost (AP=0.10). Low AUPRC values reflect the absence of lagged features and the different evaluation methodology.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A.4.  </w:t>
      </w:r>
      <w:r>
        <w:rPr>
          <w:i/>
          <w:sz w:val="18"/>
        </w:rPr>
        <w:t>Model performance comparison — early prototype. AUROC (left) and AUPRC (right) for LR, RF, and XGBoost. All exceed the random baseline but remain below the 0.75 literature AUROC benchmark.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81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A.5.  </w:t>
      </w:r>
      <w:r>
        <w:rPr>
          <w:i/>
          <w:sz w:val="18"/>
        </w:rPr>
        <w:t>Confusion matrices at optimal F1 threshold — LR (thr=0.67), RF (thr=0.37), XGBoost (thr=0.26). All models produce low true positive counts at the F1-optimising threshold, illustrating the class imbalance challenge.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A.6.  </w:t>
      </w:r>
      <w:r>
        <w:rPr>
          <w:i/>
          <w:sz w:val="18"/>
        </w:rPr>
        <w:t>Predicted probability distributions — crisis vs non-crisis, early prototype. LR (left) shows poor separation; RF (centre) assigns low probabilities to most observations; XGBoost (right) shows the tightest non-crisis spike near zero.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A.7.  </w:t>
      </w:r>
      <w:r>
        <w:rPr>
          <w:i/>
          <w:sz w:val="18"/>
        </w:rPr>
        <w:t>Random Forest feature importance — early prototype (mean decrease in impurity). Credit growth features (tloans_gr, tloans_rgdp_gr) and mortgage growth (tmort_gr) dominate. Sentiment features appear in the top 13, at higher relative rank than in the demeaned augmented pipeline.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A.8.  </w:t>
      </w:r>
      <w:r>
        <w:rPr>
          <w:i/>
          <w:sz w:val="18"/>
        </w:rPr>
        <w:t>SHAP mean absolute values — XGBoost early prototype. Mortgage growth, credit-to-GDP growth, and total loan growth are the top three contributors. Sentiment features rank 4th and 6th.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32720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7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A.9.  </w:t>
      </w:r>
      <w:r>
        <w:rPr>
          <w:i/>
          <w:sz w:val="18"/>
        </w:rPr>
        <w:t>SHAP beeswarm — XGBoost early prototype. High credit growth generates positive contributions; high P_pos (positive sentiment) generates negative contributions, suggesting excessive optimism in central bank communication precedes crises in this specification.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A.10.  </w:t>
      </w:r>
      <w:r>
        <w:rPr>
          <w:i/>
          <w:sz w:val="18"/>
        </w:rPr>
        <w:t>SHAP dependence plots — three key features, early prototype. Left: credit-to-GDP growth (positive SHAP at high values). Centre: P_pos_dm (sentiment). Right: net_sentiment_lag1_dm (non-linear relationship with crisis risk).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A.3  Augmented Analysis — Pre-EBM Specification</w:t>
      </w:r>
    </w:p>
    <w:p>
      <w:pPr>
        <w:spacing w:after="120"/>
      </w:pPr>
      <w:r>
        <w:rPr>
          <w:sz w:val="21"/>
        </w:rPr>
        <w:t>Figures A.11–A.16 document the augmented analysis before EBM M2.5 was incorporated as the interpretable non-linear benchmark. All metrics are subject to the evaluation caveats of Section 4.1.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083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A.11.  </w:t>
      </w:r>
      <w:r>
        <w:rPr>
          <w:i/>
          <w:sz w:val="18"/>
        </w:rPr>
        <w:t>ROC and PR curves — pre-EBM specification. Solid = Stage 1 (1988–2020), dashed = Stage 2 (2003–2020). M1 LR, M2 RF, M2-matched, M3 XGB+Sentiment. Figure 4.1 adds EBM M2.5 as the interpretable benchmark.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1254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25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A.12.  </w:t>
      </w:r>
      <w:r>
        <w:rPr>
          <w:i/>
          <w:sz w:val="18"/>
        </w:rPr>
        <w:t>Out-of-sample crisis probability — pre-EBM specification. Stage 1 (top): M1 LR and M2 RF extended 1988–2020. Stage 2 (bottom): M2-matched vs M3+Sentiment. Compare Figure 4.2, which adds EBM M2.5 trajectories.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9710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71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A.13.  </w:t>
      </w:r>
      <w:r>
        <w:rPr>
          <w:i/>
          <w:sz w:val="18"/>
        </w:rPr>
        <w:t>Top-20 SHAP features — M3 augmented analysis (rolling-demeaned). Term spread lag 3 dominates (mean |SHAP|=2.17); sentiment features (P_neutral_lag2, P_pos_change_lag2) appear in the top 20 but at substantially lower importance. Compare Figure A.23.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8426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A.14.  </w:t>
      </w:r>
      <w:r>
        <w:rPr>
          <w:i/>
          <w:sz w:val="18"/>
        </w:rPr>
        <w:t>Decomposing the M1→M2 performance gain: lag effect vs non-linearity. AUROC (left) and AUPRC (right). M1b (LR, lags 1–3) isolates the lag effect; M2 RF isolates non-linearity given the same three lags. AUPRC shows the lag effect is modest; M3 recovers performance via non-linear modelling.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744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A.15.  </w:t>
      </w:r>
      <w:r>
        <w:rPr>
          <w:i/>
          <w:sz w:val="18"/>
        </w:rPr>
        <w:t>Strict temporal validation: pre-GFC train (Split A) → GFC test. AUROC (left) and AUPRC (right) for M2 RF (blue, AUROC=0.472) and M3 XGB+Sentiment (orange, AUROC=0.640). Both fail the 0.75 benchmark. Consistent with the EBM Split B result (Section 4.5), models trained exclusively on pre-GFC data do not generalise prospectively to the GFC window.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038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A.16.  </w:t>
      </w:r>
      <w:r>
        <w:rPr>
          <w:i/>
          <w:sz w:val="18"/>
        </w:rPr>
        <w:t>Sentiment AUPRC uplift by prediction horizon. Left: M2 vs M3 AUPRC at H1 (1-year), H2 (2-year), H3 (3-year). Right: uplift M3−M2. Uplift grows from +0.061 (H1) to +0.246 (H3), suggesting a longer-horizon signal in central bank speech. Excluded from primary pipeline due to insufficient test events at H1/H3 (Section 4.8).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A.4  EBM Shape Function Analysis — Supplementary</w:t>
      </w:r>
    </w:p>
    <w:p>
      <w:pPr>
        <w:spacing w:after="120"/>
      </w:pPr>
      <w:r>
        <w:rPr>
          <w:sz w:val="21"/>
        </w:rPr>
        <w:t>Figure A.17 provides a simplified two-feature view of EBM shape function instability, complementing the six-panel display in Figure 4.7.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450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A.17.  </w:t>
      </w:r>
      <w:r>
        <w:rPr>
          <w:i/>
          <w:sz w:val="18"/>
        </w:rPr>
        <w:t>EBM shape functions for credit growth (Panel A, lag 1) and term spread (Panel B, lag 1): Pre-GFC EBM (blue, 2003–2006) vs GFC-inclusive EBM (red dashed, 2003–2010). Both panels confirm regime instability: term spread contributions reverse sign at moderate positive values; credit growth shifts from near-zero to negative contributions at high values in the GFC window. Simplified two-feature view of Figure 4.7.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A.5  Sentiment Analysis — Additional Results</w:t>
      </w:r>
    </w:p>
    <w:p>
      <w:pPr>
        <w:spacing w:after="120"/>
      </w:pPr>
      <w:r>
        <w:rPr>
          <w:sz w:val="21"/>
        </w:rPr>
        <w:t>Figures A.18–A.25 present additional diagnostic output from the sentiment analysis pipeline, including Granger causality tests, SHAP attribution comparisons, and calibration diagnostics.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0773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A.18.  </w:t>
      </w:r>
      <w:r>
        <w:rPr>
          <w:i/>
          <w:sz w:val="18"/>
        </w:rPr>
        <w:t>Panel Granger causality: FinBERT P_neg → credit growth (left) and → crisis onset (right), lag-2 F-test p-values. Red line = p=0.05. Sentiment significantly Granger-causes credit growth in Japan and Norway only; no country reaches significance for the crisis onset target. Supports the conclusion that FinBERT sentiment does not carry a systematic predictive signal (Section 4.9).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576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A.19.  </w:t>
      </w:r>
      <w:r>
        <w:rPr>
          <w:i/>
          <w:sz w:val="18"/>
        </w:rPr>
        <w:t>Macro vs sentiment SHAP contribution: augmented_lags (static demeaning, 3.5% sentiment) vs sentiment_improved (rolling+momentum+trend, 14.1% sentiment). Improving sentiment feature engineering quadruples the sentiment SHAP share, though macro features remain dominant in both.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317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A.20.  </w:t>
      </w:r>
      <w:r>
        <w:rPr>
          <w:i/>
          <w:sz w:val="18"/>
        </w:rPr>
        <w:t>ROC and PR curves — sentiment_improved specification. M1 Logistic (AUC=0.88), M2 RF (0.95), M3 XGBoost+Sentiment rolling (0.94). Stage 2 AUPRC for M3 improves to 0.63 vs 0.41 in the primary analysis, driven by improved rolling sentiment engineering.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598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9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A.21.  </w:t>
      </w:r>
      <w:r>
        <w:rPr>
          <w:i/>
          <w:sz w:val="18"/>
        </w:rPr>
        <w:t>Out-of-sample crisis probability — sentiment_improved. M1 (blue dashed), M2 (green), M3+Sentiment (red dotted). Sharper GFC peak (M3 reaching 0.62 in 2007–2008) vs primary analysis; post-crisis persistence and false positives in 2010–2015 remain.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63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A.22.  </w:t>
      </w:r>
      <w:r>
        <w:rPr>
          <w:i/>
          <w:sz w:val="18"/>
        </w:rPr>
        <w:t>M3 SHAP signal by lag horizon — sentiment_improved, rolling+momentum+trend. Macro lag 3 (4.2 units) and lag 1 (2.9 units) dominate; sentiment at lag 1 contributes ≈1.0 units (≈86% macro attribution). A rolling-demeaned variant (not shown) reduces the sentiment share to ≈3%, confirming sensitivity to the demeaning approach.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9732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7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A.23.  </w:t>
      </w:r>
      <w:r>
        <w:rPr>
          <w:i/>
          <w:sz w:val="18"/>
        </w:rPr>
        <w:t>Top-20 SHAP features — M3 sentiment_improved. Term spread lag 3 remains dominant (mean |SHAP|=1.87). Only one sentiment feature (P_neg_roll3_std_lag1) appears, at rank 20. Compare Figure A.13 (rolling-demeaned augmented analysis) where term spread also leads.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26080" cy="35475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4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A.24.  </w:t>
      </w:r>
      <w:r>
        <w:rPr>
          <w:i/>
          <w:sz w:val="18"/>
        </w:rPr>
        <w:t>SHAP beeswarm — M3 sentiment_improved. Each point = one observation; colour = feature value (red=high, blue=low). Term spread lag 3 shows the most complex distributional pattern, with both high and low values generating large negative contributions, consistent with the non-monotonic EBM shape functions in Figure 4.7.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0742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0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A.25.  </w:t>
      </w:r>
      <w:r>
        <w:rPr>
          <w:i/>
          <w:sz w:val="18"/>
        </w:rPr>
        <w:t>M3 feature stability across expanding-window folds — sentiment_improved (mean ±1 std). Term spread lags 1 and 3 show highest mean importance but also widest confidence intervals, reflecting fold-to-fold variation consistent with structural non-stationarity (Section 4.5).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A.6  Calibration and Decision-Threshold Analysis</w:t>
      </w:r>
    </w:p>
    <w:p>
      <w:pPr>
        <w:spacing w:after="120"/>
      </w:pPr>
      <w:r>
        <w:rPr>
          <w:sz w:val="21"/>
        </w:rPr>
        <w:t>Figures A.26–A.29 provide additional calibration diagnostics and threshold sensitivity analysis to complement Figure 4.8.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6820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6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A.26.  </w:t>
      </w:r>
      <w:r>
        <w:rPr>
          <w:i/>
          <w:sz w:val="18"/>
        </w:rPr>
        <w:t>Reliability diagram — M1 Logistic, M2 RF, M3 XGB+Sentiment, original specification. All three models exhibit systematic under-confidence. Compare Figure 4.8, where EBM M2.5 achieves ECE=0.084 without isotonic calibration.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0491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A.27.  </w:t>
      </w:r>
      <w:r>
        <w:rPr>
          <w:i/>
          <w:sz w:val="18"/>
        </w:rPr>
        <w:t>Calibration reliability diagrams with isotonic correction — M2 RF (left, ECE=0.101) and M3 XGBoost+isotonic (right, ECE=0.123). M2 achieves better ECE under isotonic correction. EBM M2.5 in Figure 4.8 achieves ECE=0.084 without isotonic calibration.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524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2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A.28.  </w:t>
      </w:r>
      <w:r>
        <w:rPr>
          <w:i/>
          <w:sz w:val="18"/>
        </w:rPr>
        <w:t>Threshold analysis: Precision, Recall, and F1 vs classification threshold for M2 RF (left, optimal thr=0.57, F1=0.64) and M3 XGBoost+Sentiment (right, optimal thr=0.79, F1=0.74). M3 achieves higher optimal F1 at a substantially higher threshold.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526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A.29.  </w:t>
      </w:r>
      <w:r>
        <w:rPr>
          <w:i/>
          <w:sz w:val="18"/>
        </w:rPr>
        <w:t>M3 XGBoost+Sentiment performance by prediction horizon — sentiment_improved. AUROC (left) and AUPRC (right) at H1 (AUROC=0.463), H2 (0.937), H3 (0.959). H1 falls below random; H2/H3 are strong but inherit the cross-sectional concentration inflating Stage 2 metrics. Cross-reference Figure A.16 for the sentiment uplift pattern across horizons.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A.7  Original Ensemble Extension (NB09A)</w:t>
      </w:r>
    </w:p>
    <w:p>
      <w:pPr>
        <w:spacing w:after="120"/>
      </w:pPr>
      <w:r>
        <w:rPr>
          <w:sz w:val="21"/>
        </w:rPr>
        <w:t>Figures A.30–A.34 present the NB09A ensemble analysis (M4 = avg(M2-matched, M3)), preceding the EBM-based ensemble reported in Section 4.10. These results document the pre-EBM ensemble development trajectory.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2170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A.30.  </w:t>
      </w:r>
      <w:r>
        <w:rPr>
          <w:i/>
          <w:sz w:val="18"/>
        </w:rPr>
        <w:t>NB09A E1 ensemble vs component models — Stage 2 ROC/PR (2007–2018). E1 = equal-weighted average of M2-matched and M3. E1 achieves AUPRC=0.44 vs M2-matched 0.34 and M3 0.41. Compare Figure 4.9 (EBM-based E1-EBM: AUPRC=0.43, AUROC=0.955).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5652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6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A.31.  </w:t>
      </w:r>
      <w:r>
        <w:rPr>
          <w:i/>
          <w:sz w:val="18"/>
        </w:rPr>
        <w:t>NB09A ensemble variants including AUROC-weighted E1w — Stage 2. Both E1 and E1w achieve AUPRC=0.44 and AUROC=0.94, indicating AUROC-weighting provides no discrimination benefit over equal weighting.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0609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A.32.  </w:t>
      </w:r>
      <w:r>
        <w:rPr>
          <w:i/>
          <w:sz w:val="18"/>
        </w:rPr>
        <w:t>NB09A cross-stage ensembles E2 (avg M2, M2m, M3) and E3 (avg M1, M2, M2m, M3) over 2007–2018. Both achieve AUPRC=0.47, marginally above E1 (0.44). Comparisons are indicative only due to different training histories.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167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A.33.  </w:t>
      </w:r>
      <w:r>
        <w:rPr>
          <w:i/>
          <w:sz w:val="18"/>
        </w:rPr>
        <w:t>NB09A model disagreement: M2-matched vs M3 (r=0.811). Left: probability scatter by crisis outcome. Centre: disagreement by outcome class — crisis observations show wider spread (mean=0.087). Right: E1 ensemble vs component range. Compare Figure 4.10, which extends analysis to include EBM M2.5.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244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A.34.  </w:t>
      </w:r>
      <w:r>
        <w:rPr>
          <w:i/>
          <w:sz w:val="18"/>
        </w:rPr>
        <w:t>2007 country probability ranking — M4 original ensemble. France ranks first (0.84), Spain second (0.75); GBR 17th (0.18), JPN last (0.11). Compare Figure 4.11 (E1-EBM): IRL rises to rank 4 and the EBM component drives a markedly different ordering.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