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75B6"/>
          <w:sz w:val="36"/>
          <w:szCs w:val="36"/>
        </w:rPr>
        <w:t xml:space="preserve">Appendix A: Topic-Sentiment Extension</w:t>
      </w:r>
    </w:p>
    <w:p>
      <w:pPr>
        <w:spacing w:after="80"/>
      </w:pPr>
      <w:r>
        <w:rPr>
          <w:rFonts w:ascii="Arial" w:cs="Arial" w:eastAsia="Arial" w:hAnsi="Arial"/>
          <w:i/>
          <w:iCs/>
          <w:sz w:val="22"/>
          <w:szCs w:val="22"/>
        </w:rPr>
        <w:t xml:space="preserve">Economic Crisis Prediction: Improving the Trade-off Between Interpretability and Statistical Accuracy in ML-Enhanced Crisis Prediction Models</w:t>
      </w:r>
    </w:p>
    <w:p>
      <w:pPr>
        <w:spacing w:after="280"/>
      </w:pPr>
      <w:r>
        <w:rPr>
          <w:rFonts w:ascii="Arial" w:cs="Arial" w:eastAsia="Arial" w:hAnsi="Arial"/>
          <w:color w:val="404040"/>
          <w:sz w:val="22"/>
          <w:szCs w:val="22"/>
        </w:rPr>
        <w:t xml:space="preserve">Pavlos Papachristos • PP24589 • MSc Artificial Intelligence, University of Essex Online • April 2026</w:t>
      </w:r>
    </w:p>
    <w:p>
      <w:pPr>
        <w:pStyle w:val="Heading1"/>
      </w:pPr>
      <w:r>
        <w:rPr>
          <w:rFonts w:ascii="Arial" w:cs="Arial" w:eastAsia="Arial" w:hAnsi="Arial"/>
          <w:b/>
          <w:bCs/>
          <w:sz w:val="32"/>
          <w:szCs w:val="32"/>
        </w:rPr>
        <w:t xml:space="preserve">A.1 Motivation and Scope</w:t>
      </w:r>
    </w:p>
    <w:p>
      <w:pPr>
        <w:spacing w:after="160"/>
        <w:jc w:val="both"/>
      </w:pPr>
      <w:r>
        <w:rPr>
          <w:rFonts w:ascii="Arial" w:cs="Arial" w:eastAsia="Arial" w:hAnsi="Arial"/>
          <w:sz w:val="22"/>
          <w:szCs w:val="22"/>
        </w:rPr>
        <w:t xml:space="preserve">This appendix presents a post-submission extension to the analysis in Chapters 4 and 5, implementing the topic-specific text feature programme described as Extension 1 in Section 5.7. The core dissertation finding that aggregate FinBERT sentiment provides no statistically significant incremental signal over macro features leaves open the question of whether topic-disaggregated sentiment — signals drawn from speeches specifically addressing credit conditions, monetary policy, or corporate sector stress — might provide more stable and interpretable early-warning information than aggregate polarity scores. The present extension addresses this question empirically using the existing BIS speech corpus and the same JST macro panel underpinning the main analysis.</w:t>
      </w:r>
    </w:p>
    <w:p>
      <w:pPr>
        <w:spacing w:after="160"/>
        <w:jc w:val="both"/>
      </w:pPr>
      <w:r>
        <w:rPr>
          <w:rFonts w:ascii="Arial" w:cs="Arial" w:eastAsia="Arial" w:hAnsi="Arial"/>
          <w:sz w:val="22"/>
          <w:szCs w:val="22"/>
        </w:rPr>
        <w:t xml:space="preserve">The analysis is implemented in notebooks NB10A (keyword filtering and topic assignment), NB10B (topic-specific FinBERT inference and lag construction), and NB10C (model training, evaluation, and EBM shape function analysis). All results use the Stage 2 panel (2003–2020, 13 onset-year positives under crisisjst) and are evaluated by StratifiedKFold cross-validation (n = 5 folds, shuffle = False) to preserve approximate temporal ordering. Results should be read as exploratory and directional: with 13 positive observations, fold-level AUROC and AUPRC carry high variance (standard deviations of 0.076–0.109 across folds), and no statistical inference is reported.</w:t>
      </w:r>
    </w:p>
    <w:p>
      <w:pPr>
        <w:pStyle w:val="Heading1"/>
      </w:pPr>
      <w:r>
        <w:rPr>
          <w:rFonts w:ascii="Arial" w:cs="Arial" w:eastAsia="Arial" w:hAnsi="Arial"/>
          <w:b/>
          <w:bCs/>
          <w:sz w:val="32"/>
          <w:szCs w:val="32"/>
        </w:rPr>
        <w:t xml:space="preserve">A.2 Topic Classification and Feature Construction</w:t>
      </w:r>
    </w:p>
    <w:p>
      <w:pPr>
        <w:spacing w:after="160"/>
        <w:jc w:val="both"/>
      </w:pPr>
      <w:r>
        <w:rPr>
          <w:rFonts w:ascii="Arial" w:cs="Arial" w:eastAsia="Arial" w:hAnsi="Arial"/>
          <w:sz w:val="22"/>
          <w:szCs w:val="22"/>
        </w:rPr>
        <w:t xml:space="preserve">Five topic domains are defined via keyword taxonomy applied to the 16,622 BIS central bank speeches previously used for aggregate sentiment scoring: Credit (loan growth, credit boom, lending standards, mortgage, bank credit), Real Estate (house prices, housing market, property prices, real estate, mortgage lending), Monetary Policy (interest rate, policy rate, inflation target, quantitative easing, forward guidance), Sovereign (government debt, fiscal deficit, sovereign risk, public finances, debt sustainability), and Corporate (corporate debt, business investment, non-financial corporates, leverage, profitability).</w:t>
      </w:r>
    </w:p>
    <w:p>
      <w:pPr>
        <w:spacing w:after="160"/>
        <w:jc w:val="both"/>
      </w:pPr>
      <w:r>
        <w:rPr>
          <w:rFonts w:ascii="Arial" w:cs="Arial" w:eastAsia="Arial" w:hAnsi="Arial"/>
          <w:sz w:val="22"/>
          <w:szCs w:val="22"/>
        </w:rPr>
        <w:t xml:space="preserve">Each speech is assigned to one or more topic categories based on keyword presence in the speech text. FinBERT negative sentiment scores are then computed separately within each topic subset, producing country-year average topic-sentiment scores that are lagged one, two, and three years following the same procedure as the aggregate sentiment features in M3. Three topic categories with sufficient cross-country coverage are retained for the modelling stage: Credit, Monetary Policy, and Corporate, yielding nine topic-sentiment features in total (three lags per topic). Actual corpus coverage ranges from approximately 30 per cent of country-year observations for credit sentiment to 53 per cent for monetary policy sentiment, reflecting differential speech volumes across national central banks and topics.</w:t>
      </w:r>
    </w:p>
    <w:p>
      <w:pPr>
        <w:pStyle w:val="Heading1"/>
      </w:pPr>
      <w:r>
        <w:rPr>
          <w:rFonts w:ascii="Arial" w:cs="Arial" w:eastAsia="Arial" w:hAnsi="Arial"/>
          <w:b/>
          <w:bCs/>
          <w:sz w:val="32"/>
          <w:szCs w:val="32"/>
        </w:rPr>
        <w:t xml:space="preserve">A.3 Model Design</w:t>
      </w:r>
    </w:p>
    <w:p>
      <w:pPr>
        <w:spacing w:after="160"/>
        <w:jc w:val="both"/>
      </w:pPr>
      <w:r>
        <w:rPr>
          <w:rFonts w:ascii="Arial" w:cs="Arial" w:eastAsia="Arial" w:hAnsi="Arial"/>
          <w:sz w:val="22"/>
          <w:szCs w:val="22"/>
        </w:rPr>
        <w:t xml:space="preserve">Two model pairs are trained and evaluated. The M3-only baseline uses the 41 macro features available in the NB10C panel (a subset of the full 61-feature M3 set; 20 features from later dissertation notebooks are absent from the NB10B output). The Augmented specification adds the nine topic-sentiment features to the same 41 macro features, producing a 50-feature input matrix. Both Random Forest and EBM are trained under identical hyperparameters (RF: 500 trees, max depth 4, class-weight balanced; EBM: max bins 128, five interaction terms), with training-fold median imputation applied to handle missing sentiment observations. StratifiedKFold with shuffle = False ensures folds respect the approximate chronological ordering of the 319-row Stage 2 panel.</w:t>
      </w:r>
    </w:p>
    <w:p>
      <w:pPr>
        <w:spacing w:after="160"/>
        <w:jc w:val="both"/>
      </w:pPr>
      <w:r>
        <w:rPr>
          <w:rFonts w:ascii="Arial" w:cs="Arial" w:eastAsia="Arial" w:hAnsi="Arial"/>
          <w:sz w:val="22"/>
          <w:szCs w:val="22"/>
        </w:rPr>
        <w:t xml:space="preserve">Strict temporal splitting is not viable for this dataset: all 13 crisis onset events fall in 2007–2013, meaning no temporal cut produces non-zero positive counts on both sides of the boundary within the 2003–2020 window. This is a direct consequence of using crisisjst (onset-year only) rather than crisis_w2 (pre-crisis window), and is reported as a design constraint rather than a model limitation.</w:t>
      </w:r>
    </w:p>
    <w:p>
      <w:pPr>
        <w:pStyle w:val="Heading1"/>
      </w:pPr>
      <w:r>
        <w:rPr>
          <w:rFonts w:ascii="Arial" w:cs="Arial" w:eastAsia="Arial" w:hAnsi="Arial"/>
          <w:b/>
          <w:bCs/>
          <w:sz w:val="32"/>
          <w:szCs w:val="32"/>
        </w:rPr>
        <w:t xml:space="preserve">A.4 Results</w:t>
      </w:r>
    </w:p>
    <w:p>
      <w:pPr>
        <w:pStyle w:val="Heading2"/>
      </w:pPr>
      <w:r>
        <w:rPr>
          <w:rFonts w:ascii="Arial" w:cs="Arial" w:eastAsia="Arial" w:hAnsi="Arial"/>
          <w:b/>
          <w:bCs/>
          <w:sz w:val="28"/>
          <w:szCs w:val="28"/>
        </w:rPr>
        <w:t xml:space="preserve">A.4.1 Predictive Performance</w:t>
      </w:r>
    </w:p>
    <w:p>
      <w:pPr>
        <w:spacing w:after="160"/>
        <w:jc w:val="both"/>
      </w:pPr>
      <w:r>
        <w:rPr>
          <w:rFonts w:ascii="Arial" w:cs="Arial" w:eastAsia="Arial" w:hAnsi="Arial"/>
          <w:sz w:val="22"/>
          <w:szCs w:val="22"/>
        </w:rPr>
        <w:t xml:space="preserve">Table A.1 presents mean cross-validated metrics across all five folds for both model specifications. Table A.2 presents the incremental effect of adding topic-sentiment features.</w:t>
      </w:r>
    </w:p>
    <w:p>
      <w:pPr>
        <w:spacing w:after="80"/>
      </w:pPr>
      <w:r>
        <w:t xml:space="preserve"/>
      </w:r>
    </w:p>
    <w:p>
      <w:pPr>
        <w:spacing w:after="80"/>
      </w:pPr>
      <w:r>
        <w:rPr>
          <w:rFonts w:ascii="Arial" w:cs="Arial" w:eastAsia="Arial" w:hAnsi="Arial"/>
          <w:b/>
          <w:bCs/>
          <w:sz w:val="20"/>
          <w:szCs w:val="20"/>
        </w:rPr>
        <w:t xml:space="preserve">Table A.1. Topic-Sentiment Extension — Summary Table (StratifiedKFold, n = 5)</w:t>
      </w:r>
    </w:p>
    <w:p>
      <w:pPr>
        <w:spacing w:after="160"/>
        <w:jc w:val="both"/>
      </w:pPr>
      <w:r>
        <w:rPr>
          <w:rFonts w:ascii="Arial" w:cs="Arial" w:eastAsia="Arial" w:hAnsi="Arial"/>
          <w:i/>
          <w:iCs/>
          <w:sz w:val="22"/>
          <w:szCs w:val="22"/>
        </w:rPr>
        <w:t xml:space="preserve">Target: crisisjst | Stage 2: 2003–2020 | N = 319 | Positives = 13</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300"/>
        <w:gridCol w:w="1300"/>
        <w:gridCol w:w="1300"/>
        <w:gridCol w:w="1300"/>
        <w:gridCol w:w="130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AUROC (mean)</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AUROC (std)</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AUPRC (mean)</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AUPRC (std)</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Brier (mean)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 (M3-only)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0.872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0.529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0.214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EBM (M3-only)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0.889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0.076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0.527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0.252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0.033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 (Augmented)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0.890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0.499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0.195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0.039</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EBM (Augmented)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0.889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0.109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0.527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0.276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0.035</w:t>
            </w:r>
          </w:p>
        </w:tc>
      </w:tr>
    </w:tbl>
    <w:p>
      <w:pPr>
        <w:spacing w:after="200" w:before="80"/>
      </w:pPr>
      <w:r>
        <w:rPr>
          <w:rFonts w:ascii="Arial" w:cs="Arial" w:eastAsia="Arial" w:hAnsi="Arial"/>
          <w:i/>
          <w:iCs/>
          <w:sz w:val="20"/>
          <w:szCs w:val="20"/>
        </w:rPr>
        <w:t xml:space="preserve">Table A.1. Mean metrics across five stratified folds. High standard deviations reflect 2–3 positive test cases per fold. M3-only uses the 41 macro features available in the NB10C panel.</w:t>
      </w:r>
    </w:p>
    <w:p>
      <w:pPr>
        <w:spacing w:after="80"/>
      </w:pPr>
      <w:r>
        <w:t xml:space="preserve"/>
      </w:r>
    </w:p>
    <w:p>
      <w:pPr>
        <w:spacing w:after="80"/>
      </w:pPr>
      <w:r>
        <w:rPr>
          <w:rFonts w:ascii="Arial" w:cs="Arial" w:eastAsia="Arial" w:hAnsi="Arial"/>
          <w:b/>
          <w:bCs/>
          <w:sz w:val="20"/>
          <w:szCs w:val="20"/>
        </w:rPr>
        <w:t xml:space="preserve">Table A.2. Incremental Effect of Topic-Sentiment Features (Augmented minus M3-only)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300"/>
        <w:gridCol w:w="240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ΔAUROC</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ΔAUPRC</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ΔBrier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 (Augmented − M3-only)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−0.003</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EBM (Augmented − M3-only)</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+0.002</w:t>
            </w:r>
          </w:p>
        </w:tc>
      </w:tr>
    </w:tbl>
    <w:p>
      <w:pPr>
        <w:spacing w:after="200" w:before="80"/>
      </w:pPr>
      <w:r>
        <w:rPr>
          <w:rFonts w:ascii="Arial" w:cs="Arial" w:eastAsia="Arial" w:hAnsi="Arial"/>
          <w:i/>
          <w:iCs/>
          <w:sz w:val="20"/>
          <w:szCs w:val="20"/>
        </w:rPr>
        <w:t xml:space="preserve">Table A.2. Delta metrics show zero incremental contribution for EBM and marginal noise addition for RF on AUPRC.</w:t>
      </w:r>
    </w:p>
    <w:p>
      <w:pPr>
        <w:spacing w:after="80"/>
      </w:pPr>
      <w:r>
        <w:t xml:space="preserve"/>
      </w:r>
    </w:p>
    <w:p>
      <w:pPr>
        <w:spacing w:after="160"/>
        <w:jc w:val="both"/>
      </w:pPr>
      <w:r>
        <w:rPr>
          <w:rFonts w:ascii="Arial" w:cs="Arial" w:eastAsia="Arial" w:hAnsi="Arial"/>
          <w:sz w:val="22"/>
          <w:szCs w:val="22"/>
        </w:rPr>
        <w:t xml:space="preserve">The results are unambiguous. EBM shows exactly zero incremental effect on both AUROC (Δ = +0.000) and AUPRC (Δ = +0.000) when topic-sentiment features are added to the macro baseline. The Brier Score deteriorates marginally (+0.002). Random Forest shows a small AUROC gain (+0.018) but AUPRC declines (−0.030), indicating that topic features introduce noise into the precision-recall trade-off without improving rank-order discrimination. Both results replicate the core dissertation finding — in the main analysis, aggregate FinBERT sentiment showed an AUPRC CI of [−0.130, +0.312] spanning zero — and extend it: the null result is robust to topic disaggregation. The standard deviation of both AUROC and AUPRC increases when topic features are added, consistent with sparse, intermittent features amplifying fold-level variance without contributing systematic signal.</w:t>
      </w:r>
    </w:p>
    <w:p>
      <w:pPr>
        <w:pStyle w:val="Heading2"/>
      </w:pPr>
      <w:r>
        <w:rPr>
          <w:rFonts w:ascii="Arial" w:cs="Arial" w:eastAsia="Arial" w:hAnsi="Arial"/>
          <w:b/>
          <w:bCs/>
          <w:sz w:val="28"/>
          <w:szCs w:val="28"/>
        </w:rPr>
        <w:t xml:space="preserve">A.4.2 Feature Importance Decomposition</w:t>
      </w:r>
    </w:p>
    <w:p>
      <w:pPr>
        <w:spacing w:after="160"/>
        <w:jc w:val="both"/>
      </w:pPr>
      <w:r>
        <w:rPr>
          <w:rFonts w:ascii="Arial" w:cs="Arial" w:eastAsia="Arial" w:hAnsi="Arial"/>
          <w:sz w:val="22"/>
          <w:szCs w:val="22"/>
        </w:rPr>
        <w:t xml:space="preserve">Figure A.1 (see saved output ebm_importance_macro_vs_topic.png) presents EBM global feature importances for the full-sample fit, separating macro [M] and topic sentiment [T] features. Table A.3 reports topic sentiment importances individually and the macro-to-topic importance ratio.</w:t>
      </w:r>
    </w:p>
    <w:p>
      <w:pPr>
        <w:spacing w:after="80"/>
      </w:pPr>
      <w:r>
        <w:t xml:space="preserve"/>
      </w:r>
    </w:p>
    <w:p>
      <w:pPr>
        <w:spacing w:after="80"/>
      </w:pPr>
      <w:r>
        <w:rPr>
          <w:rFonts w:ascii="Arial" w:cs="Arial" w:eastAsia="Arial" w:hAnsi="Arial"/>
          <w:b/>
          <w:bCs/>
          <w:sz w:val="20"/>
          <w:szCs w:val="20"/>
        </w:rPr>
        <w:t xml:space="preserve">Table A.3. EBM Feature Importance: Topic Sentiment vs Macro (Full Sample 2003–2020)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40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Importance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Rank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monetary_policy_sent_neg_lag3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Topic sentiment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0.152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(of 9 topic)</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monetary_policy_sent_neg_lag2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Topic sentiment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0.123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corporate_sent_neg_lag1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Topic sentiment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0.099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monetary_policy_sent_neg_lag1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Topic sentiment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0.092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corporate_sent_neg_lag3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Topic sentiment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0.084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credit_sent_neg_lag1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Topic sentiment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0.046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corporate_sent_neg_lag2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Topic sentiment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credit_sent_neg_lag2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Topic sentiment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0.043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credit_sent_neg_lag3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Topic sentiment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(lowest)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Mean topic importance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0.079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macro importance (top 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Ratio topic / macro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0.240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r>
          </w:p>
        </w:tc>
      </w:tr>
    </w:tbl>
    <w:p>
      <w:pPr>
        <w:spacing w:after="200" w:before="80"/>
      </w:pPr>
      <w:r>
        <w:rPr>
          <w:rFonts w:ascii="Arial" w:cs="Arial" w:eastAsia="Arial" w:hAnsi="Arial"/>
          <w:i/>
          <w:iCs/>
          <w:sz w:val="20"/>
          <w:szCs w:val="20"/>
        </w:rPr>
        <w:t xml:space="preserve">Table A.3. No topic-sentiment feature appears in the EBM top 10 overall. The top macro feature (term_spread_lag2 × ltrate_lag3 interaction, importance 0.655) individually exceeds the combined mean of the entire topic sentiment block (mean 0.079). Ratio topic/macro = 0.240 across the top 15 macro features.</w:t>
      </w:r>
    </w:p>
    <w:p>
      <w:pPr>
        <w:spacing w:after="80"/>
      </w:pPr>
      <w:r>
        <w:t xml:space="preserve"/>
      </w:r>
    </w:p>
    <w:p>
      <w:pPr>
        <w:spacing w:after="160"/>
        <w:jc w:val="both"/>
      </w:pPr>
      <w:r>
        <w:rPr>
          <w:rFonts w:ascii="Arial" w:cs="Arial" w:eastAsia="Arial" w:hAnsi="Arial"/>
          <w:sz w:val="22"/>
          <w:szCs w:val="22"/>
        </w:rPr>
        <w:t xml:space="preserve">The importance ratio of 0.240 quantifies the macro dominance: topic-sentiment features carry on average only 24 per cent of the importance weight of the top macro features. Within the topic block, monetary policy sentiment at lag three (0.152) is the most informative topic feature, consistent with the view that central bank communication about the interest rate environment carries more systematic early-warning signal than credit or corporate sector commentary. Credit sentiment is the weakest topic category across all lags (0.026–0.046), suggesting that BIS speech coverage of credit conditions is either too sparse or too reactive to crisis events already under way to provide a leading signal.</w:t>
      </w:r>
    </w:p>
    <w:p>
      <w:pPr>
        <w:pStyle w:val="Heading1"/>
      </w:pPr>
      <w:r>
        <w:rPr>
          <w:rFonts w:ascii="Arial" w:cs="Arial" w:eastAsia="Arial" w:hAnsi="Arial"/>
          <w:b/>
          <w:bCs/>
          <w:sz w:val="32"/>
          <w:szCs w:val="32"/>
        </w:rPr>
        <w:t xml:space="preserve">A.5 EBM Shape Function Stability Across Regimes</w:t>
      </w:r>
    </w:p>
    <w:p>
      <w:pPr>
        <w:spacing w:after="160"/>
        <w:jc w:val="both"/>
      </w:pPr>
      <w:r>
        <w:rPr>
          <w:rFonts w:ascii="Arial" w:cs="Arial" w:eastAsia="Arial" w:hAnsi="Arial"/>
          <w:sz w:val="22"/>
          <w:szCs w:val="22"/>
        </w:rPr>
        <w:t xml:space="preserve">The centrepiece analysis of the extension applies the shape function stability methodology from Section 4.7.3 to the top topic-sentiment features, comparing EBM shape functions estimated on the full sample (2003–2020) against those estimated on the GFC sub-period (2007–2012) only. Two EBMs are trained: one on all 319 observations with median imputation, one on the 108 GFC-period observations. The GFC-period EBM is trained on a higher base rate (12.0 per cent vs 4.1 per cent for the full sample), which should be noted when comparing the magnitudes of log-odds contributions.</w:t>
      </w:r>
    </w:p>
    <w:p>
      <w:pPr>
        <w:spacing w:after="160"/>
        <w:jc w:val="both"/>
      </w:pPr>
      <w:r>
        <w:rPr>
          <w:rFonts w:ascii="Arial" w:cs="Arial" w:eastAsia="Arial" w:hAnsi="Arial"/>
          <w:sz w:val="22"/>
          <w:szCs w:val="22"/>
        </w:rPr>
        <w:t xml:space="preserve">Figure A.2 (see saved output ebm_shape_topic_regimes.png) presents shape function pairs for the three highest-ranked topic features by EBM importance.</w:t>
      </w:r>
    </w:p>
    <w:p>
      <w:pPr>
        <w:pStyle w:val="Heading2"/>
      </w:pPr>
      <w:r>
        <w:rPr>
          <w:rFonts w:ascii="Arial" w:cs="Arial" w:eastAsia="Arial" w:hAnsi="Arial"/>
          <w:b/>
          <w:bCs/>
          <w:sz w:val="28"/>
          <w:szCs w:val="28"/>
        </w:rPr>
        <w:t xml:space="preserve">A.5.1 monetary_policy_sent_neg_lag3</w:t>
      </w:r>
    </w:p>
    <w:p>
      <w:pPr>
        <w:spacing w:after="160"/>
        <w:jc w:val="both"/>
      </w:pPr>
      <w:r>
        <w:rPr>
          <w:rFonts w:ascii="Arial" w:cs="Arial" w:eastAsia="Arial" w:hAnsi="Arial"/>
          <w:sz w:val="22"/>
          <w:szCs w:val="22"/>
        </w:rPr>
        <w:t xml:space="preserve">The shape function for three-year lagged monetary policy negative sentiment is monotonically declining in both the full-sample and GFC-period models: higher negative sentiment is associated with lower crisis risk in both regimes, with a zero crossing near a feature value of 0.15 in both cases. The qualitative direction is therefore consistent across regimes. However, the GFC-period model exhibits a sharp discontinuity — a cliff drop — in the 0.15–0.20 range that is absent from the smooth, gradual decline in the full-sample curve. The log-odds amplitude is larger under the GFC model (range approximately 1.1) than the full-sample model (range approximately 0.9), consistent with the inflated base rate amplifying shape function magnitudes. The directional consistency suggests that low negativity in central bank monetary policy communication three years prior is associated with elevated crisis risk, plausibly because complacent communication precedes credit boom conditions; the cliff discontinuity in the GFC model indicates that this relationship becomes sharply non-linear under crisis conditions.</w:t>
      </w:r>
    </w:p>
    <w:p>
      <w:pPr>
        <w:pStyle w:val="Heading2"/>
      </w:pPr>
      <w:r>
        <w:rPr>
          <w:rFonts w:ascii="Arial" w:cs="Arial" w:eastAsia="Arial" w:hAnsi="Arial"/>
          <w:b/>
          <w:bCs/>
          <w:sz w:val="28"/>
          <w:szCs w:val="28"/>
        </w:rPr>
        <w:t xml:space="preserve">A.5.2 monetary_policy_sent_neg_lag2</w:t>
      </w:r>
    </w:p>
    <w:p>
      <w:pPr>
        <w:spacing w:after="160"/>
        <w:jc w:val="both"/>
      </w:pPr>
      <w:r>
        <w:rPr>
          <w:rFonts w:ascii="Arial" w:cs="Arial" w:eastAsia="Arial" w:hAnsi="Arial"/>
          <w:sz w:val="22"/>
          <w:szCs w:val="22"/>
        </w:rPr>
        <w:t xml:space="preserve">The two-year lagged monetary policy sentiment feature exhibits a non-monotonic hump shape in both regimes: crisis risk is highest at low-to-moderate levels of negative sentiment, declines at high negative sentiment levels, and is negative at very high negativity. The full-sample peak reaches approximately +0.4 log-odds; the GFC model peak is compressed to approximately +0.19, less than half the amplitude. The inflection point shifts slightly between regimes. This non-monotonic structure is consistent with the panel logistic sign reversal found in Section 4.9.3 for term spread across lags: the same feature may carry positive crisis-predictive weight at moderate values and negative weight at extreme values, reflecting different economic mechanisms operating at different intensity levels. The amplitude compression under the GFC model is consistent with regime-specific rescaling.</w:t>
      </w:r>
    </w:p>
    <w:p>
      <w:pPr>
        <w:pStyle w:val="Heading2"/>
      </w:pPr>
      <w:r>
        <w:rPr>
          <w:rFonts w:ascii="Arial" w:cs="Arial" w:eastAsia="Arial" w:hAnsi="Arial"/>
          <w:b/>
          <w:bCs/>
          <w:sz w:val="28"/>
          <w:szCs w:val="28"/>
        </w:rPr>
        <w:t xml:space="preserve">A.5.3 corporate_sent_neg_lag1</w:t>
      </w:r>
    </w:p>
    <w:p>
      <w:pPr>
        <w:spacing w:after="160"/>
        <w:jc w:val="both"/>
      </w:pPr>
      <w:r>
        <w:rPr>
          <w:rFonts w:ascii="Arial" w:cs="Arial" w:eastAsia="Arial" w:hAnsi="Arial"/>
          <w:sz w:val="22"/>
          <w:szCs w:val="22"/>
        </w:rPr>
        <w:t xml:space="preserve">The one-year lagged corporate sentiment feature is the most stable of the three across regimes. Both models exhibit the same non-monotonic structure: a slight negative contribution at very low negative sentiment values, a peak near +0.10 log-odds at moderate negative sentiment, and a declining tail at high negative sentiment reaching approximately −0.35 (full sample) and −0.30 (GFC). The structural similarity between full-sample and GFC shape functions — same direction, same inflection point location, modest amplitude compression — suggests that corporate sector sentiment at a one-year lag carries a relatively more regime-stable signal than monetary policy sentiment at longer lags. This is the most robust topic-sentiment feature in the extension.</w:t>
      </w:r>
    </w:p>
    <w:p>
      <w:pPr>
        <w:pStyle w:val="Heading2"/>
      </w:pPr>
      <w:r>
        <w:rPr>
          <w:rFonts w:ascii="Arial" w:cs="Arial" w:eastAsia="Arial" w:hAnsi="Arial"/>
          <w:b/>
          <w:bCs/>
          <w:sz w:val="28"/>
          <w:szCs w:val="28"/>
        </w:rPr>
        <w:t xml:space="preserve">A.5.4 Summary Interpretation</w:t>
      </w:r>
    </w:p>
    <w:p>
      <w:pPr>
        <w:spacing w:after="160"/>
        <w:jc w:val="both"/>
      </w:pPr>
      <w:r>
        <w:rPr>
          <w:rFonts w:ascii="Arial" w:cs="Arial" w:eastAsia="Arial" w:hAnsi="Arial"/>
          <w:sz w:val="22"/>
          <w:szCs w:val="22"/>
        </w:rPr>
        <w:t xml:space="preserve">The shape function analysis produces a result qualitatively consistent with the main dissertation finding in Section 4.7.3. Topic-sentiment shape functions are directionally consistent across regimes but exhibit amplitude compression and inflection point shifts under the GFC-period model, confirming that structural non-stationarity affects topic-specific sentiment signals as well as aggregate macro features. The instability is most pronounced for monetary policy sentiment at longer lags and least pronounced for corporate sentiment at lag one. Importantly, this instability is observed at feature importance levels of 0.079–0.152 — substantially below the top macro features (term spread interaction, importance 0.655) — suggesting that regime instability in topic sentiment operates at a lower signal level and is therefore less consequential for model behaviour than the macro-feature instability documented in the main analysis.</w:t>
      </w:r>
    </w:p>
    <w:p>
      <w:pPr>
        <w:pStyle w:val="Heading1"/>
      </w:pPr>
      <w:r>
        <w:rPr>
          <w:rFonts w:ascii="Arial" w:cs="Arial" w:eastAsia="Arial" w:hAnsi="Arial"/>
          <w:b/>
          <w:bCs/>
          <w:sz w:val="32"/>
          <w:szCs w:val="32"/>
        </w:rPr>
        <w:t xml:space="preserve">A.6 Conclusions</w:t>
      </w:r>
    </w:p>
    <w:p>
      <w:pPr>
        <w:spacing w:after="160"/>
        <w:jc w:val="both"/>
      </w:pPr>
      <w:r>
        <w:rPr>
          <w:rFonts w:ascii="Arial" w:cs="Arial" w:eastAsia="Arial" w:hAnsi="Arial"/>
          <w:sz w:val="22"/>
          <w:szCs w:val="22"/>
        </w:rPr>
        <w:t xml:space="preserve">The topic-sentiment extension produces three findings that directly complement the main dissertation analysis.</w:t>
      </w:r>
    </w:p>
    <w:p>
      <w:pPr>
        <w:spacing w:after="160"/>
        <w:jc w:val="both"/>
      </w:pPr>
      <w:r>
        <w:rPr>
          <w:rFonts w:ascii="Arial" w:cs="Arial" w:eastAsia="Arial" w:hAnsi="Arial"/>
          <w:sz w:val="22"/>
          <w:szCs w:val="22"/>
        </w:rPr>
        <w:t xml:space="preserve">First, topic disaggregation does not recover a predictive signal that aggregate sentiment fails to provide. The EBM augmented model shows exactly zero incremental AUROC and AUPRC relative to the 41-feature macro baseline. This null result strengthens the dissertation conclusion: the absence of sentiment signal is not an artefact of aggregating across topic domains with heterogeneous economic content, but reflects a structural absence of stable predictive information in central bank communication features relative to macro-financial indicators within this evaluation design.</w:t>
      </w:r>
    </w:p>
    <w:p>
      <w:pPr>
        <w:spacing w:after="160"/>
        <w:jc w:val="both"/>
      </w:pPr>
      <w:r>
        <w:rPr>
          <w:rFonts w:ascii="Arial" w:cs="Arial" w:eastAsia="Arial" w:hAnsi="Arial"/>
          <w:sz w:val="22"/>
          <w:szCs w:val="22"/>
        </w:rPr>
        <w:t xml:space="preserve">Second, macro dominance is confirmed with a quantitative importance ratio. Topic-sentiment features carry on average 24 per cent of the importance weight of macro features in the EBM full-sample fit. No topic-sentiment feature enters the overall top 10. The dominant EBM feature remains the interaction between credit growth trajectory and the three-year lagged term spread (importance 0.655), which individually exceeds the combined mean of the entire nine-feature topic-sentiment block (total importance 0.710, but this reflects nine features against one).</w:t>
      </w:r>
    </w:p>
    <w:p>
      <w:pPr>
        <w:spacing w:after="160"/>
        <w:jc w:val="both"/>
      </w:pPr>
      <w:r>
        <w:rPr>
          <w:rFonts w:ascii="Arial" w:cs="Arial" w:eastAsia="Arial" w:hAnsi="Arial"/>
          <w:sz w:val="22"/>
          <w:szCs w:val="22"/>
        </w:rPr>
        <w:t xml:space="preserve">Third, the shape function stability analysis confirms that topic-sentiment features exhibit the same qualitative non-stationarity as macro features, albeit at lower importance levels. The GFC-period EBM shows amplitude compression and inflection point shifts for monetary policy sentiment at lags two and three, while corporate sentiment at lag one is relatively more stable. This gradient of stability across topics and lags is a new finding that the main analysis could not produce, since it was restricted to macro features. It provides additional evidence that the structural non-stationarity identified as the core EWS limitation operates across both macro and textual feature classes, and is therefore a property of the crisis-generating process rather than of any particular feature type.</w:t>
      </w:r>
    </w:p>
    <w:p>
      <w:pPr>
        <w:spacing w:after="160"/>
        <w:jc w:val="both"/>
      </w:pPr>
      <w:r>
        <w:rPr>
          <w:rFonts w:ascii="Arial" w:cs="Arial" w:eastAsia="Arial" w:hAnsi="Arial"/>
          <w:sz w:val="22"/>
          <w:szCs w:val="22"/>
        </w:rPr>
        <w:t xml:space="preserve">Together, these results confirm that the central conclusion of the dissertation — that EWS failure reflects structural non-stationarity in the data-generating process rather than model choice or feature design — is robust to the introduction of topic-disaggregated central bank sentiment features.</w:t>
      </w:r>
    </w:p>
    <w:p>
      <w:pPr>
        <w:pStyle w:val="Heading1"/>
      </w:pPr>
      <w:r>
        <w:rPr>
          <w:rFonts w:ascii="Arial" w:cs="Arial" w:eastAsia="Arial" w:hAnsi="Arial"/>
          <w:b/>
          <w:bCs/>
          <w:sz w:val="32"/>
          <w:szCs w:val="32"/>
        </w:rPr>
        <w:t xml:space="preserve">References</w:t>
      </w:r>
    </w:p>
    <w:p>
      <w:pPr>
        <w:spacing w:after="160"/>
        <w:jc w:val="both"/>
      </w:pPr>
      <w:r>
        <w:rPr>
          <w:rFonts w:ascii="Arial" w:cs="Arial" w:eastAsia="Arial" w:hAnsi="Arial"/>
          <w:i/>
          <w:iCs/>
          <w:sz w:val="22"/>
          <w:szCs w:val="22"/>
        </w:rPr>
        <w:t xml:space="preserve">Ho, T., Moench, E. and Steeley, J. (2022) </w:t>
      </w:r>
      <w:r>
        <w:rPr>
          <w:rFonts w:ascii="Arial" w:cs="Arial" w:eastAsia="Arial" w:hAnsi="Arial"/>
          <w:sz w:val="22"/>
          <w:szCs w:val="22"/>
        </w:rPr>
        <w:t xml:space="preserve">‘Central bank communication and financial stability’, </w:t>
      </w:r>
      <w:r>
        <w:rPr>
          <w:rFonts w:ascii="Arial" w:cs="Arial" w:eastAsia="Arial" w:hAnsi="Arial"/>
          <w:i/>
          <w:iCs/>
          <w:sz w:val="22"/>
          <w:szCs w:val="22"/>
        </w:rPr>
        <w:t xml:space="preserve">Journal of Money, Credit and Banking</w:t>
      </w:r>
      <w:r>
        <w:rPr>
          <w:rFonts w:ascii="Arial" w:cs="Arial" w:eastAsia="Arial" w:hAnsi="Arial"/>
          <w:sz w:val="22"/>
          <w:szCs w:val="22"/>
        </w:rPr>
        <w:t xml:space="preserve">, 54(8), pp. 2233–2265.</w:t>
      </w:r>
    </w:p>
    <w:p>
      <w:pPr>
        <w:spacing w:after="160"/>
        <w:jc w:val="both"/>
      </w:pPr>
      <w:r>
        <w:rPr>
          <w:rFonts w:ascii="Arial" w:cs="Arial" w:eastAsia="Arial" w:hAnsi="Arial"/>
          <w:i/>
          <w:iCs/>
          <w:sz w:val="22"/>
          <w:szCs w:val="22"/>
        </w:rPr>
        <w:t xml:space="preserve">Jordà, Ò., Schularick, M. and Taylor, A.M. (2017) </w:t>
      </w:r>
      <w:r>
        <w:rPr>
          <w:rFonts w:ascii="Arial" w:cs="Arial" w:eastAsia="Arial" w:hAnsi="Arial"/>
          <w:sz w:val="22"/>
          <w:szCs w:val="22"/>
        </w:rPr>
        <w:t xml:space="preserve">‘Macrofinancial history and the new business cycle facts’, </w:t>
      </w:r>
      <w:r>
        <w:rPr>
          <w:rFonts w:ascii="Arial" w:cs="Arial" w:eastAsia="Arial" w:hAnsi="Arial"/>
          <w:i/>
          <w:iCs/>
          <w:sz w:val="22"/>
          <w:szCs w:val="22"/>
        </w:rPr>
        <w:t xml:space="preserve">NBER Macroeconomics Annual</w:t>
      </w:r>
      <w:r>
        <w:rPr>
          <w:rFonts w:ascii="Arial" w:cs="Arial" w:eastAsia="Arial" w:hAnsi="Arial"/>
          <w:sz w:val="22"/>
          <w:szCs w:val="22"/>
        </w:rPr>
        <w:t xml:space="preserve">, 31(1), pp. 213–263.</w:t>
      </w:r>
    </w:p>
    <w:p>
      <w:pPr>
        <w:spacing w:after="160"/>
        <w:jc w:val="both"/>
      </w:pPr>
      <w:r>
        <w:rPr>
          <w:rFonts w:ascii="Arial" w:cs="Arial" w:eastAsia="Arial" w:hAnsi="Arial"/>
          <w:i/>
          <w:iCs/>
          <w:sz w:val="22"/>
          <w:szCs w:val="22"/>
        </w:rPr>
        <w:t xml:space="preserve">Lou, Y., Caruana, R., Gehrke, J. and Hooker, G. (2013) </w:t>
      </w:r>
      <w:r>
        <w:rPr>
          <w:rFonts w:ascii="Arial" w:cs="Arial" w:eastAsia="Arial" w:hAnsi="Arial"/>
          <w:sz w:val="22"/>
          <w:szCs w:val="22"/>
        </w:rPr>
        <w:t xml:space="preserve">‘Accurate intelligible models with pairwise interactions’, </w:t>
      </w:r>
      <w:r>
        <w:rPr>
          <w:rFonts w:ascii="Arial" w:cs="Arial" w:eastAsia="Arial" w:hAnsi="Arial"/>
          <w:i/>
          <w:iCs/>
          <w:sz w:val="22"/>
          <w:szCs w:val="22"/>
        </w:rPr>
        <w:t xml:space="preserve">Proceedings of the 19th ACM SIGKDD International Conference on Knowledge Discovery and Data Mining</w:t>
      </w:r>
      <w:r>
        <w:rPr>
          <w:rFonts w:ascii="Arial" w:cs="Arial" w:eastAsia="Arial" w:hAnsi="Arial"/>
          <w:sz w:val="22"/>
          <w:szCs w:val="22"/>
        </w:rPr>
        <w:t xml:space="preserve">, pp. 623–631.</w:t>
      </w:r>
    </w:p>
    <w:p>
      <w:pPr>
        <w:spacing w:after="160"/>
        <w:jc w:val="both"/>
      </w:pPr>
      <w:r>
        <w:rPr>
          <w:rFonts w:ascii="Arial" w:cs="Arial" w:eastAsia="Arial" w:hAnsi="Arial"/>
          <w:i/>
          <w:iCs/>
          <w:sz w:val="22"/>
          <w:szCs w:val="22"/>
        </w:rPr>
        <w:t xml:space="preserve">Loughran, T. and McDonald, B. (2011) </w:t>
      </w:r>
      <w:r>
        <w:rPr>
          <w:rFonts w:ascii="Arial" w:cs="Arial" w:eastAsia="Arial" w:hAnsi="Arial"/>
          <w:sz w:val="22"/>
          <w:szCs w:val="22"/>
        </w:rPr>
        <w:t xml:space="preserve">‘When is a liability not a liability? Textual analysis, dictionaries, and 10-Ks’, </w:t>
      </w:r>
      <w:r>
        <w:rPr>
          <w:rFonts w:ascii="Arial" w:cs="Arial" w:eastAsia="Arial" w:hAnsi="Arial"/>
          <w:i/>
          <w:iCs/>
          <w:sz w:val="22"/>
          <w:szCs w:val="22"/>
        </w:rPr>
        <w:t xml:space="preserve">Journal of Finance</w:t>
      </w:r>
      <w:r>
        <w:rPr>
          <w:rFonts w:ascii="Arial" w:cs="Arial" w:eastAsia="Arial" w:hAnsi="Arial"/>
          <w:sz w:val="22"/>
          <w:szCs w:val="22"/>
        </w:rPr>
        <w:t xml:space="preserve">, 66(1), pp. 35–65.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Pavlos Papachristos • PP24589 • MSc Artificial Intelligence, University of Essex Online • April 2026   |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2026-04-13T22:04:33.432Z</dcterms:created>
  <dcterms:modified xsi:type="dcterms:W3CDTF">2026-04-13T22:04:33.433Z</dcterms:modified>
</cp:coreProperties>
</file>

<file path=docProps/custom.xml><?xml version="1.0" encoding="utf-8"?>
<Properties xmlns="http://schemas.openxmlformats.org/officeDocument/2006/custom-properties" xmlns:vt="http://schemas.openxmlformats.org/officeDocument/2006/docPropsVTypes"/>
</file>