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chapter-4-results-and-interpretation"/>
    <w:p>
      <w:pPr>
        <w:pStyle w:val="Heading1"/>
      </w:pPr>
      <w:r>
        <w:t xml:space="preserve">Chapter 4: Results and Interpretation</w:t>
      </w:r>
    </w:p>
    <w:p>
      <w:pPr>
        <w:pStyle w:val="FirstParagraph"/>
      </w:pPr>
      <w:r>
        <w:t>Economic Crisis Prediction: Improving the Trade-off Between Interpretability and Statistical Accuracy in ML-Enhanced Crisis Prediction Models</w:t>
      </w:r>
    </w:p>
    <w:p>
      <w:pPr>
        <w:pStyle w:val="BodyText"/>
      </w:pPr>
      <w:r>
        <w:t>Pavlos Papachristos • PP24589 • MSc Artificial Intelligence, University of Essex Online • April 2026</w:t>
      </w:r>
    </w:p>
    <w:p>
      <w:r>
        <w:pict>
          <v:rect style="width:0;height:1.5pt" o:hralign="center" o:hrstd="t" o:hr="t"/>
        </w:pict>
      </w:r>
    </w:p>
    <w:bookmarkStart w:id="20" w:name="dataset-and-experimental-setup"/>
    <w:p>
      <w:pPr>
        <w:pStyle w:val="Heading2"/>
      </w:pPr>
      <w:r>
        <w:t xml:space="preserve">4.1 Dataset and Experimental Setup</w:t>
      </w:r>
    </w:p>
    <w:p>
      <w:pPr>
        <w:pStyle w:val="FirstParagraph"/>
      </w:pPr>
      <w:r>
        <w:t>This chapter does not aim to demonstrate universal superiority of sentiment-augmented models over macroeconomic baselines. Instead, it evaluates how apparent performance gains depend on the evaluation framework under severe data constraints, identifying where they arise, when they persist, and why they require cautious interpretation. This framing applies uniformly across all results, including the EBM extension, as identical evaluation constraints govern every model regardless of complexity or interpretability.</w:t>
      </w:r>
    </w:p>
    <w:p>
      <w:pPr>
        <w:pStyle w:val="BodyText"/>
      </w:pPr>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pPr>
        <w:pStyle w:val="BodyText"/>
      </w:pPr>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pPr>
        <w:pStyle w:val="BodyText"/>
      </w:pPr>
      <w:r>
        <w:t>Two methodological constraints govern all metric interpretation and are stated here in full; subsequent sections reference them by cross-reference rather than repetition. First, Stage 2 AUPRC was computable in only one of the 12 evaluation folds: crisis onset events are concentrated in 2007, and subsequent folds contain zero positive test cases. Stage 2 results therefore represent a cross-sectional discrimination test within a single crisis episode — evaluating how well each model ranks 18 countries by crisis probability in 2007 — rather than temporal predictive validation in the conventional sense. Second, all models achieve AUROC substantially below the 0.75 literature benchmark under genuinely prospective evaluation (Section 4.5). All expanding-window metrics in both stages are upper bounds on prospective performance, and this qualification applies with equal force to every model in the sequence.</w:t>
      </w:r>
    </w:p>
    <w:p>
      <w:r>
        <w:pict>
          <v:rect style="width:0;height:1.5pt" o:hralign="center" o:hrstd="t" o:hr="t"/>
        </w:pict>
      </w:r>
    </w:p>
    <w:bookmarkEnd w:id="20"/>
    <w:bookmarkStart w:id="27" w:name="primary-model-comparison"/>
    <w:p>
      <w:pPr>
        <w:pStyle w:val="Heading2"/>
      </w:pPr>
      <w:r>
        <w:t xml:space="preserve">4.2 Primary Model Comparison</w:t>
      </w:r>
    </w:p>
    <w:p>
      <w:pPr>
        <w:pStyle w:val="FirstParagraph"/>
      </w:pPr>
      <w:r>
        <w:t>Table 4.1 presents Stage 1 post-calibration metrics for M1, M1b, M2 and M2.5 (EBM) on the extended panel. Table 4.2 presents Stage 2 metrics for M2-matched, M2.5-matched, M3 and M4. Bootstrap 95 per cent confidence intervals from 1,000 resamples are indicative only.</w:t>
      </w:r>
    </w:p>
    <w:p>
      <w:pPr>
        <w:pStyle w:val="BodyText"/>
      </w:pPr>
      <w:r>
        <w:t>Table 4.1. Stage 1 — Model comparison on extended macro panel (H2 target, 1989–2020)</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AUPRC/Base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 Logistic Regression (macro lag1)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0.606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[0.477, 0.739]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0.157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M1b: LR bridge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0.145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0.136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 Random Forest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0.636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[0.484, 0.781]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0.224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3.4×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 EBM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[0.649, 0.855]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0.273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0.064</w:t>
            </w:r>
          </w:p>
        </w:tc>
      </w:tr>
    </w:tbl>
    <w:p>
      <w:pPr>
        <w:pStyle w:val="BodyText"/>
      </w:pPr>
      <w: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pPr>
        <w:pStyle w:val="BodyText"/>
      </w:pPr>
      <w:r>
        <w:t>Table 4.2. Stage 2 — Model comparison on sentiment overlap period (H2 target, 2003–2020)</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AUPRC/Base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M2-matched: RF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[0.897, 0.970]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0.343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M2.5-matched: EBM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[0.927, 0.988]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0.532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6.5×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XGBoost + FinBERT (macro + sent)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61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[0.875,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5.0×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M4: Ensemble avg(M2-matched, 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[0.895,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0.440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5.4×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0.057</w:t>
            </w:r>
          </w:p>
        </w:tc>
      </w:tr>
    </w:tbl>
    <w:p>
      <w:pPr>
        <w:pStyle w:val="BodyText"/>
      </w:pPr>
      <w:r>
        <w:t>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to all models equally.</w:t>
      </w:r>
    </w:p>
    <w:p>
      <w:pPr>
        <w:pStyle w:val="BodyText"/>
      </w:pPr>
      <w:r>
        <w:t>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pPr>
        <w:pStyle w:val="CaptionedFigure"/>
      </w:pPr>
      <w:r>
        <w:drawing>
          <wp:inline>
            <wp:extent cx="5727700" cy="2622854"/>
            <wp:effectExtent b="0" l="0" r="0" t="0"/>
            <wp:docPr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title="" id="22" name="Picture"/>
            <a:graphic>
              <a:graphicData uri="http://schemas.openxmlformats.org/drawingml/2006/picture">
                <pic:pic>
                  <pic:nvPicPr>
                    <pic:cNvPr descr="fig1.png" id="23" name="Picture"/>
                    <pic:cNvPicPr>
                      <a:picLocks noChangeArrowheads="1" noChangeAspect="1"/>
                    </pic:cNvPicPr>
                  </pic:nvPicPr>
                  <pic:blipFill>
                    <a:blip r:embed="rId21"/>
                    <a:stretch>
                      <a:fillRect/>
                    </a:stretch>
                  </pic:blipFill>
                  <pic:spPr bwMode="auto">
                    <a:xfrm>
                      <a:off x="0" y="0"/>
                      <a:ext cx="5727700" cy="2622854"/>
                    </a:xfrm>
                    <a:prstGeom prst="rect">
                      <a:avLst/>
                    </a:prstGeom>
                    <a:noFill/>
                    <a:ln w="9525">
                      <a:noFill/>
                      <a:headEnd/>
                      <a:tailEnd/>
                    </a:ln>
                  </pic:spPr>
                </pic:pic>
              </a:graphicData>
            </a:graphic>
          </wp:inline>
        </w:drawing>
      </w:r>
    </w:p>
    <w:p>
      <w:pPr>
        <w:pStyle w:val="ImageCaption"/>
      </w:pPr>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pPr>
        <w:pStyle w:val="BodyText"/>
      </w:pPr>
      <w:r>
        <w:t>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pPr>
        <w:pStyle w:val="BodyText"/>
      </w:pPr>
      <w:r>
        <w:t>Stage 2 metrics are broadly comparable to the original analysis. M2-matched achieves AUROC 0.939 and AUPRC 0.343. M3 achieves AUROC 0.932 and AUPRC 0.411, a 5.0× 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M2.5-matched appears to achieve higher AUPRC than M3 (0.532 versus 0.411) without any sentiment features — reflecting the same algorithm non-linearity effect that separates M2 from M1b, and indicating that the observed M3 advantage over M2-matched is better attributed to algorithm choice than to a stable sentiment signal.</w:t>
      </w:r>
    </w:p>
    <w:p>
      <w:pPr>
        <w:pStyle w:val="BodyText"/>
      </w:pPr>
      <w:r>
        <w:t>Figure 4.2 presents the temporal probability plots for all models. EBM (orange) tracks near zero through the pre-GFC period before rising sharply at the 2007–2008 crisis peak and assigning the highest pre-crisis mean probability of any Stage 2 model in 2006. This temporal pattern is consistent with EBM’s shape functions fitting a sharper non-linear threshold; whether it reflects genuine crisis signal or more aggressive regime-specific fitting cannot be resolved within the expanding-window design.</w:t>
      </w:r>
    </w:p>
    <w:p>
      <w:pPr>
        <w:pStyle w:val="CaptionedFigure"/>
      </w:pPr>
      <w:r>
        <w:drawing>
          <wp:inline>
            <wp:extent cx="5727700" cy="4462821"/>
            <wp:effectExtent b="0" l="0" r="0" t="0"/>
            <wp:docPr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title="" id="25" name="Picture"/>
            <a:graphic>
              <a:graphicData uri="http://schemas.openxmlformats.org/drawingml/2006/picture">
                <pic:pic>
                  <pic:nvPicPr>
                    <pic:cNvPr descr="fig2.png" id="26" name="Picture"/>
                    <pic:cNvPicPr>
                      <a:picLocks noChangeArrowheads="1" noChangeAspect="1"/>
                    </pic:cNvPicPr>
                  </pic:nvPicPr>
                  <pic:blipFill>
                    <a:blip r:embed="rId24"/>
                    <a:stretch>
                      <a:fillRect/>
                    </a:stretch>
                  </pic:blipFill>
                  <pic:spPr bwMode="auto">
                    <a:xfrm>
                      <a:off x="0" y="0"/>
                      <a:ext cx="5727700" cy="4462821"/>
                    </a:xfrm>
                    <a:prstGeom prst="rect">
                      <a:avLst/>
                    </a:prstGeom>
                    <a:noFill/>
                    <a:ln w="9525">
                      <a:noFill/>
                      <a:headEnd/>
                      <a:tailEnd/>
                    </a:ln>
                  </pic:spPr>
                </pic:pic>
              </a:graphicData>
            </a:graphic>
          </wp:inline>
        </w:drawing>
      </w:r>
    </w:p>
    <w:p>
      <w:pPr>
        <w:pStyle w:val="ImageCaption"/>
      </w:pPr>
      <w: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pPr>
        <w:pStyle w:val="BodyText"/>
      </w:pPr>
      <w:r>
        <w:t>H1 — Discrimination: Supported directionally on AUPRC in Stage 2 for M3 versus M2-matched (0.411 versus 0.343). The EBM result indicates that algorithm non-linearity drives Stage 2 performance differences more than the sentiment signal. The bootstrap 95% CI [−0.130, +0.312] spans zero; results characterise discrimination within a single-episode evaluation.</w:t>
      </w:r>
    </w:p>
    <w:p>
      <w:pPr>
        <w:pStyle w:val="BodyText"/>
      </w:pPr>
      <w:r>
        <w:t>A model averaging extension, designated M4, is introduced following Holopainen and Sarlin (2017) as the equal-weighted average of M2-matched and M3 OOS probabilities. M4 achieves AUROC 0.943, AUPRC 0.440, and Brier Score 0.057 within the Stage 2 cross-sectional evaluation. Subject to the evaluation constraints of Section 4.1, these figures characterise model behaviour within the GFC episode rather than evidence of forward-looking predictive gain. An EBM-based ensemble extension is presented in Section 4.10.</w:t>
      </w:r>
    </w:p>
    <w:p>
      <w:r>
        <w:pict>
          <v:rect style="width:0;height:1.5pt" o:hralign="center" o:hrstd="t" o:hr="t"/>
        </w:pict>
      </w:r>
    </w:p>
    <w:bookmarkEnd w:id="27"/>
    <w:bookmarkStart w:id="28" w:name="X42598f23d54a9a53a6e6f7a35d8fe60d81e8479"/>
    <w:p>
      <w:pPr>
        <w:pStyle w:val="Heading2"/>
      </w:pPr>
      <w:r>
        <w:t>4.3 Exploratory Decomposition of Model Changes</w:t>
      </w:r>
    </w:p>
    <w:p>
      <w:pPr>
        <w:pStyle w:val="FirstParagraph"/>
      </w:pPr>
      <w:r>
        <w:t>Table 4.3 extends the M1-to-M2 decomposition to include M2.5, making the full model sequence explicit. The M2 → M2.5 transition holds the feature set constant (41 macro features) while varying the algorithm, isolating the algorithm effect under identical data conditions.</w:t>
      </w:r>
    </w:p>
    <w:p>
      <w:pPr>
        <w:pStyle w:val="BodyText"/>
      </w:pPr>
      <w:r>
        <w:t>Table 4.3. Exploratory decomposition on H2 target, Stage 1 (1989–2020)</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Class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 LR (lag1 only)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 (lag1)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0.606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0.157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M1b: LR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0.145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0.136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 RF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Random Forest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0.636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0.224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 EBM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0.273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0.064</w:t>
            </w:r>
          </w:p>
        </w:tc>
      </w:tr>
    </w:tbl>
    <w:p>
      <w:pPr>
        <w:pStyle w:val="BodyText"/>
      </w:pPr>
      <w:r>
        <w:t>Table 4.3. Exploratory decomposition, Stage 1. Base rate = 0.065. Transitions are not orthogonal treatments. All metrics are upper bounds on prospective performance.</w:t>
      </w:r>
    </w:p>
    <w:p>
      <w:pPr>
        <w:pStyle w:val="BodyText"/>
      </w:pPr>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pPr>
        <w:pStyle w:val="BodyText"/>
      </w:pPr>
      <w:r>
        <w:t>H3 — Interpretability trade-off: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r>
        <w:pict>
          <v:rect style="width:0;height:1.5pt" o:hralign="center" o:hrstd="t" o:hr="t"/>
        </w:pict>
      </w:r>
    </w:p>
    <w:bookmarkEnd w:id="28"/>
    <w:bookmarkStart w:id="29" w:name="multi-horizon-analysis"/>
    <w:p>
      <w:pPr>
        <w:pStyle w:val="Heading2"/>
      </w:pPr>
      <w:r>
        <w:t xml:space="preserve">4.4 Multi-Horizon Analysis</w:t>
      </w:r>
    </w:p>
    <w:p>
      <w:pPr>
        <w:pStyle w:val="FirstParagraph"/>
      </w:pPr>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r>
        <w:pict>
          <v:rect style="width:0;height:1.5pt" o:hralign="center" o:hrstd="t" o:hr="t"/>
        </w:pict>
      </w:r>
    </w:p>
    <w:bookmarkEnd w:id="29"/>
    <w:bookmarkStart w:id="35" w:name="Xf54214aabfafa9b1ed794ccf9e0cddc7bb4e81c"/>
    <w:p>
      <w:pPr>
        <w:pStyle w:val="Heading2"/>
      </w:pPr>
      <w:r>
        <w:t>4.5 Robustness: Temporal Validation and Leave-One-Country-Out</w:t>
      </w:r>
    </w:p>
    <w:bookmarkStart w:id="30" w:name="strict-temporal-validation"/>
    <w:p>
      <w:pPr>
        <w:pStyle w:val="Heading3"/>
      </w:pPr>
      <w:r>
        <w:t xml:space="preserve">4.5.1 Strict Temporal Validation</w:t>
      </w:r>
    </w:p>
    <w:p>
      <w:pPr>
        <w:pStyle w:val="FirstParagraph"/>
      </w:pPr>
      <w:r>
        <w:t>The strict temporal validation constitutes the central empirical finding of the augmented analysis and should be read as the primary result against which all expanding-window metrics are calibrated. Table 4.4 presents results for both M2 (Random Forest) and M2.5 (EBM).</w:t>
      </w:r>
    </w:p>
    <w:p>
      <w:pPr>
        <w:pStyle w:val="BodyText"/>
      </w:pPr>
      <w:r>
        <w:t>Table 4.4. Strict temporal validation — M2 RF and M2.5 EBM (macro lag1–3)</w:t>
      </w:r>
    </w:p>
    <w:tbl>
      <w:tblPr>
        <w:tblStyle w:val="Table"/>
        <w:tblW w:type="pct" w:w="5000"/>
        <w:jc w:val="center"/>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Split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Train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Train pos.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Test pos.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M2 RF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EBM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Benchmark</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A: Pre-Nordic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1988–1990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1991–1997</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0.572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0.752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0.75</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B: Pre-GFC extended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1988–2002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2003–2011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0.481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0.333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C: Pre-GFC short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2003–2005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2006–2009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r>
    </w:tbl>
    <w:p>
      <w:pPr>
        <w:pStyle w:val="BodyText"/>
      </w:pPr>
      <w: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pPr>
        <w:pStyle w:val="BodyText"/>
      </w:pPr>
      <w:r>
        <w:t>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This suggests that model classes optimised for in-sample interpretability or flexibility may be particularly vulnerable in environments characterised by structural breaks, as they encode regime-specific relationships more precisely — making their fitted structures less transferable when the regime changes.</w:t>
      </w:r>
    </w:p>
    <w:p>
      <w:pPr>
        <w:pStyle w:val="BodyText"/>
      </w:pPr>
      <w:r>
        <w:t>The broader finding is unambiguous for both models. Neither extending macro training history across multiple crisis regimes nor changing algorithm choice — including to natively interpretable models — produces a model that generalises prospectively to the GFC. The instability of EBM shape functions documented in Section 4.7 provides direct visual evidence of why: the mapping from macro-financial indicators to crisis risk is not invariant across time, violating the core assumption underlying early-warning systems. This is not a consequence of model choice; it is a property of the data-generating process that any model trained on pre-crisis data will inherit. This implies that early-warning systems are not merely empirically limited, but conceptually misaligned with environments characterised by structural breaks, where the underlying data-generating process evolves faster than any static model can adapt.</w:t>
      </w:r>
    </w:p>
    <w:bookmarkEnd w:id="30"/>
    <w:bookmarkStart w:id="34" w:name="leave-one-country-out-validation"/>
    <w:p>
      <w:pPr>
        <w:pStyle w:val="Heading3"/>
      </w:pPr>
      <w:r>
        <w:t xml:space="preserve">4.5.2 Leave-One-Country-Out Validation</w:t>
      </w:r>
    </w:p>
    <w:p>
      <w:pPr>
        <w:pStyle w:val="FirstParagraph"/>
      </w:pPr>
      <w:r>
        <w:t>Figure 4.3 presents the LOCO AUROC comparison for M2 RF and M2.5 EBM across 15 countries with hold-out crisis events. Three countries with no hold-out crisis events (Australia, Canada, Norway) are excluded.</w:t>
      </w:r>
    </w:p>
    <w:p>
      <w:pPr>
        <w:pStyle w:val="CaptionedFigure"/>
      </w:pPr>
      <w:r>
        <w:drawing>
          <wp:inline>
            <wp:extent cx="5727700" cy="2020086"/>
            <wp:effectExtent b="0" l="0" r="0" t="0"/>
            <wp:docPr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title="" id="32" name="Picture"/>
            <a:graphic>
              <a:graphicData uri="http://schemas.openxmlformats.org/drawingml/2006/picture">
                <pic:pic>
                  <pic:nvPicPr>
                    <pic:cNvPr descr="fig3.png" id="33" name="Picture"/>
                    <pic:cNvPicPr>
                      <a:picLocks noChangeArrowheads="1" noChangeAspect="1"/>
                    </pic:cNvPicPr>
                  </pic:nvPicPr>
                  <pic:blipFill>
                    <a:blip r:embed="rId31"/>
                    <a:stretch>
                      <a:fillRect/>
                    </a:stretch>
                  </pic:blipFill>
                  <pic:spPr bwMode="auto">
                    <a:xfrm>
                      <a:off x="0" y="0"/>
                      <a:ext cx="5727700" cy="2020086"/>
                    </a:xfrm>
                    <a:prstGeom prst="rect">
                      <a:avLst/>
                    </a:prstGeom>
                    <a:noFill/>
                    <a:ln w="9525">
                      <a:noFill/>
                      <a:headEnd/>
                      <a:tailEnd/>
                    </a:ln>
                  </pic:spPr>
                </pic:pic>
              </a:graphicData>
            </a:graphic>
          </wp:inline>
        </w:drawing>
      </w:r>
    </w:p>
    <w:p>
      <w:pPr>
        <w:pStyle w:val="ImageCaption"/>
      </w:pPr>
      <w: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pPr>
        <w:pStyle w:val="BodyText"/>
      </w:pPr>
      <w:r>
        <w:t>Table 4.5. Leave-one-country-out summary — M2 RF vs M2.5 EBM, Stage 1</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Country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Hold-out events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RF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EBM AUROC</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BEL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CHE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0.983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DEU</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0.548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DNK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ESP</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FIN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FRA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GBR</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0.983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IRL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0.903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0.903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ITA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0.867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JPN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NLD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PRT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0.862</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SWE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0.950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USA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0.871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Cs/>
                <w:b w:val="0"/>
                <w:color w:val="000000"/>
                <w:sz w:val="18"/>
              </w:rPr>
              <w:t xml:space="preserve">Mean (std)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pP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0.839 (0.254)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0.893 (0.215)</w:t>
            </w:r>
          </w:p>
        </w:tc>
      </w:tr>
    </w:tbl>
    <w:p>
      <w:pPr>
        <w:pStyle w:val="BodyText"/>
      </w:pPr>
      <w: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pPr>
        <w:pStyle w:val="BodyText"/>
      </w:pPr>
      <w:r>
        <w:t>EBM shows a higher mean AUROC (0.893 versus 0.839) and lower standard deviation (0.215 versus 0.254) across countries, suggesting more consistent cross-sectional ranking within this evaluation. Country-level differences should be interpreted cautiously, as they reflect sample-specific fitting behaviour rather than stable cross-country predictive structure, and the single-event inflation bias documented in the table footnote prevents strong inference from individual country results.</w:t>
      </w:r>
    </w:p>
    <w:p>
      <w:r>
        <w:pict>
          <v:rect style="width:0;height:1.5pt" o:hralign="center" o:hrstd="t" o:hr="t"/>
        </w:pict>
      </w:r>
    </w:p>
    <w:bookmarkEnd w:id="34"/>
    <w:bookmarkEnd w:id="35"/>
    <w:bookmarkStart w:id="45" w:name="shap-feature-attribution"/>
    <w:p>
      <w:pPr>
        <w:pStyle w:val="Heading2"/>
      </w:pPr>
      <w:r>
        <w:t xml:space="preserve">4.6 SHAP Feature Attribution</w:t>
      </w:r>
    </w:p>
    <w:bookmarkStart w:id="39" w:name="aggregate-attribution-by-lag-group"/>
    <w:p>
      <w:pPr>
        <w:pStyle w:val="Heading3"/>
      </w:pPr>
      <w:r>
        <w:t xml:space="preserve">4.6.1 Aggregate Attribution by Lag Group</w:t>
      </w:r>
    </w:p>
    <w:p>
      <w:pPr>
        <w:pStyle w:val="FirstParagraph"/>
      </w:pPr>
      <w:r>
        <w:t>Figure 4.4 presents SHAP attribution for M3 in Stage 2 decomposed by lag group. The total macro share is 73.8 per cent and the FinBERT sentiment share is 26.2 per cent.</w:t>
      </w:r>
    </w:p>
    <w:p>
      <w:pPr>
        <w:pStyle w:val="CaptionedFigure"/>
      </w:pPr>
      <w:r>
        <w:drawing>
          <wp:inline>
            <wp:extent cx="5727700" cy="2820311"/>
            <wp:effectExtent b="0" l="0" r="0" t="0"/>
            <wp:docPr descr="Figure 4.4. M3 SHAP signal by lag horizon (Stage 2, 2003–2020). Dark blue = macro lag1 (2.816); light blue = macro lag3 (2.735); medium blue = macro lag2 (1.249); orange tones = FinBERT sentiment lag1 (1.325) and lag2 (1.083). Macro features account for 73.8% of total attribution; sentiment 26.2%." title="" id="37" name="Picture"/>
            <a:graphic>
              <a:graphicData uri="http://schemas.openxmlformats.org/drawingml/2006/picture">
                <pic:pic>
                  <pic:nvPicPr>
                    <pic:cNvPr descr="fig4.png" id="38" name="Picture"/>
                    <pic:cNvPicPr>
                      <a:picLocks noChangeArrowheads="1" noChangeAspect="1"/>
                    </pic:cNvPicPr>
                  </pic:nvPicPr>
                  <pic:blipFill>
                    <a:blip r:embed="rId36"/>
                    <a:stretch>
                      <a:fillRect/>
                    </a:stretch>
                  </pic:blipFill>
                  <pic:spPr bwMode="auto">
                    <a:xfrm>
                      <a:off x="0" y="0"/>
                      <a:ext cx="5727700" cy="2820311"/>
                    </a:xfrm>
                    <a:prstGeom prst="rect">
                      <a:avLst/>
                    </a:prstGeom>
                    <a:noFill/>
                    <a:ln w="9525">
                      <a:noFill/>
                      <a:headEnd/>
                      <a:tailEnd/>
                    </a:ln>
                  </pic:spPr>
                </pic:pic>
              </a:graphicData>
            </a:graphic>
          </wp:inline>
        </w:drawing>
      </w:r>
    </w:p>
    <w:p>
      <w:pPr>
        <w:pStyle w:val="ImageCaption"/>
      </w:pPr>
      <w:r>
        <w:t>Figure 4.4. M3 SHAP signal by lag horizon (Stage 2, 2003–2020). Dark blue = macro lag1 (2.816); light blue = macro lag3 (2.735); medium blue = macro lag2 (1.249); orange tones = FinBERT sentiment lag1 (1.325) and lag2 (1.083). Macro features account for 73.8% of total attribution; sentiment 26.2%.</w:t>
      </w:r>
    </w:p>
    <w:p>
      <w:pPr>
        <w:pStyle w:val="BodyText"/>
      </w:pPr>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bookmarkEnd w:id="39"/>
    <w:bookmarkStart w:id="40" w:name="individual-feature-rankings"/>
    <w:p>
      <w:pPr>
        <w:pStyle w:val="Heading3"/>
      </w:pPr>
      <w:r>
        <w:t xml:space="preserve">4.6.2 Individual Feature Rankings</w:t>
      </w:r>
    </w:p>
    <w:p>
      <w:pPr>
        <w:pStyle w:val="FirstParagraph"/>
      </w:pPr>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illustrating the compositional instability of SHAP rankings under single-episode evaluation.</w:t>
      </w:r>
    </w:p>
    <w:p>
      <w:pPr>
        <w:pStyle w:val="BodyText"/>
      </w:pPr>
      <w:r>
        <w:t>H2 — Feature relevance: 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bookmarkEnd w:id="40"/>
    <w:bookmarkStart w:id="44" w:name="convergence-with-ebm-native-importance"/>
    <w:p>
      <w:pPr>
        <w:pStyle w:val="Heading3"/>
      </w:pPr>
      <w:r>
        <w:t>4.6.3 Convergence with EBM Native Importance</w:t>
      </w:r>
    </w:p>
    <w:p>
      <w:pPr>
        <w:pStyle w:val="FirstParagraph"/>
      </w:pPr>
      <w:r>
        <w:t>Figure 4.5 presents SHAP feature rankings for M3 alongside EBM native feature importance for M2.5, derived without post-hoc attribution.</w:t>
      </w:r>
    </w:p>
    <w:p>
      <w:pPr>
        <w:pStyle w:val="CaptionedFigure"/>
      </w:pPr>
      <w:r>
        <w:drawing>
          <wp:inline>
            <wp:extent cx="5727700" cy="2520273"/>
            <wp:effectExtent b="0" l="0" r="0" t="0"/>
            <wp:docPr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title="" id="42" name="Picture"/>
            <a:graphic>
              <a:graphicData uri="http://schemas.openxmlformats.org/drawingml/2006/picture">
                <pic:pic>
                  <pic:nvPicPr>
                    <pic:cNvPr descr="fig5.png" id="43" name="Picture"/>
                    <pic:cNvPicPr>
                      <a:picLocks noChangeArrowheads="1" noChangeAspect="1"/>
                    </pic:cNvPicPr>
                  </pic:nvPicPr>
                  <pic:blipFill>
                    <a:blip r:embed="rId41"/>
                    <a:stretch>
                      <a:fillRect/>
                    </a:stretch>
                  </pic:blipFill>
                  <pic:spPr bwMode="auto">
                    <a:xfrm>
                      <a:off x="0" y="0"/>
                      <a:ext cx="5727700" cy="2520273"/>
                    </a:xfrm>
                    <a:prstGeom prst="rect">
                      <a:avLst/>
                    </a:prstGeom>
                    <a:noFill/>
                    <a:ln w="9525">
                      <a:noFill/>
                      <a:headEnd/>
                      <a:tailEnd/>
                    </a:ln>
                  </pic:spPr>
                </pic:pic>
              </a:graphicData>
            </a:graphic>
          </wp:inline>
        </w:drawing>
      </w:r>
    </w:p>
    <w:p>
      <w:pPr>
        <w:pStyle w:val="ImageCaption"/>
      </w:pPr>
      <w: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pPr>
        <w:pStyle w:val="BodyText"/>
      </w:pPr>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SHAP and EBM does not validate the causal interpretation of the feature importance. Rather, it indicates that both methods are capturing the same sample-specific correlation structure — one that may be particular to the GFC episode — rather than a stable economic relationship generalisable across crisis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r>
        <w:pict>
          <v:rect style="width:0;height:1.5pt" o:hralign="center" o:hrstd="t" o:hr="t"/>
        </w:pict>
      </w:r>
    </w:p>
    <w:bookmarkEnd w:id="44"/>
    <w:bookmarkEnd w:id="45"/>
    <w:bookmarkStart w:id="55" w:name="ebm-interpretability-benchmark"/>
    <w:p>
      <w:pPr>
        <w:pStyle w:val="Heading2"/>
      </w:pPr>
      <w:r>
        <w:t xml:space="preserve">4.7 EBM Interpretability Benchmark</w:t>
      </w:r>
    </w:p>
    <w:bookmarkStart w:id="46" w:name="motivation-and-design"/>
    <w:p>
      <w:pPr>
        <w:pStyle w:val="Heading3"/>
      </w:pPr>
      <w:r>
        <w:t xml:space="preserve">4.7.1 Motivation and Design</w:t>
      </w:r>
    </w:p>
    <w:p>
      <w:pPr>
        <w:pStyle w:val="FirstParagraph"/>
      </w:pPr>
      <w:r>
        <w:t>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fitted parameters and the interpretability output. This property is essential for the test conducted in Section 4.7.3: if shape function instability is observed in EBM, it cannot be attributed to approximation error in a post-hoc tool. It must reflect a property of the data-generating process itself.</w:t>
      </w:r>
    </w:p>
    <w:bookmarkEnd w:id="46"/>
    <w:bookmarkStart w:id="50" w:name="feature-importance"/>
    <w:p>
      <w:pPr>
        <w:pStyle w:val="Heading3"/>
      </w:pPr>
      <w:r>
        <w:t xml:space="preserve">4.7.2 Feature Importance</w:t>
      </w:r>
    </w:p>
    <w:p>
      <w:pPr>
        <w:pStyle w:val="FirstParagraph"/>
      </w:pPr>
      <w:r>
        <w:t>Figure 4.6 presents EBM’s global feature importance for the Stage 2 full-data fit.</w:t>
      </w:r>
    </w:p>
    <w:p>
      <w:pPr>
        <w:pStyle w:val="CaptionedFigure"/>
      </w:pPr>
      <w:r>
        <w:drawing>
          <wp:inline>
            <wp:extent cx="5727700" cy="4282932"/>
            <wp:effectExtent b="0" l="0" r="0" t="0"/>
            <wp:docPr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title="" id="48" name="Picture"/>
            <a:graphic>
              <a:graphicData uri="http://schemas.openxmlformats.org/drawingml/2006/picture">
                <pic:pic>
                  <pic:nvPicPr>
                    <pic:cNvPr descr="fig6.png" id="49" name="Picture"/>
                    <pic:cNvPicPr>
                      <a:picLocks noChangeArrowheads="1" noChangeAspect="1"/>
                    </pic:cNvPicPr>
                  </pic:nvPicPr>
                  <pic:blipFill>
                    <a:blip r:embed="rId47"/>
                    <a:stretch>
                      <a:fillRect/>
                    </a:stretch>
                  </pic:blipFill>
                  <pic:spPr bwMode="auto">
                    <a:xfrm>
                      <a:off x="0" y="0"/>
                      <a:ext cx="5727700" cy="4282932"/>
                    </a:xfrm>
                    <a:prstGeom prst="rect">
                      <a:avLst/>
                    </a:prstGeom>
                    <a:noFill/>
                    <a:ln w="9525">
                      <a:noFill/>
                      <a:headEnd/>
                      <a:tailEnd/>
                    </a:ln>
                  </pic:spPr>
                </pic:pic>
              </a:graphicData>
            </a:graphic>
          </wp:inline>
        </w:drawing>
      </w:r>
    </w:p>
    <w:p>
      <w:pPr>
        <w:pStyle w:val="ImageCaption"/>
      </w:pPr>
      <w: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p>
    <w:p>
      <w:pPr>
        <w:pStyle w:val="BodyText"/>
      </w:pPr>
      <w:r>
        <w:t>EBM’s top five main-effect features are entirely composed of term spread and housing price variables, with term spread at lag three (importance 1.717) leading by a margin of 0.706 over lag one (1.012). The interaction between credit growth trajectory and the three-year lagged 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bookmarkEnd w:id="50"/>
    <w:bookmarkStart w:id="54" w:name="Xe8787fd1ed17058f2f7f919c59d3e746f8e2621"/>
    <w:p>
      <w:pPr>
        <w:pStyle w:val="Heading3"/>
      </w:pPr>
      <w:r>
        <w:t>4.7.3 Shape Function Analysis: Regime Instability</w:t>
      </w:r>
    </w:p>
    <w:p>
      <w:pPr>
        <w:pStyle w:val="FirstParagraph"/>
      </w:pPr>
      <w:r>
        <w:t>Figure 4.7 presents EBM shape functions for term spread and total credit across all three lag horizons, estimated separately on a pre-GFC window (2003–2006) and a GFC-inclusive window (2003–2010). This is the centrepiece analysis of the EBM contribution.</w:t>
      </w:r>
    </w:p>
    <w:p>
      <w:pPr>
        <w:pStyle w:val="CaptionedFigure"/>
      </w:pPr>
      <w:r>
        <w:drawing>
          <wp:inline>
            <wp:extent cx="5727700" cy="3149808"/>
            <wp:effectExtent b="0" l="0" r="0" t="0"/>
            <wp:docPr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title="" id="52" name="Picture"/>
            <a:graphic>
              <a:graphicData uri="http://schemas.openxmlformats.org/drawingml/2006/picture">
                <pic:pic>
                  <pic:nvPicPr>
                    <pic:cNvPr descr="fig7.png" id="53" name="Picture"/>
                    <pic:cNvPicPr>
                      <a:picLocks noChangeArrowheads="1" noChangeAspect="1"/>
                    </pic:cNvPicPr>
                  </pic:nvPicPr>
                  <pic:blipFill>
                    <a:blip r:embed="rId51"/>
                    <a:stretch>
                      <a:fillRect/>
                    </a:stretch>
                  </pic:blipFill>
                  <pic:spPr bwMode="auto">
                    <a:xfrm>
                      <a:off x="0" y="0"/>
                      <a:ext cx="5727700" cy="3149808"/>
                    </a:xfrm>
                    <a:prstGeom prst="rect">
                      <a:avLst/>
                    </a:prstGeom>
                    <a:noFill/>
                    <a:ln w="9525">
                      <a:noFill/>
                      <a:headEnd/>
                      <a:tailEnd/>
                    </a:ln>
                  </pic:spPr>
                </pic:pic>
              </a:graphicData>
            </a:graphic>
          </wp:inline>
        </w:drawing>
      </w:r>
    </w:p>
    <w:p>
      <w:pPr>
        <w:pStyle w:val="ImageCaption"/>
      </w:pPr>
      <w: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w:t>
      </w:r>
    </w:p>
    <w:p>
      <w:pPr>
        <w:pStyle w:val="BodyText"/>
      </w:pPr>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pPr>
        <w:pStyle w:val="BodyText"/>
      </w:pPr>
      <w:r>
        <w:t>For term spread at lag one, both models produce broadly similar inverted-U patterns but with substantially different magnitudes and transition points: the pre-GFC peak reaches approximately +1.75 log-odds units against the GFC model’s +1.25, and the danger zone threshold shifts leftward once crisis data is included. At lag two, the divergence increases further, with the pre-GFC model producing a sharper shape and the GFC model a more gradual slope. At lag three — the highest-ranked EBM feature (importance 1.717) — the instability is most pronounced and qualitatively distinct: the pre-GFC and GFC shape functions have different structures, not merely different scales. The pre-GFC model learns a monotonically increasing risk relationship at positive spread values, consistent with the theoretical prior that yield curve steepening during credit expansion signals accumulating risk. The GFC-inclusive model partially inverts this at negative spread values, with the two curves crossing — the same feature value is associated with reduced risk in one regime and increased risk in the other. For total credit, the pattern is consistent across all three lags: near-zero pre-GFC contributions (no crisis events from which to identify a credit-crisis association) against increasingly negative GFC-inclusive contributions at high credit values (a compression artefact from countries that peaked before the crisis onset window).</w:t>
      </w:r>
    </w:p>
    <w:p>
      <w:pPr>
        <w:pStyle w:val="BodyText"/>
      </w:pPr>
      <w:r>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r>
        <w:pict>
          <v:rect style="width:0;height:1.5pt" o:hralign="center" o:hrstd="t" o:hr="t"/>
        </w:pict>
      </w:r>
    </w:p>
    <w:p>
      <w:pPr>
        <w:spacing w:after="160"/>
        <w:jc w:val="both"/>
      </w:pPr>
      <w:r>
        <w:t>A post-submission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bookmarkEnd w:id="54"/>
    <w:bookmarkEnd w:id="55"/>
    <w:bookmarkStart w:id="59" w:name="calibration-analysis"/>
    <w:p>
      <w:pPr>
        <w:pStyle w:val="Heading2"/>
      </w:pPr>
      <w:r>
        <w:t xml:space="preserve">4.8 Calibration Analysis</w:t>
      </w:r>
    </w:p>
    <w:p>
      <w:pPr>
        <w:pStyle w:val="FirstParagraph"/>
      </w:pPr>
      <w:r>
        <w:t>Figure 4.8 presents the calibration reliability diagrams for all three Stage 2 models.</w:t>
      </w:r>
    </w:p>
    <w:p>
      <w:pPr>
        <w:pStyle w:val="CaptionedFigure"/>
      </w:pPr>
      <w:r>
        <w:drawing>
          <wp:inline>
            <wp:extent cx="5727700" cy="1897268"/>
            <wp:effectExtent b="0" l="0" r="0" t="0"/>
            <wp:docPr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title="" id="57" name="Picture"/>
            <a:graphic>
              <a:graphicData uri="http://schemas.openxmlformats.org/drawingml/2006/picture">
                <pic:pic>
                  <pic:nvPicPr>
                    <pic:cNvPr descr="fig8.png" id="58" name="Picture"/>
                    <pic:cNvPicPr>
                      <a:picLocks noChangeArrowheads="1" noChangeAspect="1"/>
                    </pic:cNvPicPr>
                  </pic:nvPicPr>
                  <pic:blipFill>
                    <a:blip r:embed="rId56"/>
                    <a:stretch>
                      <a:fillRect/>
                    </a:stretch>
                  </pic:blipFill>
                  <pic:spPr bwMode="auto">
                    <a:xfrm>
                      <a:off x="0" y="0"/>
                      <a:ext cx="5727700" cy="1897268"/>
                    </a:xfrm>
                    <a:prstGeom prst="rect">
                      <a:avLst/>
                    </a:prstGeom>
                    <a:noFill/>
                    <a:ln w="9525">
                      <a:noFill/>
                      <a:headEnd/>
                      <a:tailEnd/>
                    </a:ln>
                  </pic:spPr>
                </pic:pic>
              </a:graphicData>
            </a:graphic>
          </wp:inline>
        </w:drawing>
      </w:r>
    </w:p>
    <w:p>
      <w:pPr>
        <w:pStyle w:val="ImageCaption"/>
      </w:pPr>
      <w: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pPr>
        <w:pStyle w:val="BodyText"/>
      </w:pPr>
      <w:r>
        <w:t>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r>
        <w:pict>
          <v:rect style="width:0;height:1.5pt" o:hralign="center" o:hrstd="t" o:hr="t"/>
        </w:pict>
      </w:r>
    </w:p>
    <w:bookmarkEnd w:id="59"/>
    <w:bookmarkStart w:id="65" w:name="auxiliary-statistical-tests"/>
    <w:p>
      <w:pPr>
        <w:pStyle w:val="Heading2"/>
      </w:pPr>
      <w:r>
        <w:t xml:space="preserve">4.9 Auxiliary Statistical Tests</w:t>
      </w:r>
    </w:p>
    <w:bookmarkStart w:id="60" w:name="granger-causality-credit-growth"/>
    <w:p>
      <w:pPr>
        <w:pStyle w:val="Heading3"/>
      </w:pPr>
      <w:r>
        <w:t xml:space="preserve">4.9.1 Granger Causality: Credit Growth</w:t>
      </w:r>
    </w:p>
    <w:p>
      <w:pPr>
        <w:pStyle w:val="FirstParagraph"/>
      </w:pPr>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bookmarkEnd w:id="60"/>
    <w:bookmarkStart w:id="61" w:name="granger-causality-term-spread"/>
    <w:p>
      <w:pPr>
        <w:pStyle w:val="Heading3"/>
      </w:pPr>
      <w:r>
        <w:t xml:space="preserve">4.9.2 Granger Causality: Term Spread</w:t>
      </w:r>
    </w:p>
    <w:p>
      <w:pPr>
        <w:pStyle w:val="FirstParagraph"/>
      </w:pPr>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bookmarkEnd w:id="61"/>
    <w:bookmarkStart w:id="62" w:name="panel-logistic-term-spread"/>
    <w:p>
      <w:pPr>
        <w:pStyle w:val="Heading3"/>
      </w:pPr>
      <w:r>
        <w:t xml:space="preserve">4.9.3 Panel Logistic: Term Spread</w:t>
      </w:r>
    </w:p>
    <w:p>
      <w:pPr>
        <w:pStyle w:val="FirstParagraph"/>
      </w:pPr>
      <w:r>
        <w:t>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parametric confirmation of the non-linearity identified by EBM’s shape functions: the relationship between term spread and crisis probability changes sign across the lag horizon, and any model that treats this relationship as monotonic is misspecified.</w:t>
      </w:r>
    </w:p>
    <w:bookmarkEnd w:id="62"/>
    <w:bookmarkStart w:id="63" w:name="panel-logistic-sentiment"/>
    <w:p>
      <w:pPr>
        <w:pStyle w:val="Heading3"/>
      </w:pPr>
      <w:r>
        <w:t xml:space="preserve">4.9.4 Panel Logistic: Sentiment</w:t>
      </w:r>
    </w:p>
    <w:p>
      <w:pPr>
        <w:pStyle w:val="FirstParagraph"/>
      </w:pPr>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pPr>
        <w:spacing w:after="160"/>
        <w:jc w:val="both"/>
      </w:pPr>
      <w:r>
        <w:t>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bookmarkEnd w:id="63"/>
    <w:bookmarkStart w:id="64" w:name="ml-discrimination-vs-statistical-tests"/>
    <w:p>
      <w:pPr>
        <w:pStyle w:val="Heading3"/>
      </w:pPr>
      <w:r>
        <w:t>4.9.5 ML Discrimination vs Statistical Tests</w:t>
      </w:r>
    </w:p>
    <w:p>
      <w:pPr>
        <w:pStyle w:val="FirstParagraph"/>
      </w:pPr>
      <w:r>
        <w:t>The divergence between ML-based discrimination patterns and the consistent absence of statistical significance across auxiliary tests is the most informative result of this section. Machine learning models show directional AUPRC differentiation; Granger tests, panel logistic, and both attribution methods fail to detect a stable underlying relationship. This divergence highlights the distinction between predictive pattern recognition within a sample and causal economic inference — and explains why models achieve high expanding-window discrimination while failing under genuine prospective evaluation.</w:t>
      </w:r>
    </w:p>
    <w:p>
      <w:r>
        <w:pict>
          <v:rect style="width:0;height:1.5pt" o:hralign="center" o:hrstd="t" o:hr="t"/>
        </w:pict>
      </w:r>
    </w:p>
    <w:bookmarkEnd w:id="64"/>
    <w:bookmarkEnd w:id="65"/>
    <w:bookmarkStart w:id="78" w:name="ebm-ensemble-extension"/>
    <w:p>
      <w:pPr>
        <w:pStyle w:val="Heading2"/>
      </w:pPr>
      <w:r>
        <w:t xml:space="preserve">4.10 EBM Ensemble Extension</w:t>
      </w:r>
    </w:p>
    <w:bookmarkStart w:id="69" w:name="design-and-primary-results"/>
    <w:p>
      <w:pPr>
        <w:pStyle w:val="Heading3"/>
      </w:pPr>
      <w:r>
        <w:t xml:space="preserve">4.10.1 Design and Primary Results</w:t>
      </w:r>
    </w:p>
    <w:p>
      <w:pPr>
        <w:pStyle w:val="FirstParagraph"/>
      </w:pPr>
      <w:r>
        <w:t>Following Holopainen and Sarlin (2017), an EBM-based ensemble is constructed as E1-EBM = 0.5 · P(M2-matched) + 0.5 · P(M2.5-matched) using equal weights throughout. Figure 4.9 presents the ROC and PR curves for all ensemble variants.</w:t>
      </w:r>
    </w:p>
    <w:p>
      <w:pPr>
        <w:pStyle w:val="CaptionedFigure"/>
      </w:pPr>
      <w:r>
        <w:drawing>
          <wp:inline>
            <wp:extent cx="5727700" cy="2688079"/>
            <wp:effectExtent b="0" l="0" r="0" t="0"/>
            <wp:docPr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title="" id="67" name="Picture"/>
            <a:graphic>
              <a:graphicData uri="http://schemas.openxmlformats.org/drawingml/2006/picture">
                <pic:pic>
                  <pic:nvPicPr>
                    <pic:cNvPr descr="fig9.png" id="68" name="Picture"/>
                    <pic:cNvPicPr>
                      <a:picLocks noChangeArrowheads="1" noChangeAspect="1"/>
                    </pic:cNvPicPr>
                  </pic:nvPicPr>
                  <pic:blipFill>
                    <a:blip r:embed="rId66"/>
                    <a:stretch>
                      <a:fillRect/>
                    </a:stretch>
                  </pic:blipFill>
                  <pic:spPr bwMode="auto">
                    <a:xfrm>
                      <a:off x="0" y="0"/>
                      <a:ext cx="5727700" cy="2688079"/>
                    </a:xfrm>
                    <a:prstGeom prst="rect">
                      <a:avLst/>
                    </a:prstGeom>
                    <a:noFill/>
                    <a:ln w="9525">
                      <a:noFill/>
                      <a:headEnd/>
                      <a:tailEnd/>
                    </a:ln>
                  </pic:spPr>
                </pic:pic>
              </a:graphicData>
            </a:graphic>
          </wp:inline>
        </w:drawing>
      </w:r>
    </w:p>
    <w:p>
      <w:pPr>
        <w:pStyle w:val="ImageCaption"/>
      </w:pPr>
      <w: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pPr>
        <w:pStyle w:val="BodyText"/>
      </w:pPr>
      <w:r>
        <w:t>Table 4.6 presents the primary comparison. Metrics are computed on the inner-merged OOS sample (215 observations, 11 crisis events, base rate 5.12 per cent); absolute AUPRC levels are not directly comparable to Tables 4.1–4.2 due to the different crisis event count.</w:t>
      </w:r>
    </w:p>
    <w:p>
      <w:pPr>
        <w:pStyle w:val="BodyText"/>
      </w:pPr>
      <w:r>
        <w:t>Table 4.6. EBM ensemble results — Stage 2 (inner-merged OOS, 11 crisis events)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M2-matched RF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[0.894, 0.971]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0.343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M2.5-matched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[0.924, 0.986]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0.532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XGB+FinBERT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[0.869,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E1-EBM: avg(M2-matched,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0.955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[0.918, 0.982]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0.433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0.056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E1-Orig: avg(M2m, M3) [M4 ref]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0.440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0.057</w:t>
            </w:r>
          </w:p>
        </w:tc>
      </w:tr>
    </w:tbl>
    <w:p>
      <w:pPr>
        <w:pStyle w:val="BodyText"/>
      </w:pPr>
      <w:r>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pPr>
        <w:pStyle w:val="BodyText"/>
      </w:pPr>
      <w:r>
        <w:t>E1-EBM achieves AUROC 0.955 and Brier Score 0.056 — the best calibration of any configuration in Table 4.6 — but AUPRC falls to 0.433 from EBM’s standalone 0.532, as averaging with M2-matched (AUPRC 0.343) pulls the combined result below EBM’s individual level.</w:t>
      </w:r>
    </w:p>
    <w:bookmarkEnd w:id="69"/>
    <w:bookmarkStart w:id="73" w:name="disagreement-analysis"/>
    <w:p>
      <w:pPr>
        <w:pStyle w:val="Heading3"/>
      </w:pPr>
      <w:r>
        <w:t xml:space="preserve">4.10.2 Disagreement Analysis</w:t>
      </w:r>
    </w:p>
    <w:p>
      <w:pPr>
        <w:pStyle w:val="FirstParagraph"/>
      </w:pPr>
      <w:r>
        <w:t>Figure 4.10 presents the model disagreement analysis for all three model pairs.</w:t>
      </w:r>
    </w:p>
    <w:p>
      <w:pPr>
        <w:pStyle w:val="CaptionedFigure"/>
      </w:pPr>
      <w:r>
        <w:drawing>
          <wp:inline>
            <wp:extent cx="5727700" cy="1581306"/>
            <wp:effectExtent b="0" l="0" r="0" t="0"/>
            <wp:docPr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title="" id="71" name="Picture"/>
            <a:graphic>
              <a:graphicData uri="http://schemas.openxmlformats.org/drawingml/2006/picture">
                <pic:pic>
                  <pic:nvPicPr>
                    <pic:cNvPr descr="fig10.png" id="72" name="Picture"/>
                    <pic:cNvPicPr>
                      <a:picLocks noChangeArrowheads="1" noChangeAspect="1"/>
                    </pic:cNvPicPr>
                  </pic:nvPicPr>
                  <pic:blipFill>
                    <a:blip r:embed="rId70"/>
                    <a:stretch>
                      <a:fillRect/>
                    </a:stretch>
                  </pic:blipFill>
                  <pic:spPr bwMode="auto">
                    <a:xfrm>
                      <a:off x="0" y="0"/>
                      <a:ext cx="5727700" cy="1581306"/>
                    </a:xfrm>
                    <a:prstGeom prst="rect">
                      <a:avLst/>
                    </a:prstGeom>
                    <a:noFill/>
                    <a:ln w="9525">
                      <a:noFill/>
                      <a:headEnd/>
                      <a:tailEnd/>
                    </a:ln>
                  </pic:spPr>
                </pic:pic>
              </a:graphicData>
            </a:graphic>
          </wp:inline>
        </w:drawing>
      </w:r>
    </w:p>
    <w:p>
      <w:pPr>
        <w:pStyle w:val="ImageCaption"/>
      </w:pPr>
      <w: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w:t>
      </w:r>
    </w:p>
    <w:p>
      <w:pPr>
        <w:pStyle w:val="BodyText"/>
      </w:pPr>
      <w:r>
        <w:t>Mean absolute disagreement between M2-matched and EBM is 0.348 at crisis observations versus 0.125 at non-crisis observations — a ratio of 2.8:1. This pattern is consistent with the Holopainen and Sarlin (2017) motivation: ensemble averaging is most valuable precisely where individual model uncertainty is highest, which in this dataset corresponds to actual crisis events. The Pearson correlation of 0.844 indicates substantial shared signal alongside meaningful complementarity.</w:t>
      </w:r>
    </w:p>
    <w:bookmarkEnd w:id="73"/>
    <w:bookmarkStart w:id="77" w:name="cross-sectional-ranking"/>
    <w:p>
      <w:pPr>
        <w:pStyle w:val="Heading3"/>
      </w:pPr>
      <w:r>
        <w:t xml:space="preserve">4.10.3 2007 Cross-Sectional Ranking</w:t>
      </w:r>
    </w:p>
    <w:p>
      <w:pPr>
        <w:pStyle w:val="FirstParagraph"/>
      </w:pPr>
      <w:r>
        <w:t>Figure 4.11 presents the E1-EBM 2007 country ranking by crisis type.</w:t>
      </w:r>
    </w:p>
    <w:p>
      <w:pPr>
        <w:pStyle w:val="CaptionedFigure"/>
      </w:pPr>
      <w:r>
        <w:drawing>
          <wp:inline>
            <wp:extent cx="5727700" cy="2009092"/>
            <wp:effectExtent b="0" l="0" r="0" t="0"/>
            <wp:docPr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title="" id="75" name="Picture"/>
            <a:graphic>
              <a:graphicData uri="http://schemas.openxmlformats.org/drawingml/2006/picture">
                <pic:pic>
                  <pic:nvPicPr>
                    <pic:cNvPr descr="fig11.png" id="76" name="Picture"/>
                    <pic:cNvPicPr>
                      <a:picLocks noChangeArrowheads="1" noChangeAspect="1"/>
                    </pic:cNvPicPr>
                  </pic:nvPicPr>
                  <pic:blipFill>
                    <a:blip r:embed="rId74"/>
                    <a:stretch>
                      <a:fillRect/>
                    </a:stretch>
                  </pic:blipFill>
                  <pic:spPr bwMode="auto">
                    <a:xfrm>
                      <a:off x="0" y="0"/>
                      <a:ext cx="5727700" cy="2009092"/>
                    </a:xfrm>
                    <a:prstGeom prst="rect">
                      <a:avLst/>
                    </a:prstGeom>
                    <a:noFill/>
                    <a:ln w="9525">
                      <a:noFill/>
                      <a:headEnd/>
                      <a:tailEnd/>
                    </a:ln>
                  </pic:spPr>
                </pic:pic>
              </a:graphicData>
            </a:graphic>
          </wp:inline>
        </w:drawing>
      </w:r>
    </w:p>
    <w:p>
      <w:pPr>
        <w:pStyle w:val="ImageCaption"/>
      </w:pPr>
      <w:r>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than domestic credit accumulation. The ordering Fundamental &gt; Contagion &gt; No crisis reflects the model’s training on domestic macro credit-cycle precursors.</w:t>
      </w:r>
    </w:p>
    <w:p>
      <w:pPr>
        <w:pStyle w:val="BodyText"/>
      </w:pPr>
      <w:r>
        <w:t>Countries experiencing fundamental credit-boom crises receive a mean E1-EBM probability of 0.695 (n = 9), compared with 0.395 for contagion-driven cases (n = 5) and 0.325 for countries with no systemic event (n = 4). The model correctly discriminates crisis mechanism within the 2007 cross-section: macro precursor-based models assign higher probabilities to crises driven by domestic credit dynamics than to those transmitted through cross-border contagion channels. Two country-level results warrant qualification.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 The United Kingdom (E1-EBM 0.171, rank 15, Fundamental) records target_h2 = 0 in 2007 under JST’s chronology, placing it outside the statistical crisis window; qualitatively, its 2007–2008 stress is well-documented but the model does not flag it, a scope condition examined in Chapter 5. The United States (E1-EBM 0.802, rank 3, Fundamental) records target_h2 = 0 in 2007 under the same chronology, making it a statistical false positive despite its role as the epicentre of the GFC; the model’s high probability reflects correct identification of domestic credit-boom precursors, but the JST onset date falls outside the two-year prediction horizon. 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r>
        <w:pict>
          <v:rect style="width:0;height:1.5pt" o:hralign="center" o:hrstd="t" o:hr="t"/>
        </w:pict>
      </w:r>
    </w:p>
    <w:bookmarkEnd w:id="77"/>
    <w:bookmarkEnd w:id="78"/>
    <w:bookmarkStart w:id="79" w:name="hypothesis-assessment"/>
    <w:p>
      <w:pPr>
        <w:pStyle w:val="Heading2"/>
      </w:pPr>
      <w:r>
        <w:t xml:space="preserve">4.11 Hypothesis Assessment</w:t>
      </w:r>
    </w:p>
    <w:p>
      <w:pPr>
        <w:pStyle w:val="FirstParagraph"/>
      </w:pPr>
      <w:r>
        <w:t>Table 4.7. Hypothesis assessment under the augmented two-stage pipeline with EBM extension</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Hypothesis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Stated prediction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Key evidence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Verdict</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H1: Discrimination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achieves higher AUROC/AUPRC than macro-only benchmark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Stage 2: M3 AUPRC 0.411 &gt; M2-matched 0.343 within GFC cross-section. M2.5 EBM appears to achieve AUPRC 0.532 without sentiment, indicating algorithm non-linearity drives Stage 2 performance differences more than the sentiment signal. CI [−0.130, +0.312] spans zero.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Supported directionally on AUPRC within a single-episode evaluation. EBM result indicates discrimination gains are driven by algorithm choice more than sentiment signal. Not statistically confirmed.</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H2: Feature relevance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At least one FinBERT feature ranks top-5 by SHAP</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5 sentiment features in top 20; SHAP share 26.2%. EBM native importance corroborates macro dominance independently. Agreement between methods reflects shared sample-specific correlation structure, not causal evidence. All statistical tests non-significant.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Not supported in strict formulation. Weakly and conditionally observed. Two independent attribution methods converge on macro dominance within the GFC sample.</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H3: Interpretability trade-off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Quantifiable accuracy-interpretability trade-off across M1–M2–M3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Supported and refined. Trade-off is not binary within the non-linear model class under expanding-window evaluation. This refinement does not alter the central conclusion: neither interpretability nor algorithm choice resolves the regime instability problem.</w:t>
            </w:r>
          </w:p>
        </w:tc>
      </w:tr>
    </w:tbl>
    <w:p>
      <w:pPr>
        <w:pStyle w:val="BodyText"/>
      </w:pPr>
      <w:r>
        <w:t>Table 4.7. Hypothesis assessment under the augmented two-stage pipeline (NB01A–NB09B). AUPRC at H2 is the primary metric. All Stage 2 verdicts reflect cross-sectional discrimination within the GFC episode only. Final revision: April 2026.</w:t>
      </w:r>
    </w:p>
    <w:p>
      <w:pPr>
        <w:pStyle w:val="BodyText"/>
      </w:pPr>
      <w:r>
        <w:t>The three hypotheses together trace a coherent argument about the structural limits of machine learning-based crisis prediction. H1 is directionally supported but the EBM result clarifies that Stage 2 performance differences reflect algorithm non-linearity more than a stable sentiment signal. H2 fails in its strict formulation, with both SHAP and EBM independently confirming macro dominance — but their agreement reflects shared sample structure rather than causal validation. H3 is supported but requires the qualification introduced by EBM’s prospective collapse: the interpretability-accuracy trade-off is not binary within the non-linear model class under in-sample evaluation, but interpretable models offer no immunity to regime non-stationarity and may encode regime-specific relationships more precisely, increasing their vulnerability under structural breaks.</w:t>
      </w:r>
    </w:p>
    <w:p>
      <w:pPr>
        <w:pStyle w:val="BodyText"/>
      </w:pPr>
      <w:r>
        <w:t>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bookmarkEnd w:id="79"/>
    <w:bookmarkEnd w:id="80"/>
    <w:p>
      <w:r>
        <w:br w:type="page"/>
      </w:r>
    </w:p>
    <w:p>
      <w:pPr>
        <w:spacing w:after="240"/>
      </w:pPr>
      <w:r>
        <w:rPr>
          <w:b/>
          <w:color w:val="1F4E79"/>
          <w:sz w:val="28"/>
        </w:rPr>
        <w:t>References</w:t>
      </w:r>
    </w:p>
    <w:p>
      <w:pPr>
        <w:spacing w:after="120"/>
        <w:ind w:left="720" w:hanging="720"/>
      </w:pPr>
      <w:r>
        <w:t>Beutel, J., List, S. and von Schweinitz, G. (2019) 'Does machine learning help us predict banking crises?', Journal of Financial Stability, 45, pp. 1–16.</w:t>
      </w:r>
    </w:p>
    <w:p>
      <w:pPr>
        <w:spacing w:after="120"/>
        <w:ind w:left="720" w:hanging="720"/>
      </w:pPr>
      <w:r>
        <w:t>Davis, J. and Goadrich, M. (2006) 'The relationship between precision-recall and ROC curves', Proceedings of the 23rd International Conference on Machine Learning (ICML), pp. 233–240.</w:t>
      </w:r>
    </w:p>
    <w:p>
      <w:pPr>
        <w:spacing w:after="120"/>
        <w:ind w:left="720" w:hanging="720"/>
      </w:pPr>
      <w:r>
        <w:t>Hooker, G. and Mentch, L. (2019) 'Please stop permuting features: an explanation and alternatives', arXiv preprint, arXiv:1905.03151. Available at: https://arxiv.org/abs/1905.03151 (Accessed: 12 April 2026).</w:t>
      </w:r>
    </w:p>
    <w:p>
      <w:pPr>
        <w:spacing w:after="120"/>
        <w:ind w:left="720" w:hanging="720"/>
      </w:pPr>
      <w:r>
        <w:t>Holopainen, M. and Sarlin, P. (2017) 'Toward robust early-warning models: a horse race, ensembles and model uncertainty', Quantitative Finance, 17(12), pp. 1933–1963.</w:t>
      </w:r>
    </w:p>
    <w:p>
      <w:pPr>
        <w:spacing w:after="120"/>
        <w:ind w:left="720" w:hanging="720"/>
      </w:pPr>
      <w:r>
        <w:t>Jordà, Ò., Schularick, M. and Taylor, A.M. (2017) 'Macrofinancial history and the new business cycle facts', NBER Macroeconomics Annual, 31(1), pp. 213–263.</w:t>
      </w:r>
    </w:p>
    <w:p>
      <w:pPr>
        <w:spacing w:after="120"/>
        <w:ind w:left="720" w:hanging="720"/>
      </w:pPr>
      <w:r>
        <w:t>Laeven, L. and Valencia, F. (2020) 'Systemic banking crises database II', IMF Economic Review, 68(2), pp. 307–361.</w:t>
      </w:r>
    </w:p>
    <w:p>
      <w:pPr>
        <w:spacing w:after="120"/>
        <w:ind w:left="720" w:hanging="720"/>
      </w:pPr>
      <w:r>
        <w:t>Lou, Y., Caruana, R., Gehrke, J. and Hooker, G. (2013) 'Accurate intelligible models with pairwise interactions', Proceedings of the 19th ACM SIGKDD International Conference on Knowledge Discovery and Data Mining, pp. 623–631.</w:t>
      </w:r>
    </w:p>
    <w:p>
      <w:pPr>
        <w:spacing w:after="120"/>
        <w:ind w:left="720" w:hanging="720"/>
      </w:pPr>
      <w:r>
        <w:t>Lundberg, S.M. and Lee, S-I. (2017) 'A unified approach to interpreting model predictions', Advances in Neural Information Processing Systems, 30, pp. 4765–4774.</w:t>
      </w:r>
    </w:p>
    <w:p>
      <w:pPr>
        <w:spacing w:after="120"/>
        <w:ind w:left="720" w:hanging="720"/>
      </w:pPr>
      <w:r>
        <w:t>Saito, T. and Rehmsmeier, M. (2015) 'The precision-recall plot is more informative than the ROC plot when evaluating binary classifiers on imbalanced datasets', PLOS ONE, 10(3), e0118432.</w:t>
      </w:r>
    </w:p>
    <w:p>
      <w:pPr>
        <w:spacing w:after="120"/>
        <w:ind w:left="720" w:hanging="720"/>
      </w:pPr>
      <w:r>
        <w:t>Schularick, M. and Taylor, A.M. (2012) 'Credit booms gone bust: monetary policy, leverage cycles, and financial crises, 1870–2008', American Economic Review, 102(2), pp. 1029–1061.</w:t>
      </w:r>
    </w:p>
    <w:p>
      <w:r>
        <w:br/>
        <w:t>Final synthesis: The results demonstrate that early-warning systems fail not due to insufficient model sophistication, but due to the absence of a stable relationship to be learned across regimes.</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comment w:id="0" w:author="Claude" w:date="2026-04-26T08:20:47Z" w:initials="C">
    <w:p w14:paraId="43AF2FBF" w14:textId="77777777">
      <w:r>
        <w:rPr>
          <w:rStyle w:val="CommentReference"/>
        </w:rPr>
        <w:annotationRef/>
      </w:r>
      <w:r>
        <w:rPr>
          <w:color w:val="000000"/>
          <w:sz w:val="20"/>
          <w:szCs w:val="20"/>
        </w:rPr>
        <w:t>GBR note: JST Macrohistory Database R6 records GBR crisis onset in 2007 itself (crisisjst=1), but target_h2 at year 2007 looks ahead to 2008-2009 and returns 0 because the onset year is 2007 not 2008/2009. GBR is therefore a statistical true negative (target_h2=0, low probability) but a qualitative false negative (documented fundamental crisis). The 'false negative' framing used in Chapter 5 is qualitative, not statistical.</w:t>
      </w:r>
    </w:p>
  </w:comment>
  <w:comment w:id="1" w:author="Claude" w:date="2026-04-26T08:20:47Z" w:initials="C">
    <w:p>
      <w:r>
        <w:rPr>
          <w:rStyle w:val="CommentReference"/>
        </w:rPr>
        <w:annotationRef/>
      </w:r>
      <w:r>
        <w:t xml:space="preserve">USA note: JST records USA crisis onset in 2007. target_h2 at year 2007 returns 0 because the onset falls in the current year, not the two-year forward window. USA is therefore a statistical false positive (target_h2=0, high probability 0.802) but qualitatively the GFC epicentre. The model correctly identifies the domestic credit-boom precursor signal; the mismatch is a chronology boundary artefact rather than a model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AF2F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0964B69" w16cex:dateUtc="2026-04-26T08:20:4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AF2FBF" w16cid:durableId="20964B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0" Type="http://schemas.microsoft.com/office/2011/relationships/commentsExtended" Target="commentsExtended.xml"/><Relationship Id="rId91" Type="http://schemas.microsoft.com/office/2018/relationships/commentsExtensible" Target="commentsExtensible.xml"/><Relationship Id="rId92" Type="http://schemas.microsoft.com/office/2016/09/relationships/commentsIds" Target="commentsIds.xml"/><Relationship Id="rId21" Type="http://schemas.openxmlformats.org/officeDocument/2006/relationships/image" Target="media/rId21.png"/><Relationship Id="rId70" Type="http://schemas.openxmlformats.org/officeDocument/2006/relationships/image" Target="media/rId70.png"/><Relationship Id="rId74" Type="http://schemas.openxmlformats.org/officeDocument/2006/relationships/image" Target="media/rId74.png"/><Relationship Id="rId24" Type="http://schemas.openxmlformats.org/officeDocument/2006/relationships/image" Target="media/rId24.png"/><Relationship Id="rId31" Type="http://schemas.openxmlformats.org/officeDocument/2006/relationships/image" Target="media/rId31.png"/><Relationship Id="rId36" Type="http://schemas.openxmlformats.org/officeDocument/2006/relationships/image" Target="media/rId36.png"/><Relationship Id="rId41" Type="http://schemas.openxmlformats.org/officeDocument/2006/relationships/image" Target="media/rId41.png"/><Relationship Id="rId47" Type="http://schemas.openxmlformats.org/officeDocument/2006/relationships/image" Target="media/rId47.png"/><Relationship Id="rId51" Type="http://schemas.openxmlformats.org/officeDocument/2006/relationships/image" Target="media/rId51.png"/><Relationship Id="rId56" Type="http://schemas.openxmlformats.org/officeDocument/2006/relationships/image" Target="media/rId56.png"/><Relationship Id="rId66" Type="http://schemas.openxmlformats.org/officeDocument/2006/relationships/image" Target="media/rId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2026-04-12T09:38:50Z</dcterms:created>
  <dcterms:modified xsi:type="dcterms:W3CDTF">2026-04-12T09:38:50Z</dcterms:modified>
</cp:coreProperties>
</file>

<file path=docProps/custom.xml><?xml version="1.0" encoding="utf-8"?>
<Properties xmlns="http://schemas.openxmlformats.org/officeDocument/2006/custom-properties" xmlns:vt="http://schemas.openxmlformats.org/officeDocument/2006/docPropsVTypes"/>
</file>