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12a4324554f967ca92c6801a5abdb9a9cfa2b1"/>
    <w:p>
      <w:pPr>
        <w:pStyle w:val="Heading1"/>
      </w:pPr>
      <w:r>
        <w:t xml:space="preserve">Chapter 6: Conclusions and Recommendations</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summary-of-the-research"/>
    <w:p>
      <w:pPr>
        <w:pStyle w:val="Heading2"/>
      </w:pPr>
      <w:r>
        <w:t xml:space="preserve">6.1 Summary of the Research</w:t>
      </w:r>
    </w:p>
    <w:p>
      <w:pPr>
        <w:pStyle w:val="FirstParagraph"/>
      </w:pPr>
      <w:r>
        <w:t xml:space="preserve">This dissertation set out to investigate the conditions under which machine learning-based early-warning systems for banking crises achieve genuinely prospective predictive performance, and to characterise the structural conditions under which their generalisation fails. The research was motivated by a gap in the existing literature: while machine learning methods have been shown to outperform logistic regression within standard expanding-window cross-validation designs (Beutel, List and von Schweinitz, 2019), the reliability of these improvements under genuinely prospective validation — and the mechanism by which they break down — remained incompletely understood.</w:t>
      </w:r>
    </w:p>
    <w:p>
      <w:pPr>
        <w:pStyle w:val="BodyText"/>
      </w:pPr>
      <w:r>
        <w:t xml:space="preserve">The analysis pursued three research questions simultaneously. The first was whether extending macro training history across multiple pre-GFC crisis episodes resolves the generalisation failure observed when models are trained exclusively on GFC-era data. The second was whether FinBERT-derived central bank speech sentiment provides a stable and generalisable complementary signal beyond the macro baseline. The third was whether interpretable non-linear models offer a practical advantage over black-box alternatives — not only in terms of transparency but in the specific capability to make the failure mechanism directly visible.</w:t>
      </w:r>
    </w:p>
    <w:p>
      <w:pPr>
        <w:pStyle w:val="BodyText"/>
      </w:pPr>
      <w:r>
        <w:t xml:space="preserve">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development.</w:t>
      </w:r>
    </w:p>
    <w:p>
      <w:r>
        <w:pict>
          <v:rect style="width:0;height:1.5pt" o:hralign="center" o:hrstd="t" o:hr="t"/>
        </w:pict>
      </w:r>
    </w:p>
    <w:bookmarkEnd w:id="20"/>
    <w:bookmarkStart w:id="26" w:name="principal-conclusions"/>
    <w:p>
      <w:pPr>
        <w:pStyle w:val="Heading2"/>
      </w:pPr>
      <w:r>
        <w:t xml:space="preserve">6.2 Principal Conclusions</w:t>
      </w:r>
    </w:p>
    <w:bookmarkStart w:id="21" w:name="X6e8dd8c77b43fce0e525358e7814229e4ae3b60"/>
    <w:p>
      <w:pPr>
        <w:pStyle w:val="Heading3"/>
      </w:pPr>
      <w:r>
        <w:t xml:space="preserve">6.2.1 Extending Training History Does Not Resolve the Generalisation Problem</w:t>
      </w:r>
    </w:p>
    <w:p>
      <w:pPr>
        <w:pStyle w:val="FirstParagraph"/>
      </w:pPr>
      <w:r>
        <w:t xml:space="preserve">The first and most important conclusion is that the prospective failure of macro-based EWS is not an artefact of insufficient training data. M2 (Random Forest), trained on the extended 1989–2020 panel spanning the Nordic crisis cluster, Japan 1997, and a range of further pre-GFC episodes, achieves AUROC 0.481 in Split B strict temporal validation — below the random classifier threshold — when evaluated on the 2003–2011 GFC period. This result extends the finding of the original analysis and establishes that adding fifteen additional years of crisis history, including structurally diverse episodes, does not produce a model that generalises prospectively to the GFC. The regime discontinuity between pre-GFC crisis types and the GFC credit-cycle dynamics is too large for aggregate macro features to bridge, irrespective of training sample length.</w:t>
      </w:r>
    </w:p>
    <w:p>
      <w:pPr>
        <w:pStyle w:val="BodyText"/>
      </w:pPr>
      <w:r>
        <w:t xml:space="preserve">This conclusion implies that the standard EWS paradigm — which treats the problem as a single stationary binary classification task — may be misspecified when crisis-generating mechanisms are heterogeneous. The assumption of a stable mapping between macro-financial indicators and crisis outcomes across regimes is violated in practice within this dataset, and this violation cannot be corrected by providing the model with more data of the same structural type.</w:t>
      </w:r>
    </w:p>
    <w:bookmarkEnd w:id="21"/>
    <w:bookmarkStart w:id="22" w:name="X95ee929cb3148ffc0e820efa71dcf47c1139af9"/>
    <w:p>
      <w:pPr>
        <w:pStyle w:val="Heading3"/>
      </w:pPr>
      <w:r>
        <w:t xml:space="preserve">6.2.2 The Interpretability-Accuracy Trade-off Is Not Binary</w:t>
      </w:r>
    </w:p>
    <w:p>
      <w:pPr>
        <w:pStyle w:val="FirstParagraph"/>
      </w:pPr>
      <w:r>
        <w:t xml:space="preserve">The second principal conclusion concerns the interpretability-accuracy trade-off that motivates the dissertation’s central hypothesis. Within the expanding-window evaluation setting, M2.5 (EBM) achieves higher point estimates on both AUROC (0.753 versus M2’s 0.636 at Stage 1) and AUPRC (0.532 versus M3’s 0.411 at Stage 2) while providing natively interpretable shape functions that require no post-hoc attribution. This finding demonstrates that within the non-linear model class, the interpretability-accuracy trade-off is not binary: an interpretable model can appear to outperform its black-box counterparts on standard evaluation metrics within the same evaluation framework.</w:t>
      </w:r>
    </w:p>
    <w:p>
      <w:pPr>
        <w:pStyle w:val="BodyText"/>
      </w:pPr>
      <w:r>
        <w:t xml:space="preserve">However, this conclusion is immediately qualified by the prospective validation result: EBM achieves AUROC 0.333 in Split B — substantially below M2’s 0.481 and below random. 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 within the constrained Split B evaluation, which has only six pre-GFC positive training cases — the result is consistent with that same flexibility producing more aggressive regime-specific fitting, yielding a worse prospective outcome. This interpretation should be treated as diagnostic rather than conclusive given the small pre-GFC training sample. Interpretability does not confer prospective robustness; in environments characterised by structural breaks, more precise regime-specific fitting may translate into more severe prospective failure when the regime changes.</w:t>
      </w:r>
    </w:p>
    <w:bookmarkEnd w:id="22"/>
    <w:bookmarkStart w:id="23" w:name="Xcd29056745b2624a828161707523b3da75eab83"/>
    <w:p>
      <w:pPr>
        <w:pStyle w:val="Heading3"/>
      </w:pPr>
      <w:r>
        <w:t xml:space="preserve">6.2.3 EBM Shape Functions Make the Failure Mechanism Directly Visible</w:t>
      </w:r>
    </w:p>
    <w:p>
      <w:pPr>
        <w:pStyle w:val="FirstParagraph"/>
      </w:pPr>
      <w:r>
        <w:t xml:space="preserve">The third principal conclusion is the dissertation’s most theoretically significant contribution. Because EBM’s shape functions are the model itself rather than post-hoc approximations, the instability observed in those functions when models are trained on disjoint sub-periods is a direct property of the data-generating process rather than an artefact of an attribution tool. The comparison of pre-GFC (2003–2006) and GFC-inclusive (2003–2010) shape functions for term spread and credit across all three lag horizons reveals qualitatively distinct mappings — not merely scaled versions — with the most pronounced instability at term_spread_lag3, the highest-ranked EBM feature by native importance (1.717). The two shape curves cross at lag three: the same feature value is associated with reduced crisis risk under one regime-specific representation and increased risk under the other.</w:t>
      </w:r>
    </w:p>
    <w:p>
      <w:pPr>
        <w:pStyle w:val="BodyText"/>
      </w:pPr>
      <w:r>
        <w:t xml:space="preserve">This finding implies that the mapping from macro-financial indicators to crisis risk is not invariant across time, violating the core assumption underlying all static EWS models. Static, pooled, single-classifier early-warning systems are not merely empirically limited in their generalisation — they may be conceptually misaligned, at least in their current form, with structural break environments where the data-generating process evolves faster than any static model can adapt. This places banking crisis prediction within the broader class of non-stationary machine learning problems under distribution shift, where models trained on historical data cannot reliably extrapolate to future states drawn from a different underlying process.</w:t>
      </w:r>
    </w:p>
    <w:bookmarkEnd w:id="23"/>
    <w:bookmarkStart w:id="24" w:name="Xc7bf31057145d47f860870847823377f6ae08f3"/>
    <w:p>
      <w:pPr>
        <w:pStyle w:val="Heading3"/>
      </w:pPr>
      <w:r>
        <w:t xml:space="preserve">6.2.4 Sentiment Augmentation Contributes a Directional but Unstable Signal</w:t>
      </w:r>
    </w:p>
    <w:p>
      <w:pPr>
        <w:pStyle w:val="FirstParagraph"/>
      </w:pPr>
      <w:r>
        <w:t xml:space="preserve">The fourth conclusion concerns the role of FinBERT-derived central bank speech sentiment. Within the Stage 2 cross-sectional evaluation, M3 achieves AUPRC 0.411 against M2-matched’s 0.343 — a directional gain of 6.8 percentage points. However, the bootstrap 95 per cent confidence interval spans zero, all auxiliary statistical tests (Granger causality, panel logistic regression) find no significant relationship between sentiment and crisis outcomes, and the EBM benchmark demonstrates that an interpretable macro-only model appears to achieve higher AUPRC (0.532) than M3 without any sentiment information. The observed M3 advantage over M2-matched cannot be attributed to a stable sentiment signal with confidence: Stage 2 performance differences are at least as sensitive to model class as to the sentiment feature extension, since EBM and XGBoost also differ in regularisation, interaction handling, and calibration behaviour — meaning the design cannot cleanly isolate the independent contribution of sentiment.</w:t>
      </w:r>
    </w:p>
    <w:p>
      <w:pPr>
        <w:pStyle w:val="BodyText"/>
      </w:pPr>
      <w:r>
        <w:t xml:space="preserve">The SHAP attribution and EBM native importance analyses independently identify term_spread_lag3_dm as the dominant feature in both models, confirming that macro signals account for 73.8 per cent of M3’s aggregate attribution. The sentiment increment to the panel logistic pseudo-R² (0.034) is positive but the individual coefficient is not statistically significant (p = 0.103). Taken together, the evidence characterises sentiment as a directional but unstable episode-specific pattern rather than a generalisable predictive channel.</w:t>
      </w:r>
    </w:p>
    <w:bookmarkEnd w:id="24"/>
    <w:bookmarkStart w:id="25" w:name="Xaeb4c4b022e7c1a702fee82101b6879cd4436fc"/>
    <w:p>
      <w:pPr>
        <w:pStyle w:val="Heading3"/>
      </w:pPr>
      <w:r>
        <w:t xml:space="preserve">6.2.5 Ensemble Averaging Provides Calibration Benefits Under Single-Episode Constraints</w:t>
      </w:r>
    </w:p>
    <w:p>
      <w:pPr>
        <w:pStyle w:val="FirstParagraph"/>
      </w:pPr>
      <w:r>
        <w:t xml:space="preserve">The fifth conclusion concerns the ensemble extension. E1-EBM (M2-matched + EBM) achieves Brier Score 0.056 — the lowest Brier Score and therefore the best global probability accuracy of any Stage 2 configuration — and AUROC 0.955. The model disagreement analysis confirms the Holopainen and Sarlin (2017) motivation: mean absolute disagreement between M2-matched and EBM is 2.8 times higher at crisis observations than at non-crisis observations (0.348 versus 0.125), meaning the ensemble’s stabilising effect is strongest precisely where individual model uncertainty is highest. The ensemble gain is concentrated in calibration and AUROC rather than AUPRC, as averaging with M2-matched pulls the combined precision-recall performance below EBM’s individual level. All ensemble results are conditioned on the single-episode GFC evaluation setting and should not be interpreted as evidence of prospective reliability.</w:t>
      </w:r>
    </w:p>
    <w:p>
      <w:r>
        <w:pict>
          <v:rect style="width:0;height:1.5pt" o:hralign="center" o:hrstd="t" o:hr="t"/>
        </w:pict>
      </w:r>
    </w:p>
    <w:bookmarkEnd w:id="25"/>
    <w:bookmarkEnd w:id="26"/>
    <w:bookmarkStart w:id="27" w:name="practical-recommendations"/>
    <w:p>
      <w:pPr>
        <w:pStyle w:val="Heading2"/>
      </w:pPr>
      <w:r>
        <w:t xml:space="preserve">6.3 Practical Recommendations</w:t>
      </w:r>
    </w:p>
    <w:p>
      <w:pPr>
        <w:pStyle w:val="FirstParagraph"/>
      </w:pPr>
      <w:r>
        <w:t xml:space="preserve">Four practical recommendations follow from the conclusions above, addressed to practitioners and researchers involved in the design and deployment of financial early-warning systems.</w:t>
      </w:r>
    </w:p>
    <w:p>
      <w:pPr>
        <w:pStyle w:val="BodyText"/>
      </w:pPr>
      <w:r>
        <w:rPr>
          <w:bCs/>
          <w:b/>
        </w:rPr>
        <w:t xml:space="preserve">Recommendation 1: Prospective validation across crisis regimes must be a mandatory evaluation step.</w:t>
      </w:r>
      <w:r>
        <w:t xml:space="preserve"> Expanding-window cross-validation metrics substantially overstate the prospective predictive power of EWS models when the evaluation dataset is dominated by a single crisis episode. Practitioners and researchers should treat strict temporal validation — training exclusively on pre-crisis data and evaluating on a subsequent crisis episode — as a mandatory component of EWS evaluation rather than an optional robustness check. Models that achieve high expanding-window metrics but fail strict temporal validation should not be characterised as predictively useful without explicit disclosure of this limitation.</w:t>
      </w:r>
    </w:p>
    <w:p>
      <w:pPr>
        <w:pStyle w:val="BodyText"/>
      </w:pPr>
      <w:r>
        <w:rPr>
          <w:bCs/>
          <w:b/>
        </w:rPr>
        <w:t xml:space="preserve">Recommendation 2: Interpretable non-linear models should be preferred for regime stability diagnosis.</w:t>
      </w:r>
      <w:r>
        <w:t xml:space="preserve"> EBM’s shape function analysis provides a capability that no black-box model with post-hoc attribution can offer: direct, approximation-free observation of whether the learned feature-risk mapping is regime-stable. Supervisory authorities and central banks that maintain EWS models should consider incorporating EBM or similar inherently interpretable non-linear models — not as a substitute for higher-performing black-box models, but as a diagnostic tool that reveals when the model’s learned mapping no longer accurately reflects the current economic environment. This is a capability with direct regulatory value in model risk management frameworks.</w:t>
      </w:r>
    </w:p>
    <w:p>
      <w:pPr>
        <w:pStyle w:val="BodyText"/>
      </w:pPr>
      <w:r>
        <w:rPr>
          <w:bCs/>
          <w:b/>
        </w:rPr>
        <w:t xml:space="preserve">Recommendation 3: Ensemble averaging should be adopted as the operational output mechanism, with a focus on calibration.</w:t>
      </w:r>
      <w:r>
        <w:t xml:space="preserve"> When individual EWS models cannot be definitively ranked on prospective performance — as is the case when the evaluation dataset contains only a single crisis episode — equal-weighted ensemble averaging provides a more reliable probability estimate than any single component model, as measured by Brier Score. An operational EWS that must assign probability thresholds for policy review should prefer the ensemble’s better-calibrated outputs. The ensemble design should use equal weights derived independently of the OOS evaluation pool to avoid circular weight selection.</w:t>
      </w:r>
    </w:p>
    <w:p>
      <w:pPr>
        <w:pStyle w:val="BodyText"/>
      </w:pPr>
      <w:r>
        <w:rPr>
          <w:bCs/>
          <w:b/>
        </w:rPr>
        <w:t xml:space="preserve">Recommendation 4: Sentiment augmentation requires multi-episode validation before operational deployment.</w:t>
      </w:r>
      <w:r>
        <w:t xml:space="preserve"> The directional AUPRC gain from FinBERT sentiment in Stage 2 cannot be taken as evidence of a stable and generalisable predictive channel. The signal is episode-specific, statistically unconfirmed, and partially attributable to algorithm non-linearity rather than sentiment content. Before incorporating central bank speech sentiment into an operational EWS, practitioners should validate the sentiment channel across at least two structurally distinct crisis episodes and confirm that the signal remains significant after controlling for algorithm effects. Topic-specific text features, as proposed by Ho, Moench and Steeley (2022), are likely to provide more stable signals than aggregate sentiment polarity and represent a more promising avenue for operational development.</w:t>
      </w:r>
    </w:p>
    <w:p>
      <w:r>
        <w:pict>
          <v:rect style="width:0;height:1.5pt" o:hralign="center" o:hrstd="t" o:hr="t"/>
        </w:pict>
      </w:r>
    </w:p>
    <w:bookmarkEnd w:id="27"/>
    <w:bookmarkStart w:id="30" w:name="X99294cc2c34305ea9641ef1a38e2b96e8852fb2"/>
    <w:p>
      <w:pPr>
        <w:pStyle w:val="Heading2"/>
      </w:pPr>
      <w:r>
        <w:t xml:space="preserve">6.4 Contribution to the MSc in Artificial Intelligence</w:t>
      </w:r>
    </w:p>
    <w:p>
      <w:pPr>
        <w:pStyle w:val="FirstParagraph"/>
      </w:pPr>
      <w:r>
        <w:t xml:space="preserve">This dissertation demonstrates competence in the core AI and ML skills required of the University of Essex MSc programme across four dimensions.</w:t>
      </w:r>
    </w:p>
    <w:p>
      <w:pPr>
        <w:pStyle w:val="BodyText"/>
      </w:pPr>
      <w:r>
        <w:rPr>
          <w:bCs/>
          <w:b/>
        </w:rPr>
        <w:t xml:space="preserve">Technical AI and ML implementation.</w:t>
      </w:r>
      <w:r>
        <w:t xml:space="preserve"> The project implements three distinct machine learning model classes — gradient-boosted trees (XGBoost), ensemble methods (Random Forest), and gradient-boosted generalised additive models (EBM) — alongside a transformer-based NLP pipeline (FinBERT). The EBM implementation requires engagement with an advanced interpretability-first model architecture and the </w:t>
      </w:r>
      <w:r>
        <w:rPr>
          <w:rStyle w:val="VerbatimChar"/>
        </w:rPr>
        <w:t xml:space="preserve">interpret</w:t>
      </w:r>
      <w:r>
        <w:t xml:space="preserve"> package API. The full pipeline spans ten Jupyter notebooks covering data ingestion, NLP inference, feature engineering, model training, robustness validation, and ensemble construction.</w:t>
      </w:r>
    </w:p>
    <w:p>
      <w:pPr>
        <w:pStyle w:val="BodyText"/>
      </w:pPr>
      <w:r>
        <w:rPr>
          <w:bCs/>
          <w:b/>
        </w:rPr>
        <w:t xml:space="preserve">Critical evaluation of AI systems.</w:t>
      </w:r>
      <w:r>
        <w:t xml:space="preserve"> The dissertation’s central contribution is a critical evaluation of the conditions under which ML-based prediction systems fail under distribution shift. The strict temporal validation design, the shape function instability analysis, and the reconciliation of high in-sample performance with prospective collapse all demonstrate the ability to evaluate AI systems rigorously rather than accept benchmark metrics at face value. This critical orientation is directly relevant to responsible AI practice in high-stakes domains.</w:t>
      </w:r>
    </w:p>
    <w:p>
      <w:pPr>
        <w:pStyle w:val="BodyText"/>
      </w:pPr>
      <w:r>
        <w:rPr>
          <w:bCs/>
          <w:b/>
        </w:rPr>
        <w:t xml:space="preserve">Research methodology and academic communication.</w:t>
      </w:r>
      <w:r>
        <w:t xml:space="preserve"> The dissertation applies expanding-window cross-validation, bootstrap confidence interval estimation, Granger causality testing, panel logistic regression, SHAP attribution, and EBM shape function analysis — a methodological toolkit appropriate for doctoral-level quantitative research. The explicit acknowledgement of evaluation bias, the honest reporting of negative results (prospective failure of all models), and the careful qualification of all performance claims reflect the professional standards required of AI practitioners in regulated domains.</w:t>
      </w:r>
    </w:p>
    <w:p>
      <w:pPr>
        <w:pStyle w:val="BodyText"/>
      </w:pPr>
      <w:r>
        <w:rPr>
          <w:bCs/>
          <w:b/>
        </w:rPr>
        <w:t xml:space="preserve">Ethical and professional responsibility.</w:t>
      </w:r>
      <w:r>
        <w:t xml:space="preserve"> The research uses exclusively publicly available secondary data, obtained informed ethical review clearance, and makes the full pipeline publicly available through the project GitHub repository at </w:t>
      </w:r>
      <w:hyperlink r:id="rId28">
        <w:r>
          <w:rPr>
            <w:rStyle w:val="Hyperlink"/>
          </w:rPr>
          <w:t xml:space="preserve">https://github.com/spike2025-art/eportfolio-uoe/tree/main</w:t>
        </w:r>
      </w:hyperlink>
      <w:r>
        <w:t xml:space="preserve">. The ePortfolio at </w:t>
      </w:r>
      <w:hyperlink r:id="rId29">
        <w:r>
          <w:rPr>
            <w:rStyle w:val="Hyperlink"/>
          </w:rPr>
          <w:t xml:space="preserve">https://spike2025-art.github.io/eportfolio-uoe/</w:t>
        </w:r>
      </w:hyperlink>
      <w:r>
        <w:t xml:space="preserve"> documents the project’s development and situates it within the broader MSc learning journey. The commitment to reproducibility — fixed random seeds, documented software environments, public code — reflects the open science principles increasingly required of AI research in academic and professional contexts.</w:t>
      </w:r>
    </w:p>
    <w:p>
      <w:r>
        <w:pict>
          <v:rect style="width:0;height:1.5pt" o:hralign="center" o:hrstd="t" o:hr="t"/>
        </w:pict>
      </w:r>
    </w:p>
    <w:bookmarkEnd w:id="30"/>
    <w:bookmarkStart w:id="31" w:name="avenues-for-future-development"/>
    <w:p>
      <w:pPr>
        <w:pStyle w:val="Heading2"/>
      </w:pPr>
      <w:r>
        <w:t xml:space="preserve">6.5 Avenues for Future Development</w:t>
      </w:r>
    </w:p>
    <w:p>
      <w:pPr>
        <w:pStyle w:val="FirstParagraph"/>
      </w:pPr>
      <w:r>
        <w:t xml:space="preserve">The three prioritised extensions identified in Chapter 5 are consolidated here with additional context on their relationship to the MSc AI curriculum and the broader research agenda.</w:t>
      </w:r>
    </w:p>
    <w:p>
      <w:pPr>
        <w:pStyle w:val="Normal"/>
        <w:spacing w:before="120" w:after="120"/>
      </w:pPr>
      <w:r>
        <w:rPr>
          <w:b/>
        </w:rPr>
        <w:t xml:space="preserve">Completed Extension — Topic-specific textual features (NB10C). </w:t>
      </w:r>
      <w:r>
        <w:t xml:space="preserve">This extension has been implemented and its results are reported in Chapter 5 (Section 5.7) and Appendix A. Replacing generic FinBERT polarity scores with topic-disaggregated sentiment signals, it uses a keyword taxonomy to assign the 16,622 BIS speeches to three topic domains — credit conditions, monetary policy, and corporate sector — and computes FinBERT negative sentiment scores within each domain at lags one through three years, generating nine additional features. The extension finds that topic disaggregation does not recover a predictive signal that aggregate sentiment fails to provide: EBM shows zero incremental AUROC and AUPRC when topic-sentiment features are added to the macro baseline, and shape function analysis confirms that topic-sentiment features exhibit qualitative non-stationarity consistent with the macro findings of Section 4.7.3. These results strengthen the dissertation’s central argument: regime instability is a property of the crisis-generating process that operates across both macro and textual feature classes, and finer-grained sentiment construction does not resolve the generalisation limitation.</w:t>
      </w:r>
    </w:p>
    <w:p>
      <w:pPr>
        <w:pStyle w:val="BodyText"/>
      </w:pPr>
      <w:r>
        <w:rPr>
          <w:bCs/>
          <w:b/>
        </w:rPr>
        <w:t xml:space="preserve">Proposed Extension 1 — Regime-conditional modelling (most impactful).</w:t>
      </w:r>
      <w:r>
        <w:t xml:space="preserve"> 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w:t>
      </w:r>
    </w:p>
    <w:p>
      <w:pPr>
        <w:pStyle w:val="BodyText"/>
      </w:pPr>
      <w:r>
        <w:rPr>
          <w:bCs/>
          <w:b/>
        </w:rPr>
        <w:t xml:space="preserve">Proposed Extension 2 — Network contagion features (most ambitious).</w:t>
      </w:r>
      <w:r>
        <w:t xml:space="preserve"> 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false negatives for Germany, Belgium, and Switzerland in 2007–2008 are directly attributable to the absence of contagion channel features, and adding them would allow the model to distinguish domestic stress from externally transmitted risk.</w:t>
      </w:r>
    </w:p>
    <w:p>
      <w:r>
        <w:pict>
          <v:rect style="width:0;height:1.5pt" o:hralign="center" o:hrstd="t" o:hr="t"/>
        </w:pict>
      </w:r>
    </w:p>
    <w:bookmarkEnd w:id="31"/>
    <w:bookmarkStart w:id="32" w:name="final-reflection"/>
    <w:p>
      <w:pPr>
        <w:pStyle w:val="Heading2"/>
      </w:pPr>
      <w:r>
        <w:t xml:space="preserve">6.6 Final Reflection</w:t>
      </w:r>
    </w:p>
    <w:p>
      <w:pPr>
        <w:pStyle w:val="FirstParagraph"/>
      </w:pPr>
      <w:r>
        <w:t xml:space="preserve">This dissertation began with a model comparison question — does sentiment augmentation improve crisis prediction? — and ended with a theoretical contribution about the structural limits of predictive modelling under distribution shift. The journey between those two points was driven by a methodological commitment to honest evaluation: reporting what the models actually achieve under genuinely prospective conditions, not what they appear to achieve within evaluation frameworks that favour in-sample over out-of-sample performance.</w:t>
      </w:r>
    </w:p>
    <w:p>
      <w:pPr>
        <w:pStyle w:val="BodyText"/>
      </w:pPr>
      <w:r>
        <w:t xml:space="preserve">The most important lesson from the analysis is not about any specific model, feature, or evaluation metric. It is about the relationship between machine learning and non-stationarity. 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pPr>
        <w:pStyle w:val="BodyText"/>
      </w:pPr>
      <w:r>
        <w:t xml:space="preserve">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sense, the value of interpretable machine learning in high-stakes prediction domains lies not in the accuracy of the models it produces, but in the quality of the understanding it provides — understanding that is essential for responsible AI deployment in environments where the cost of a missed warning is measured in years of economic recovery.</w:t>
      </w:r>
    </w:p>
    <w:p>
      <w:r>
        <w:pict>
          <v:rect style="width:0;height:1.5pt" o:hralign="center" o:hrstd="t" o:hr="t"/>
        </w:pict>
      </w:r>
    </w:p>
    <w:p>
      <w:pPr>
        <w:pStyle w:val="FirstParagraph"/>
      </w:pPr>
      <w:r>
        <w:rPr>
          <w:iCs/>
          <w:i/>
        </w:rPr>
        <w:t xml:space="preserve">Chapter 6 revision: April 2026</w:t>
      </w:r>
    </w:p>
    <w:bookmarkEnd w:id="32"/>
    <w:bookmarkEnd w:id="33"/>
    <w:p>
      <w:r>
        <w:br w:type="page"/>
      </w:r>
    </w:p>
    <w:p>
      <w:pPr>
        <w:spacing w:after="240"/>
      </w:pPr>
      <w:r>
        <w:rPr>
          <w:b/>
          <w:color w:val="1F4E79"/>
          <w:sz w:val="28"/>
        </w:rPr>
        <w:t>References</w:t>
      </w:r>
    </w:p>
    <w:p>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pPr>
        <w:spacing w:after="120"/>
        <w:ind w:left="720" w:hanging="720"/>
      </w:pPr>
      <w:r>
        <w:rPr>
          <w:sz w:val="22"/>
        </w:rPr>
        <w:t xml:space="preserve">Yang, Y., UIT-Fintech and Liu, Y. (2020) 'FinBERT: a pretrained language model for financial communications', </w:t>
      </w:r>
      <w:r>
        <w:rPr>
          <w:i/>
          <w:sz w:val="22"/>
        </w:rPr>
        <w:t>arXiv preprint</w:t>
      </w:r>
      <w:r>
        <w:rPr>
          <w:sz w:val="22"/>
        </w:rPr>
        <w:t>, arXiv:2006.08097. Available at: https://arxiv.org/abs/2006.08097 (Accessed: 12 April 2026).</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s://github.com/spike2025-art/eportfolio-uoe/tree/main" TargetMode="External"/><Relationship Id="rId29" Type="http://schemas.openxmlformats.org/officeDocument/2006/relationships/hyperlink" Target="https://spike2025-art.github.io/eportfolio-uoe/" TargetMode="External"/></Relationships>
</file>

<file path=word/_rels/footnotes.xml.rels><?xml version="1.0" encoding="UTF-8"?><Relationships xmlns="http://schemas.openxmlformats.org/package/2006/relationships"><Relationship Id="rId28" Type="http://schemas.openxmlformats.org/officeDocument/2006/relationships/hyperlink" Target="https://github.com/spike2025-art/eportfolio-uoe/tree/main" TargetMode="External"/><Relationship Id="rId29" Type="http://schemas.openxmlformats.org/officeDocument/2006/relationships/hyperlink" Target="https://spike2025-art.github.io/eportfolio-u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2026-04-12T19:22:10Z</dcterms:created>
  <dcterms:modified xsi:type="dcterms:W3CDTF">2026-04-12T19:22:10Z</dcterms:modified>
</cp:coreProperties>
</file>

<file path=docProps/custom.xml><?xml version="1.0" encoding="utf-8"?>
<Properties xmlns="http://schemas.openxmlformats.org/officeDocument/2006/custom-properties" xmlns:vt="http://schemas.openxmlformats.org/officeDocument/2006/docPropsVTypes"/>
</file>