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hapter-5-discussion"/>
    <w:p>
      <w:pPr>
        <w:pStyle w:val="Heading1"/>
      </w:pPr>
      <w:r>
        <w:t xml:space="preserve">Chapter 5: Discussion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overview-of-findings"/>
    <w:p>
      <w:pPr>
        <w:pStyle w:val="Heading2"/>
      </w:pPr>
      <w:r>
        <w:t xml:space="preserve">5.1 Overview of Findings</w:t>
      </w:r>
    </w:p>
    <w:p>
      <w:pPr>
        <w:pStyle w:val="FirstParagraph"/>
      </w:pPr>
      <w:r>
        <w:t xml:space="preserve">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pPr>
        <w:pStyle w:val="BodyText"/>
      </w:pPr>
      <w:r>
        <w:t xml:space="preserve">The first and most important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is fundamentally misspecified in the presence of heterogeneous crisis-generating mechanisms.</w:t>
      </w:r>
    </w:p>
    <w:p>
      <w:pPr>
        <w:pStyle w:val="BodyText"/>
      </w:pPr>
      <w:r>
        <w:t xml:space="preserve">The second finding concerns the role of sentiment augmentation. Within the Stage 2 cross-sectional evaluation — the 2007 GFC episode specifically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feature rankings are unstable across specifications. The directional AUPRC gain is best characterised as a sample-specific pattern within the GFC cross-section rather than evidence of a generalisable predictive channel.</w:t>
      </w:r>
    </w:p>
    <w:p>
      <w:pPr>
        <w:pStyle w:val="BodyText"/>
      </w:pPr>
      <w:r>
        <w:t xml:space="preserve">The third finding — and the most important addition relative to the original study —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EBM’s higher representational flexibility causes it to overfit the regime-specific training distribution more aggressively than Random Forest, producing a worse prospective failure.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pPr>
        <w:pStyle w:val="BodyText"/>
      </w:pPr>
      <w:r>
        <w:t xml:space="preserve">The fourth finding concerns the ensemble extension. E1-EBM, defined as the equal-weighted average of M2-matched and EBM M2.5 out-of-sample predicted probabilities, achieves AUROC 0.955 and Brier Score 0.056 — the best calibration of any model or ensemble in the Stage 2 evaluation — while E1-Orig (M4, the original M2-matched and M3 ensemble) achieves comparable AUPRC (0.440 versus E1-EBM’s 0.433) but slightly worse Brier (0.057). The ensemble results are subject to the same single-episode evaluation constraint as their constituent models.</w:t>
      </w:r>
    </w:p>
    <w:p>
      <w:pPr>
        <w:pStyle w:val="BodyText"/>
      </w:pPr>
      <w:r>
        <w:t xml:space="preserve">The fifth finding is the crisis type discrimination result from the 2007 cross-sectional ranking under E1-EBM. The ensemble assigns a mean probability of 0.695 to countries whose 2007–2008 stress is characterised as fundamentally credit-boom driven, against 0.298 for contagion-driven cases and 0.417 for countries that experienced no systemic event. This stratification, whilst based on qualitative crisis type annotation and confined to a single year, indicates that the model’s macro features carry mechanism-specific signal. Together, these five findings indicate that model uncertainty, feature instability, and the absence of causal structure are manifestations of the same underlying issue: non-stationarity in the crisis-generating process across regimes. Taken together, they demonstrate that the failure of early-warning systems is not primarily a function of model choice, feature design, or data availability, but of a deeper structural instability in the mapping between predictors and crisis outcomes across regimes.</w:t>
      </w:r>
    </w:p>
    <w:p>
      <w:r>
        <w:pict>
          <v:rect style="width:0;height:1.5pt" o:hralign="center" o:hrstd="t" o:hr="t"/>
        </w:pict>
      </w:r>
    </w:p>
    <w:bookmarkEnd w:id="20"/>
    <w:bookmarkStart w:id="21" w:name="X6c7cb47f4b9704f3839bf5ed850b21f2f80adfa"/>
    <w:p>
      <w:pPr>
        <w:pStyle w:val="Heading2"/>
      </w:pPr>
      <w:r>
        <w:t xml:space="preserve">5.2 The EBM Interpretability Benchmark: What Native Transparency Reveals</w:t>
      </w:r>
    </w:p>
    <w:p>
      <w:pPr>
        <w:pStyle w:val="FirstParagraph"/>
      </w:pPr>
      <w:r>
        <w:t xml:space="preserve">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pPr>
        <w:pStyle w:val="BodyText"/>
      </w:pPr>
      <w:r>
        <w:t xml:space="preserve">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SHAP approximation; it is a direct, readable property of what the model has learned.</w:t>
      </w:r>
    </w:p>
    <w:p>
      <w:pPr>
        <w:pStyle w:val="BodyText"/>
      </w:pPr>
      <w:r>
        <w:t xml:space="preserve">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Early-warning systems are therefore not merely empirically limited in their generalisation; they are conceptually misaligned with structural break environments, where the data-generating process evolves faster than any static model can adapt.</w:t>
      </w:r>
    </w:p>
    <w:p>
      <w:pPr>
        <w:pStyle w:val="BodyText"/>
      </w:pPr>
      <w:r>
        <w:t xml:space="preserve">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r>
        <w:pict>
          <v:rect style="width:0;height:1.5pt" o:hralign="center" o:hrstd="t" o:hr="t"/>
        </w:pict>
      </w:r>
    </w:p>
    <w:bookmarkEnd w:id="21"/>
    <w:bookmarkStart w:id="22" w:name="X3d2542b05e00442d2cc94f91fc48d05b3cf8eb4"/>
    <w:p>
      <w:pPr>
        <w:pStyle w:val="Heading2"/>
      </w:pPr>
      <w:r>
        <w:t xml:space="preserve">5.3 The Ensemble as a Response to Model Uncertainty</w:t>
      </w:r>
    </w:p>
    <w:p>
      <w:pPr>
        <w:pStyle w:val="FirstParagraph"/>
      </w:pPr>
      <w:r>
        <w:t xml:space="preserve">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schemes are numerically indistinguishable.</w:t>
      </w:r>
    </w:p>
    <w:p>
      <w:pPr>
        <w:pStyle w:val="BodyText"/>
      </w:pPr>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This is the condition Holopainen and Sarlin (2017) identify as the primary motivation for ensemble averaging.</w:t>
      </w:r>
    </w:p>
    <w:p>
      <w:pPr>
        <w:pStyle w:val="BodyText"/>
      </w:pPr>
      <w:r>
        <w:t xml:space="preserve">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concern is ranking crisis countries within a known episode, EBM alone achieves higher point estimates within the constrained evaluation setting.</w:t>
      </w:r>
    </w:p>
    <w:p>
      <w:r>
        <w:pict>
          <v:rect style="width:0;height:1.5pt" o:hralign="center" o:hrstd="t" o:hr="t"/>
        </w:pict>
      </w:r>
    </w:p>
    <w:bookmarkEnd w:id="22"/>
    <w:bookmarkStart w:id="23" w:name="crisis-heterogeneity-and-model-scope"/>
    <w:p>
      <w:pPr>
        <w:pStyle w:val="Heading2"/>
      </w:pPr>
      <w:r>
        <w:t xml:space="preserve">5.4 Crisis Heterogeneity and Model Scope</w:t>
      </w:r>
    </w:p>
    <w:p>
      <w:pPr>
        <w:pStyle w:val="FirstParagraph"/>
      </w:pPr>
      <w:r>
        <w:t xml:space="preserve">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pPr>
        <w:pStyle w:val="BodyText"/>
      </w:pPr>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pPr>
        <w:pStyle w:val="BodyText"/>
      </w:pPr>
      <w:r>
        <w:t xml:space="preserve">The 2007 cross-sectional ranking under E1-EBM provides qualified empirical evidence of mechanism-specific discrimination. The mean E1-EBM probability for fundamental crisis countries (0.695, n = 9) substantially exceeds both the no-crisis group (0.417, n = 5) and contagion-driven cases (0.298, n = 4).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pPr>
        <w:pStyle w:val="BodyText"/>
      </w:pPr>
      <w:r>
        <w:t xml:space="preserve">Two country-level results warrant explicit discussion. Sweden (E1-EBM probability 0.783, rank 5, no systemic crisis) is the most prominent false positive. Sweden exhibited elevated credit growth and asset price dynamics in 2007 that the model correctly identifies as precursor-consistent with fundamental crisis conditions; the absence of a systemic crisis reflects institutional buffers — conservative bank regulation, strong capital positions — that are not observable in the macro feature set. The United Kingdom (E1-EBM probability 0.171, rank 15, fundamental crisis) is the most prominent false negative. The UK’s 2007–2008 stress was concentrated in wholesale funding channels — the Northern Rock retail deposit run and broader interbank market seizure — rather than the domestic credit-growth dynamics captured in the feature set. This is a legitimate model limitation: macro precursor features designed around credit cycle dynamics have limited purchase on funding-channel stress mechanisms. Both anomalies illustrate the scope conditions of the macro precursor approach rather than model failure in a general sense, and both are consistent with the crisis heterogeneity argument developed above.</w:t>
      </w:r>
    </w:p>
    <w:p>
      <w:r>
        <w:pict>
          <v:rect style="width:0;height:1.5pt" o:hralign="center" o:hrstd="t" o:hr="t"/>
        </w:pict>
      </w:r>
    </w:p>
    <w:bookmarkEnd w:id="23"/>
    <w:bookmarkStart w:id="24" w:name="Xfd50be060f4ea3cfba507a25885033d3e68ba2f"/>
    <w:p>
      <w:pPr>
        <w:pStyle w:val="Heading2"/>
      </w:pPr>
      <w:r>
        <w:t xml:space="preserve">5.5 Implications for Early-Warning System Design</w:t>
      </w:r>
    </w:p>
    <w:p>
      <w:pPr>
        <w:pStyle w:val="FirstParagraph"/>
      </w:pPr>
      <w:r>
        <w:t xml:space="preserve">Four practical implications follow from the augmented analysis, stated with appropriate caution given the evaluation constraints throughout Chapter 4.</w:t>
      </w:r>
    </w:p>
    <w:p>
      <w:pPr>
        <w:pStyle w:val="BodyText"/>
      </w:pPr>
      <w:r>
        <w:t xml:space="preserve">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regime-classification layer that identifies the current crisis type before applying model predictions, or a portfolio of models each calibrated to a specific crisis mechanism, rather than a single general-purpose classifier.</w:t>
      </w:r>
    </w:p>
    <w:p>
      <w:pPr>
        <w:pStyle w:val="BodyText"/>
      </w:pPr>
      <w:r>
        <w:t xml:space="preserve">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However, this recommendation comes with the qualification established by the temporal validation: greater interpretability via EBM does not confer prospective robustness, and may increase sensitivity to regime-specific overfitting.</w:t>
      </w:r>
    </w:p>
    <w:p>
      <w:pPr>
        <w:pStyle w:val="BodyText"/>
      </w:pPr>
      <w:r>
        <w:t xml:space="preserve">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 which is a practically important property for any system that must assign concrete probability thresholds for policy review. This recommendation is qualified by the absence of prospective validation across multiple crisis episodes.</w:t>
      </w:r>
    </w:p>
    <w:p>
      <w:pPr>
        <w:pStyle w:val="BodyText"/>
      </w:pPr>
      <w:r>
        <w:t xml:space="preserve">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early-warning signal. The panel logistic result — sentiment pseudo-R² increment of only 0.034 with non-significant individual coefficients (p = 0.103) — reinforces this caution.</w:t>
      </w:r>
    </w:p>
    <w:p>
      <w:r>
        <w:pict>
          <v:rect style="width:0;height:1.5pt" o:hralign="center" o:hrstd="t" o:hr="t"/>
        </w:pict>
      </w:r>
    </w:p>
    <w:bookmarkEnd w:id="24"/>
    <w:bookmarkStart w:id="25" w:name="limitations"/>
    <w:p>
      <w:pPr>
        <w:pStyle w:val="Heading2"/>
      </w:pPr>
      <w:r>
        <w:t xml:space="preserve">5.6 Limitations</w:t>
      </w:r>
    </w:p>
    <w:p>
      <w:pPr>
        <w:pStyle w:val="FirstParagraph"/>
      </w:pPr>
      <w:r>
        <w:t xml:space="preserve">Several limitations constrain the interpretation of results throughout this analysis.</w:t>
      </w:r>
    </w:p>
    <w:p>
      <w:pPr>
        <w:pStyle w:val="BodyText"/>
      </w:pPr>
      <w:r>
        <w:t xml:space="preserve">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pPr>
        <w:pStyle w:val="BodyText"/>
      </w:pPr>
      <w:r>
        <w:t xml:space="preserve">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transparency value rather than their prospective predictive superiority, and that their higher in-sample performance should be treated with the same scepticism applied to all expanding-window metrics.</w:t>
      </w:r>
    </w:p>
    <w:p>
      <w:pPr>
        <w:pStyle w:val="BodyText"/>
      </w:pPr>
      <w:r>
        <w:t xml:space="preserve">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pPr>
        <w:pStyle w:val="BodyText"/>
      </w:pPr>
      <w:r>
        <w:t xml:space="preserve">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pPr>
        <w:pStyle w:val="BodyText"/>
      </w:pPr>
      <w:r>
        <w:t xml:space="preserve">Bootstrap confidence intervals throughout Chapter 4 are indicative only. Panel dependence — crisis events clustered across countries in the same episode — violates the independence assumption of standard bootstrap resampling. The reported intervals should be interpreted as reflecting sampling variability in the pooled OOS predictions, not as valid inference on the population of crisis episodes.</w:t>
      </w:r>
    </w:p>
    <w:p>
      <w:r>
        <w:pict>
          <v:rect style="width:0;height:1.5pt" o:hralign="center" o:hrstd="t" o:hr="t"/>
        </w:pict>
      </w:r>
    </w:p>
    <w:bookmarkEnd w:id="25"/>
    <w:bookmarkStart w:id="26" w:name="future-research-directions"/>
    <w:p>
      <w:pPr>
        <w:pStyle w:val="Heading2"/>
      </w:pPr>
      <w:r>
        <w:t xml:space="preserve">5.7 Future Research Directions</w:t>
      </w:r>
    </w:p>
    <w:p>
      <w:pPr>
        <w:pStyle w:val="FirstParagraph"/>
      </w:pPr>
      <w:r>
        <w:t xml:space="preserve">Three extensions follow directly from the present analysis, ordered by feasibility and proximity to the existing framework.</w:t>
      </w:r>
    </w:p>
    <w:p>
      <w:pPr>
        <w:pStyle w:val="BodyText"/>
      </w:pPr>
      <w:r>
        <w:rPr>
          <w:bCs/>
          <w:b/>
        </w:rPr>
        <w:t xml:space="preserve">Extension 1 — Most feasible: topic-specific text features.</w:t>
      </w:r>
      <w:r>
        <w:t xml:space="preserve"> </w:t>
      </w:r>
      <w:r>
        <w:t xml:space="preserve">The most immediately implementable extension is a text-as-data approach following Ho, Moench, and Steeley (2022), who demonstrate that replacing generic sentiment polarity scores with topic-specific prevalence measures — identifying the proportion of central bank speech devoted to credit risk, housing markets, or systemic vulnerability — produces more granular and stable textual features than aggregate sentiment indices. The existing 16,622 BIS speeches are the input corpus; no additional data collection is required. Latent Dirichlet Allocation topic modelling or a domain-specific central bank lexicon along the lines of Loughran and McDonald (2011) could generate topic prevalence time series at the country-year level for direct substitution or augmentation of the existing FinBERT features. Whether topic-specific signals provide more stable cross-episode early-warning information than aggregated sentiment polarity remains an open empirical question that the present corpus is well-suited to address.</w:t>
      </w:r>
    </w:p>
    <w:p>
      <w:pPr>
        <w:spacing w:after="160"/>
        <w:jc w:val="both"/>
      </w:pPr>
      <w:r>
        <w:rPr>
          <w:sz w:val="22"/>
        </w:rPr>
        <w:t xml:space="preserve">A preliminary implementation of this extension has been completed and the results are presented in Appendix A. Using keyword taxonomy to assign BIS speeches to credit, monetary policy, and corporate topic domains, FinBERT negative sentiment scores are computed within each topic subset and lagged one through three years. The extension finds that topic disaggregation does not recover a predictive signal that aggregate sentiment fails to provide: EBM shows zero incremental AUROC and AUPRC when topic-sentiment features are added to the macro baseline. EBM shape function analysis across regimes (Appendix A, Section A.5) confirms that topic-sentiment features exhibit qualitative non-stationarity consistent with the macro findings of Section 4.7.3, with monetary policy sentiment at lag three showing the most pronounced regime instability and corporate sentiment at lag one the most stable structure. The importance ratio of topic sentiment to macro features is 0.240, quantifying the macro dominance documented in Section 4.6. These results suggest that regime instability is a property of the crisis-generating process that operates across both macro and textual feature classes.</w:t>
      </w:r>
    </w:p>
    <w:p>
      <w:pPr>
        <w:pStyle w:val="BodyText"/>
      </w:pPr>
      <w:r>
        <w:rPr>
          <w:bCs/>
          <w:b/>
        </w:rPr>
        <w:t xml:space="preserve">Extension 2 — Most impactful: regime-conditional modelling.</w:t>
      </w:r>
      <w:r>
        <w:t xml:space="preserve"> </w:t>
      </w:r>
      <w:r>
        <w:t xml:space="preserve">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 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 This extension directly addresses the core finding of this dissertation and would constitute the most substantive methodological advancement.</w:t>
      </w:r>
    </w:p>
    <w:p>
      <w:pPr>
        <w:pStyle w:val="BodyText"/>
      </w:pPr>
      <w:r>
        <w:rPr>
          <w:bCs/>
          <w:b/>
        </w:rPr>
        <w:t xml:space="preserve">Extension 3 — Most ambitious: network contagion features.</w:t>
      </w:r>
      <w:r>
        <w:t xml:space="preserve"> </w:t>
      </w:r>
      <w:r>
        <w:t xml:space="preserve">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 This extension requires substantial additional data collection and represents a more fundamental departure from the present modelling framework, but would directly address the crisis heterogeneity limitation identified in Section 5.4.</w:t>
      </w:r>
    </w:p>
    <w:p>
      <w:r>
        <w:pict>
          <v:rect style="width:0;height:1.5pt" o:hralign="center" o:hrstd="t" o:hr="t"/>
        </w:pict>
      </w:r>
    </w:p>
    <w:bookmarkEnd w:id="26"/>
    <w:bookmarkStart w:id="27" w:name="conclusion"/>
    <w:p>
      <w:pPr>
        <w:pStyle w:val="Heading2"/>
      </w:pPr>
      <w:r>
        <w:t xml:space="preserve">5.8 Conclusion</w:t>
      </w:r>
    </w:p>
    <w:p>
      <w:pPr>
        <w:pStyle w:val="FirstParagraph"/>
      </w:pPr>
      <w:r>
        <w:t xml:space="preserve">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choice.</w:t>
      </w:r>
    </w:p>
    <w:p>
      <w:pPr>
        <w:pStyle w:val="BodyText"/>
      </w:pPr>
      <w:r>
        <w:t xml:space="preserve">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p>
      <w:pPr>
        <w:pStyle w:val="BodyText"/>
      </w:pPr>
      <w:r>
        <w:rPr>
          <w:iCs/>
          <w:i/>
        </w:rPr>
        <w:t xml:space="preserve">Chapter 5 revision: April 2026</w:t>
      </w:r>
    </w:p>
    <w:bookmarkEnd w:id="27"/>
    <w:bookmarkEnd w:id="28"/>
    <w:p>
      <w:r>
        <w:br w:type="page"/>
      </w:r>
    </w:p>
    <w:p>
      <w:pPr>
        <w:spacing w:after="240"/>
      </w:pPr>
      <w:r>
        <w:rPr>
          <w:b/>
          <w:color w:val="1F4E79"/>
          <w:sz w:val="28"/>
        </w:rPr>
        <w:t>References</w:t>
      </w:r>
    </w:p>
    <w:p>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2026-04-12T18:42:24Z</dcterms:created>
  <dcterms:modified xsi:type="dcterms:W3CDTF">2026-04-12T18:42:24Z</dcterms:modified>
</cp:coreProperties>
</file>

<file path=docProps/custom.xml><?xml version="1.0" encoding="utf-8"?>
<Properties xmlns="http://schemas.openxmlformats.org/officeDocument/2006/custom-properties" xmlns:vt="http://schemas.openxmlformats.org/officeDocument/2006/docPropsVTypes"/>
</file>