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pPr>
        <w:pStyle w:val="BodyText"/>
      </w:pPr>
      <w:r>
        <w:t xml:space="preserve">The first and most important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presence of heterogeneous crisis-generating mechanisms.</w:t>
      </w:r>
    </w:p>
    <w:p>
      <w:pPr>
        <w:pStyle w:val="BodyText"/>
      </w:pPr>
      <w:r>
        <w:t xml:space="preserve">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directional AUPRC gain is best characterised as a sample-specific pattern within the GFC cross-section rather than evidence of a generalisable predictive channel.</w:t>
      </w:r>
    </w:p>
    <w:p>
      <w:pPr>
        <w:pStyle w:val="BodyText"/>
      </w:pPr>
      <w:r>
        <w:t xml:space="preserve">The third finding — and the most important addition relative to the original study —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it to overfit the 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pPr>
        <w:pStyle w:val="BodyText"/>
      </w:pPr>
      <w:r>
        <w:t xml:space="preserve">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pPr>
        <w:pStyle w:val="BodyText"/>
      </w:pPr>
      <w:r>
        <w:t xml:space="preserve">The fifth finding is the crisis type discrimination result from the 2007 cross-sectional ranking under E1-EBM. The ensemble assigns a mean probability of 0.695 to countries whose 2007–2008 stress is characterised as fundamentally credit-boom driven, against 0.298 for contagion-driven cases and 0.417 for countries that experienced no systemic event. This stratification, whilst based on qualitative crisis type annotation and confined to a single year, indicates that the model’s macro features carry mechanism-specific signal. 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r>
        <w:pict>
          <v:rect style="width:0;height:1.5pt" o:hralign="center" o:hrstd="t" o:hr="t"/>
        </w:pict>
      </w:r>
    </w:p>
    <w:bookmarkEnd w:id="20"/>
    <w:bookmarkStart w:id="21" w:name="X6c7cb47f4b9704f3839bf5ed850b21f2f80adfa"/>
    <w:p>
      <w:pPr>
        <w:pStyle w:val="Heading2"/>
      </w:pPr>
      <w:r>
        <w:t xml:space="preserve">5.2 The EBM Interpretability Benchmark: What Native Transparency Reveals</w:t>
      </w:r>
    </w:p>
    <w:p>
      <w:pPr>
        <w:pStyle w:val="FirstParagraph"/>
      </w:pPr>
      <w:r>
        <w:t xml:space="preserve">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pPr>
        <w:pStyle w:val="BodyText"/>
      </w:pPr>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w:t>
      </w:r>
    </w:p>
    <w:p>
      <w:pPr>
        <w:pStyle w:val="BodyText"/>
      </w:pPr>
      <w:r>
        <w:t xml:space="preserve">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merely empirically limited in their generalisation; they are conceptually misaligned with structural break environments, where the data-generating process evolves faster than any static model can adapt.</w:t>
      </w:r>
    </w:p>
    <w:p>
      <w:pPr>
        <w:pStyle w:val="BodyText"/>
      </w:pPr>
      <w:r>
        <w:t xml:space="preserve">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r>
        <w:pict>
          <v:rect style="width:0;height:1.5pt" o:hralign="center" o:hrstd="t" o:hr="t"/>
        </w:pict>
      </w:r>
    </w:p>
    <w:bookmarkEnd w:id="21"/>
    <w:bookmarkStart w:id="22" w:name="X3d2542b05e00442d2cc94f91fc48d05b3cf8eb4"/>
    <w:p>
      <w:pPr>
        <w:pStyle w:val="Heading2"/>
      </w:pPr>
      <w:r>
        <w:t xml:space="preserve">5.3 The Ensemble as a Response to Model Uncertainty</w:t>
      </w:r>
    </w:p>
    <w:p>
      <w:pPr>
        <w:pStyle w:val="FirstParagraph"/>
      </w:pPr>
      <w:r>
        <w:t xml:space="preserve">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pPr>
        <w:pStyle w:val="BodyText"/>
      </w:pPr>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This is the condition Holopainen and Sarlin (2017) identify as the primary motivation for ensemble averaging.</w:t>
      </w:r>
    </w:p>
    <w:p>
      <w:pPr>
        <w:pStyle w:val="BodyText"/>
      </w:pPr>
      <w:r>
        <w:t xml:space="preserve">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r>
        <w:pict>
          <v:rect style="width:0;height:1.5pt" o:hralign="center" o:hrstd="t" o:hr="t"/>
        </w:pict>
      </w:r>
    </w:p>
    <w:bookmarkEnd w:id="22"/>
    <w:bookmarkStart w:id="23" w:name="crisis-heterogeneity-and-model-scope"/>
    <w:p>
      <w:pPr>
        <w:pStyle w:val="Heading2"/>
      </w:pPr>
      <w:r>
        <w:t xml:space="preserve">5.4 Crisis Heterogeneity and Model Scope</w:t>
      </w:r>
    </w:p>
    <w:p>
      <w:pPr>
        <w:pStyle w:val="FirstParagraph"/>
      </w:pPr>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pPr>
        <w:pStyle w:val="BodyText"/>
      </w:pPr>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pPr>
        <w:pStyle w:val="BodyText"/>
      </w:pPr>
      <w:r>
        <w:t xml:space="preserve">The 2007 cross-sectional ranking under E1-EBM provides qualified empirical evidence of mechanism-specific discrimination. The mean E1-EBM probability for fundamental crisis countries (0.695, n = 9) substantially exceeds both the no-crisis group (0.417, n = 5) and contagion-driven cases (0.298, n = 4).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pPr>
        <w:pStyle w:val="BodyText"/>
      </w:pPr>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limits of the macro precursor approach and are consistent with the crisis heterogeneity argument developed above.</w:t>
      </w:r>
    </w:p>
    <w:p>
      <w:pPr>
        <w:pStyle w:val="Heading3"/>
      </w:pPr>
      <w:r>
        <w:t xml:space="preserve">5.4.1 Feature-Level Evidence: Spain, Sweden, and the United Kingdom</w:t>
      </w:r>
    </w:p>
    <w:p>
      <w:pPr>
        <w:pStyle w:val="FirstParagraph"/>
      </w:pPr>
      <w:r>
        <w:t xml:space="preserve">The 2007 cross-sectional ranking provides the basis for a structured feature-level case study across three countries that span the range of model outcomes: Spain (correct hit; E1-EBM 0.695†), Sweden (true positive; E1-EBM 0.783), and the United Kingdom (false negative; E1-EBM 0.171). Examining the macro feature values that the model observed for each country in the 2004–2006 period — the lagged window that feeds the 2007 prediction — illustrates both the discriminatory logic of the EBM and the scope conditions under which it fails.</w:t>
      </w:r>
    </w:p>
    <w:p>
      <w:pPr>
        <w:pStyle w:val="BodyText"/>
      </w:pPr>
      <w:r>
        <w:t xml:space="preserve">[Figure 5.1a: Credit and housing conditions — Spain / Sweden / United Kingdom, 2004–2006 averages]</w:t>
      </w:r>
    </w:p>
    <w:p>
      <w:pPr>
        <w:pStyle w:val="BodyText"/>
      </w:pPr>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nevertheless assigns Sweden a high probability (0.783) reflects that Sweden’s term spread and short-term rate deviations — presented in Figure 5.1b — partially overlap with Spain’s: the yield-curve and monetary accommodation signals are not mechanism-specific and do not discriminate between domestic boom and contagion exposure.</w:t>
      </w:r>
    </w:p>
    <w:p>
      <w:pPr>
        <w:pStyle w:val="BodyText"/>
      </w:pPr>
      <w:r>
        <w:t xml:space="preserve">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pPr>
        <w:pStyle w:val="BodyText"/>
      </w:pPr>
      <w:r>
        <w:t xml:space="preserve">[Figure 5.1b: Monetary and yield-curve conditions — Spain / Sweden / United Kingdom, 2004–2006 averages]</w:t>
      </w:r>
    </w:p>
    <w:p>
      <w:pPr>
        <w:pStyle w:val="BodyText"/>
      </w:pPr>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pPr>
        <w:pStyle w:val="BodyText"/>
      </w:pPr>
      <w:r>
        <w:t xml:space="preserve">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pPr>
        <w:pStyle w:val="BodyText"/>
      </w:pPr>
      <w:r>
        <w:t xml:space="preserve">[Table 5.1: Case study feature summary — Spain, Sweden, and the United Kingdom, 2004–2006 averages]</w:t>
      </w:r>
    </w:p>
    <w:p>
      <w:pPr>
        <w:pStyle w:val="BodyText"/>
      </w:pPr>
      <w:r>
        <w:t xml:space="preserve">† Spain’s E1-EBM probability in the 2007 cross-section is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r>
        <w:pict>
          <v:rect style="width:0;height:1.5pt" o:hralign="center" o:hrstd="t" o:hr="t"/>
        </w:pict>
      </w:r>
    </w:p>
    <w:bookmarkEnd w:id="23"/>
    <w:bookmarkStart w:id="24" w:name="Xfd50be060f4ea3cfba507a25885033d3e68ba2f"/>
    <w:p>
      <w:pPr>
        <w:pStyle w:val="Heading2"/>
      </w:pPr>
      <w:r>
        <w:t xml:space="preserve">5.5 Implications for Early-Warning System Design</w:t>
      </w:r>
    </w:p>
    <w:p>
      <w:pPr>
        <w:pStyle w:val="FirstParagraph"/>
      </w:pPr>
      <w:r>
        <w:t xml:space="preserve">Four practical implications follow from the augmented analysis, stated with appropriate caution given the evaluation constraints throughout Chapter 4.</w:t>
      </w:r>
    </w:p>
    <w:p>
      <w:pPr>
        <w:pStyle w:val="BodyText"/>
      </w:pPr>
      <w:r>
        <w:t xml:space="preserve">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pPr>
        <w:pStyle w:val="BodyText"/>
      </w:pPr>
      <w:r>
        <w:t xml:space="preserve">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pPr>
        <w:pStyle w:val="BodyText"/>
      </w:pPr>
      <w:r>
        <w:t xml:space="preserve">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pPr>
        <w:pStyle w:val="BodyText"/>
      </w:pPr>
      <w:r>
        <w:t xml:space="preserve">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w:t>
      </w:r>
    </w:p>
    <w:p>
      <w:r>
        <w:pict>
          <v:rect style="width:0;height:1.5pt" o:hralign="center" o:hrstd="t" o:hr="t"/>
        </w:pict>
      </w:r>
    </w:p>
    <w:bookmarkEnd w:id="24"/>
    <w:bookmarkStart w:id="25" w:name="limitations"/>
    <w:p>
      <w:pPr>
        <w:pStyle w:val="Heading2"/>
      </w:pPr>
      <w:r>
        <w:t xml:space="preserve">5.6 Limitations</w:t>
      </w:r>
    </w:p>
    <w:p>
      <w:pPr>
        <w:pStyle w:val="FirstParagraph"/>
      </w:pPr>
      <w:r>
        <w:t xml:space="preserve">Several limitations constrain the interpretation of results throughout this analysis.</w:t>
      </w:r>
    </w:p>
    <w:p>
      <w:pPr>
        <w:pStyle w:val="BodyText"/>
      </w:pPr>
      <w:r>
        <w:t xml:space="preserve">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pPr>
        <w:pStyle w:val="BodyText"/>
      </w:pPr>
      <w:r>
        <w:t xml:space="preserve">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pPr>
        <w:pStyle w:val="BodyText"/>
      </w:pPr>
      <w:r>
        <w:t xml:space="preserve">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pPr>
        <w:pStyle w:val="BodyText"/>
      </w:pPr>
      <w:r>
        <w:t xml:space="preserve">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pPr>
        <w:pStyle w:val="BodyText"/>
      </w:pPr>
      <w:r>
        <w:t xml:space="preserve">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r>
        <w:pict>
          <v:rect style="width:0;height:1.5pt" o:hralign="center" o:hrstd="t" o:hr="t"/>
        </w:pict>
      </w:r>
    </w:p>
    <w:bookmarkEnd w:id="25"/>
    <w:bookmarkStart w:id="26" w:name="future-research-directions"/>
    <w:p>
      <w:pPr>
        <w:pStyle w:val="Heading2"/>
      </w:pPr>
      <w:r>
        <w:t xml:space="preserve">5.7 Future Research Directions</w:t>
      </w:r>
    </w:p>
    <w:p>
      <w:pPr>
        <w:pStyle w:val="FirstParagraph"/>
      </w:pPr>
      <w:r>
        <w:t xml:space="preserve">Three extensions follow directly from the present analysis, ordered by feasibility and proximity to the existing framework.</w:t>
      </w:r>
    </w:p>
    <w:p>
      <w:pPr>
        <w:pStyle w:val="BodyText"/>
      </w:pPr>
      <w:r>
        <w:rPr>
          <w:bCs/>
          <w:b/>
        </w:rPr>
        <w:t xml:space="preserve">Extension 1 — Most feasible: topic-specific text features.</w:t>
      </w:r>
      <w:r>
        <w:t xml:space="preserve"> 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The existing 16,622 BIS speeches are the input corpus; no additional data collection is required.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pPr>
        <w:spacing w:after="160"/>
        <w:jc w:val="both"/>
      </w:pPr>
      <w:r>
        <w:rPr>
          <w:sz w:val="22"/>
        </w:rPr>
        <w:t xml:space="preserve">A preliminary implementation of this extension has been completed and the results are presented in Appendix A. Using keyword taxonomy to assign BIS speeches to credit, monetary policy, and corporate topic domains, FinBERT negative sentiment scores are computed within each topic subset and lagged one through three years. The extension finds that topic disaggregation does not recover a predictive signal that aggregate sentiment fails to provide: EBM shows zero incremental AUROC and AUPRC when topic-sentiment features are added to the macro baseline. EBM shape function analysis across regimes (Appendix A, Section A.5) confirms that topic-sentiment features exhibit qualitative non-stationarity consistent with the macro findings of Section 4.7.3, with monetary policy sentiment at lag three showing the most pronounced regime instability and corporate sentiment at lag one the most stable structure. The importance ratio of topic sentiment to macro features is 0.240, quantifying the macro dominance documented in Section 4.6. These results suggest that regime instability is a property of the crisis-generating process that operates across both macro and textual feature classes.</w:t>
      </w:r>
    </w:p>
    <w:p>
      <w:pPr>
        <w:pStyle w:val="BodyText"/>
      </w:pPr>
      <w:r>
        <w:rPr>
          <w:bCs/>
          <w:b/>
        </w:rPr>
        <w:t xml:space="preserve">Extension 2 — Most impactful: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 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 This extension directly addresses the core finding of this dissertation and would constitute the most substantive methodological advancement.</w:t>
      </w:r>
    </w:p>
    <w:p>
      <w:pPr>
        <w:pStyle w:val="BodyText"/>
      </w:pPr>
      <w:r>
        <w:rPr>
          <w:bCs/>
          <w:b/>
        </w:rPr>
        <w:t xml:space="preserve">Extension 3 — Most ambitious: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 This extension requires substantial additional data collection and represents a more fundamental departure from the present modelling framework, but would directly address the crisis heterogeneity limitation identified in Section 5.4.</w:t>
      </w:r>
    </w:p>
    <w:p>
      <w:r>
        <w:pict>
          <v:rect style="width:0;height:1.5pt" o:hralign="center" o:hrstd="t" o:hr="t"/>
        </w:pict>
      </w:r>
    </w:p>
    <w:bookmarkEnd w:id="26"/>
    <w:bookmarkStart w:id="27" w:name="conclusion"/>
    <w:p>
      <w:pPr>
        <w:pStyle w:val="Heading2"/>
      </w:pPr>
      <w:r>
        <w:t xml:space="preserve">5.8 Conclusion</w:t>
      </w:r>
    </w:p>
    <w:p>
      <w:pPr>
        <w:pStyle w:val="FirstParagraph"/>
      </w:pPr>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pPr>
        <w:pStyle w:val="BodyText"/>
      </w:pPr>
      <w:r>
        <w:t xml:space="preserve">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pPr>
        <w:pStyle w:val="BodyText"/>
      </w:pPr>
      <w:r>
        <w:rPr>
          <w:iCs/>
          <w:i/>
        </w:rPr>
        <w:t xml:space="preserve">Chapter 5 revision: April 2026</w:t>
      </w:r>
    </w:p>
    <w:bookmarkEnd w:id="27"/>
    <w:bookmarkEnd w:id="28"/>
    <w:p>
      <w:r>
        <w:br w:type="page"/>
      </w:r>
    </w:p>
    <w:p>
      <w:pPr>
        <w:spacing w:after="240"/>
      </w:pPr>
      <w:r>
        <w:rPr>
          <w:b/>
          <w:color w:val="1F4E79"/>
          <w:sz w:val="28"/>
        </w:rPr>
        <w:t>References</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2026-04-12T18:42:24Z</dcterms:created>
  <dcterms:modified xsi:type="dcterms:W3CDTF">2026-04-12T18:42:24Z</dcterms:modified>
</cp:coreProperties>
</file>

<file path=docProps/custom.xml><?xml version="1.0" encoding="utf-8"?>
<Properties xmlns="http://schemas.openxmlformats.org/officeDocument/2006/custom-properties" xmlns:vt="http://schemas.openxmlformats.org/officeDocument/2006/docPropsVTypes"/>
</file>