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886F38">
      <w:r>
        <w:pict w14:anchorId="2ED4B7D6">
          <v:rect id="_x0000_i1081"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14:paraId="1AB3BD0F" w14:textId="77777777" w:rsidR="00507D2B" w:rsidRDefault="00507D2B"/>
    <w:p w14:paraId="2ED4B790" w14:textId="344D75FA" w:rsidR="00601021" w:rsidRDefault="002F2B92">
      <w:r>
        <w:t>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w:t>
      </w:r>
      <w:r>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14:paraId="1B77F8CD" w14:textId="77777777" w:rsidR="00BA426C" w:rsidRDefault="00BA426C"/>
    <w:p w14:paraId="2ED4B794" w14:textId="77777777" w:rsidR="00601021" w:rsidRDefault="00886F38">
      <w:r>
        <w:pict w14:anchorId="2ED4B7D7">
          <v:rect id="_x0000_i1082"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r>
      <w:r>
        <w:lastRenderedPageBreak/>
        <w:t>model assigns increasingly negative contributions at high credit values. This instability is not an artefact of SHAP approximation; it is a direct, readable property of what the model has learned.</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886F38">
      <w:r>
        <w:pict w14:anchorId="2ED4B7D8">
          <v:rect id="_x0000_i1083"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886F38">
      <w:r>
        <w:pict w14:anchorId="2ED4B7D9">
          <v:rect id="_x0000_i1084"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empirical evidence of mechanism-specific discrimination.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551A8B53" w14:textId="77777777" w:rsidR="004A7D7F" w:rsidRDefault="004A7D7F"/>
    <w:p w14:paraId="2ED4B7A4" w14:textId="2562A9D8" w:rsidR="00601021" w:rsidRDefault="002F2B92">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w:t>
      </w:r>
      <w:r>
        <w:lastRenderedPageBreak/>
        <w:t>limits of the macro precursor approach and are consistent with the crisis heterogeneity argument developed above.</w:t>
      </w:r>
    </w:p>
    <w:p w14:paraId="54CB1D24" w14:textId="77777777" w:rsidR="004A7D7F" w:rsidRDefault="004A7D7F"/>
    <w:p w14:paraId="2ED4B7A5" w14:textId="77777777" w:rsidR="00601021" w:rsidRDefault="002F2B92">
      <w:pPr>
        <w:pStyle w:val="Heading3"/>
      </w:pPr>
      <w:r>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52F27C81" w14:textId="77777777" w:rsidR="004A7D7F" w:rsidRDefault="004A7D7F"/>
    <w:p w14:paraId="42CA8751" w14:textId="77777777" w:rsidR="000F6137" w:rsidRDefault="00886F38">
      <w:pPr>
        <w:jc w:val="center"/>
      </w:pPr>
      <w:r>
        <w:rPr>
          <w:noProof/>
        </w:rPr>
        <w:drawing>
          <wp:inline distT="0" distB="0" distL="0" distR="0" wp14:anchorId="02192FB7" wp14:editId="1B482E8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691FC017" w14:textId="77777777" w:rsidR="004A7D7F" w:rsidRDefault="004A7D7F"/>
    <w:p w14:paraId="2ED4B7A8" w14:textId="5ECE7A0C" w:rsidR="00601021" w:rsidRDefault="002F2B92">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w:t>
      </w:r>
      <w:r>
        <w:lastRenderedPageBreak/>
        <w:t>not mechanism-specific and do not discriminate between domestic boom and contagion exposure.</w:t>
      </w:r>
    </w:p>
    <w:p w14:paraId="244EB485" w14:textId="77777777" w:rsidR="00024804" w:rsidRDefault="00024804"/>
    <w:p w14:paraId="281DDFB2" w14:textId="5ACCDC26" w:rsidR="008D5502"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r w:rsidR="008D5502">
        <w:t>.</w:t>
      </w:r>
    </w:p>
    <w:p w14:paraId="3A4CC3DF" w14:textId="77777777" w:rsidR="00024804" w:rsidRDefault="00024804"/>
    <w:p w14:paraId="6EB5FF0C" w14:textId="77777777" w:rsidR="000F6137" w:rsidRDefault="00886F38">
      <w:pPr>
        <w:jc w:val="center"/>
      </w:pPr>
      <w:r>
        <w:rPr>
          <w:noProof/>
        </w:rPr>
        <w:drawing>
          <wp:inline distT="0" distB="0" distL="0" distR="0" wp14:anchorId="3B2E1A4F" wp14:editId="72B41FB0">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54A2E61A" w14:textId="77777777" w:rsidR="00695710" w:rsidRDefault="00695710"/>
    <w:p w14:paraId="2ED4B7AB" w14:textId="373DB058" w:rsidR="00601021" w:rsidRDefault="002F2B92">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w:t>
      </w:r>
      <w:r>
        <w:lastRenderedPageBreak/>
        <w:t>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3E52BA28" w14:textId="77777777" w:rsidR="00695710" w:rsidRDefault="00695710"/>
    <w:p w14:paraId="2ED4B7AC" w14:textId="08624DE3"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57065A48" w14:textId="77777777" w:rsidR="000F6137" w:rsidRDefault="00886F38">
      <w:pPr>
        <w:jc w:val="center"/>
      </w:pPr>
      <w:r>
        <w:rPr>
          <w:noProof/>
        </w:rPr>
        <w:drawing>
          <wp:inline distT="0" distB="0" distL="0" distR="0" wp14:anchorId="03309EB9" wp14:editId="7B45D56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4EF34D7" w14:textId="77777777" w:rsidR="00695710" w:rsidRDefault="00695710"/>
    <w:p w14:paraId="2ED4B7AE" w14:textId="6054813F" w:rsidR="00601021" w:rsidRDefault="002F2B92">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0DD772C8" w14:textId="1D5B25B8" w:rsidR="00695710" w:rsidRDefault="00695710">
      <w:r>
        <w:br w:type="page"/>
      </w:r>
    </w:p>
    <w:p w14:paraId="4CC2CD20" w14:textId="77777777" w:rsidR="00695710" w:rsidRDefault="00695710"/>
    <w:p w14:paraId="2ED4B7AF" w14:textId="77777777" w:rsidR="00601021" w:rsidRDefault="00886F38">
      <w:r>
        <w:pict w14:anchorId="2ED4B7DA">
          <v:rect id="_x0000_i1085"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6F22C705" w14:textId="77777777" w:rsidR="00695710" w:rsidRDefault="00695710"/>
    <w:p w14:paraId="2ED4B7B1" w14:textId="25880B35" w:rsidR="00601021" w:rsidRDefault="002F2B92">
      <w:r>
        <w:t>Four practical implications follow from the augmented analysis, stated with appropriate caution given the evaluation constraints throughout Chapter 4.</w:t>
      </w:r>
    </w:p>
    <w:p w14:paraId="488EE00E" w14:textId="77777777" w:rsidR="00695710" w:rsidRDefault="00695710"/>
    <w:p w14:paraId="2ED4B7B2" w14:textId="5A4FF5A0"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393255A0" w14:textId="77777777" w:rsidR="00695710" w:rsidRDefault="00695710"/>
    <w:p w14:paraId="2ED4B7B3" w14:textId="2C364643" w:rsidR="00601021" w:rsidRDefault="002F2B92">
      <w:r>
        <w:t xml:space="preserve">Second, interpretable non-linear models such as EBM offer a distinct capability that black-box models cannot </w:t>
      </w:r>
      <w:proofErr w:type="gramStart"/>
      <w:r>
        <w:t>provide:</w:t>
      </w:r>
      <w:proofErr w:type="gramEnd"/>
      <w:r>
        <w:t xml:space="preserv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6BFC0FF6" w14:textId="77777777" w:rsidR="00695710" w:rsidRDefault="00695710"/>
    <w:p w14:paraId="2ED4B7B4" w14:textId="5B0BBA6F"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6F209B60" w14:textId="77777777" w:rsidR="00695710" w:rsidRDefault="00695710"/>
    <w:p w14:paraId="2ED4B7B5" w14:textId="3FFD2FD4"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14:paraId="2ED4B7B6" w14:textId="77777777" w:rsidR="00601021" w:rsidRDefault="00886F38">
      <w:r>
        <w:lastRenderedPageBreak/>
        <w:pict w14:anchorId="2ED4B7DB">
          <v:rect id="_x0000_i1086"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78AFC9C5" w14:textId="77777777" w:rsidR="00695710" w:rsidRDefault="00695710"/>
    <w:p w14:paraId="2ED4B7B9" w14:textId="50F5970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4A8510B9" w14:textId="77777777" w:rsidR="00695710" w:rsidRDefault="00695710"/>
    <w:p w14:paraId="2ED4B7BA" w14:textId="0ADC8FCB"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14:paraId="0C9CAC0B" w14:textId="77777777" w:rsidR="00695710" w:rsidRDefault="00695710"/>
    <w:p w14:paraId="2ED4B7BB" w14:textId="09689805"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7A028CAA" w14:textId="77777777" w:rsidR="00695710" w:rsidRDefault="00695710"/>
    <w:p w14:paraId="2ED4B7BC" w14:textId="7180EC9F"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4E529D90" w14:textId="77777777" w:rsidR="00695710" w:rsidRDefault="00695710"/>
    <w:p w14:paraId="2ED4B7BD" w14:textId="4EDB4E2B" w:rsidR="00601021" w:rsidRDefault="002F2B92">
      <w:r>
        <w:t>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14:paraId="2ED4B7BE" w14:textId="77777777" w:rsidR="00601021" w:rsidRDefault="00886F38">
      <w:r>
        <w:pict w14:anchorId="2ED4B7DC">
          <v:rect id="_x0000_i1087"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34A5EE35" w14:textId="77777777" w:rsidR="00695710" w:rsidRDefault="00695710"/>
    <w:p w14:paraId="2ED4B7C0" w14:textId="52738443" w:rsidR="00601021" w:rsidRDefault="002F2B92">
      <w:r>
        <w:t>Three extensions follow directly from the present analysis, ordered by feasibility and proximity to the existing framework.</w:t>
      </w:r>
    </w:p>
    <w:p w14:paraId="1B3CDF27" w14:textId="77777777" w:rsidR="002C582C" w:rsidRDefault="002C582C"/>
    <w:p w14:paraId="495D2699" w14:textId="77777777" w:rsidR="00B80965" w:rsidRDefault="002F2B92">
      <w:r>
        <w:rPr>
          <w:b/>
          <w:bCs/>
        </w:rPr>
        <w:t>Extension 1 —</w:t>
      </w:r>
      <w:r w:rsidR="002C582C">
        <w:rPr>
          <w:b/>
          <w:bCs/>
        </w:rPr>
        <w:t xml:space="preserve"> T</w:t>
      </w:r>
      <w:r>
        <w:rPr>
          <w:b/>
          <w:bCs/>
        </w:rPr>
        <w:t>opic-specific text features</w:t>
      </w:r>
      <w:r w:rsidR="002C582C">
        <w:rPr>
          <w:b/>
          <w:bCs/>
        </w:rPr>
        <w:t xml:space="preserve"> (</w:t>
      </w:r>
      <w:r w:rsidR="002C582C">
        <w:rPr>
          <w:b/>
          <w:bCs/>
        </w:rPr>
        <w:t>Completed</w:t>
      </w:r>
      <w:r w:rsidR="002C582C">
        <w:rPr>
          <w:b/>
          <w:bCs/>
        </w:rPr>
        <w:t>):</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w:t>
      </w:r>
      <w:r>
        <w:lastRenderedPageBreak/>
        <w:t>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32BACB99" w14:textId="77777777" w:rsidR="00B80965" w:rsidRDefault="002F2B92">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2ED4B7C1" w14:textId="59913568" w:rsidR="00601021" w:rsidRDefault="002F2B92">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 Full results are presented in Appendix A.</w:t>
      </w:r>
    </w:p>
    <w:p w14:paraId="57287DC0" w14:textId="77777777" w:rsidR="00844832" w:rsidRDefault="00844832">
      <w:pPr>
        <w:rPr>
          <w:b/>
          <w:bCs/>
        </w:rPr>
      </w:pPr>
    </w:p>
    <w:p w14:paraId="2B08F91A" w14:textId="77777777" w:rsidR="002C582C" w:rsidRDefault="002F2B92">
      <w:r>
        <w:rPr>
          <w:b/>
          <w:bCs/>
        </w:rPr>
        <w:t xml:space="preserve">Extension 2 — </w:t>
      </w:r>
      <w:r w:rsidR="002C582C">
        <w:rPr>
          <w:b/>
          <w:bCs/>
        </w:rPr>
        <w:t>R</w:t>
      </w:r>
      <w:r>
        <w:rPr>
          <w:b/>
          <w:bCs/>
        </w:rPr>
        <w:t>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055BCBF6" w14:textId="1C66B3B5" w:rsidR="002C582C" w:rsidRDefault="002F2B92">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2ED4B7C3" w14:textId="14C930A4" w:rsidR="00601021" w:rsidRDefault="002F2B92">
      <w:r>
        <w:t>This extension directly addresses the core finding of this dissertation and would constitute the most substantive methodological advancement.</w:t>
      </w:r>
    </w:p>
    <w:p w14:paraId="40EEAC7D" w14:textId="77777777" w:rsidR="00844832" w:rsidRDefault="00844832">
      <w:pPr>
        <w:rPr>
          <w:b/>
          <w:bCs/>
        </w:rPr>
      </w:pPr>
    </w:p>
    <w:p w14:paraId="7F8E0349" w14:textId="77777777" w:rsidR="00844832" w:rsidRDefault="002F2B92">
      <w:r>
        <w:rPr>
          <w:b/>
          <w:bCs/>
        </w:rPr>
        <w:t xml:space="preserve">Extension 3 — </w:t>
      </w:r>
      <w:r w:rsidR="00844832">
        <w:rPr>
          <w:b/>
          <w:bCs/>
        </w:rPr>
        <w:t>N</w:t>
      </w:r>
      <w:r>
        <w:rPr>
          <w:b/>
          <w:bCs/>
        </w:rPr>
        <w:t>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w:t>
      </w:r>
    </w:p>
    <w:p w14:paraId="2ED4B7C4" w14:textId="5FB1D55B" w:rsidR="00601021" w:rsidRDefault="002F2B92">
      <w:r>
        <w:t xml:space="preserve">This extension requires substantial additional data collection and represents a more fundamental departure from the present modelling </w:t>
      </w:r>
      <w:r w:rsidR="009F0A1A">
        <w:t>framework but</w:t>
      </w:r>
      <w:r>
        <w:t xml:space="preserve"> would directly address the crisis heterogeneity limitation identified in Section 5.4.</w:t>
      </w:r>
    </w:p>
    <w:p w14:paraId="3DCC278D" w14:textId="77777777" w:rsidR="009F0A1A" w:rsidRDefault="009F0A1A"/>
    <w:p w14:paraId="2ED4B7C5" w14:textId="77777777" w:rsidR="00601021" w:rsidRDefault="00886F38">
      <w:r>
        <w:pict w14:anchorId="2ED4B7DD">
          <v:rect id="_x0000_i1088" style="width:0;height:1.5pt" o:hralign="center" o:bullet="t" o:hrstd="t" o:hr="t"/>
        </w:pict>
      </w:r>
    </w:p>
    <w:p w14:paraId="5618A401" w14:textId="77777777" w:rsidR="009F0A1A" w:rsidRDefault="009F0A1A"/>
    <w:p w14:paraId="2ED4B7C6" w14:textId="77777777" w:rsidR="00601021" w:rsidRDefault="002F2B92">
      <w:pPr>
        <w:pStyle w:val="Heading2"/>
      </w:pPr>
      <w:bookmarkStart w:id="8" w:name="conclusion"/>
      <w:bookmarkEnd w:id="7"/>
      <w:r>
        <w:t>5.8 Conclusion</w:t>
      </w:r>
    </w:p>
    <w:p w14:paraId="3975D418" w14:textId="77777777" w:rsidR="00402FB7" w:rsidRDefault="00402FB7"/>
    <w:p w14:paraId="2ED4B7C7" w14:textId="1BEEF691" w:rsidR="00601021" w:rsidRDefault="002F2B92">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w:t>
      </w:r>
      <w:r>
        <w:lastRenderedPageBreak/>
        <w:t>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4D038AC1" w14:textId="77777777" w:rsidR="00402FB7" w:rsidRDefault="00402FB7"/>
    <w:p w14:paraId="2ED4B7C8" w14:textId="65496DBB"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4BC1" w14:textId="77777777" w:rsidR="00886F38" w:rsidRDefault="00886F38">
      <w:r>
        <w:separator/>
      </w:r>
    </w:p>
  </w:endnote>
  <w:endnote w:type="continuationSeparator" w:id="0">
    <w:p w14:paraId="6BF86330" w14:textId="77777777" w:rsidR="00886F38" w:rsidRDefault="0088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E00E" w14:textId="77777777" w:rsidR="00886F38" w:rsidRDefault="00886F38">
      <w:r>
        <w:separator/>
      </w:r>
    </w:p>
  </w:footnote>
  <w:footnote w:type="continuationSeparator" w:id="0">
    <w:p w14:paraId="3FFC8BAB" w14:textId="77777777" w:rsidR="00886F38" w:rsidRDefault="0088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0F6137"/>
    <w:rsid w:val="00102359"/>
    <w:rsid w:val="002C582C"/>
    <w:rsid w:val="002F2B92"/>
    <w:rsid w:val="003B0034"/>
    <w:rsid w:val="00402FB7"/>
    <w:rsid w:val="004A7D7F"/>
    <w:rsid w:val="00507D2B"/>
    <w:rsid w:val="00601021"/>
    <w:rsid w:val="00695710"/>
    <w:rsid w:val="00844832"/>
    <w:rsid w:val="00886F38"/>
    <w:rsid w:val="008D5502"/>
    <w:rsid w:val="009F0A1A"/>
    <w:rsid w:val="00B80965"/>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15</cp:revision>
  <dcterms:created xsi:type="dcterms:W3CDTF">2026-04-12T18:42:00Z</dcterms:created>
  <dcterms:modified xsi:type="dcterms:W3CDTF">2026-05-02T21:38:00Z</dcterms:modified>
</cp:coreProperties>
</file>