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B789" w14:textId="77777777" w:rsidR="00601021" w:rsidRDefault="002F2B92">
      <w:pPr>
        <w:pStyle w:val="Heading1"/>
      </w:pPr>
      <w:bookmarkStart w:id="0" w:name="chapter-5-discussion"/>
      <w:r>
        <w:t>Chapter 5: Discussion</w:t>
      </w:r>
    </w:p>
    <w:p w14:paraId="2ED4B78A" w14:textId="77777777" w:rsidR="00601021" w:rsidRDefault="002F2B92">
      <w:r>
        <w:rPr>
          <w:i/>
          <w:iCs/>
        </w:rPr>
        <w:t>Economic Crisis Prediction: Improving the Trade-off Between Interpretability and Statistical Accuracy in ML-Enhanced Crisis Prediction Models</w:t>
      </w:r>
    </w:p>
    <w:p w14:paraId="2ED4B78C" w14:textId="77777777" w:rsidR="00601021" w:rsidRDefault="00886F38">
      <w:r>
        <w:pict w14:anchorId="2ED4B7D6">
          <v:rect id="_x0000_i1081" style="width:0;height:1.5pt" o:hralign="center" o:hrstd="t" o:hr="t"/>
        </w:pict>
      </w:r>
    </w:p>
    <w:p w14:paraId="2ED4B78D" w14:textId="77777777" w:rsidR="00601021" w:rsidRDefault="002F2B92">
      <w:pPr>
        <w:pStyle w:val="Heading2"/>
      </w:pPr>
      <w:bookmarkStart w:id="1" w:name="overview-of-findings"/>
      <w:r>
        <w:t>5.1 Overview of Findings</w:t>
      </w:r>
    </w:p>
    <w:p w14:paraId="2ED4B78E" w14:textId="77777777" w:rsidR="00601021" w:rsidRDefault="002F2B92">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1203D5DE" w14:textId="77777777" w:rsidR="00507D2B" w:rsidRDefault="00507D2B"/>
    <w:p w14:paraId="2ED4B78F" w14:textId="38306989" w:rsidR="00601021" w:rsidRDefault="002F2B92">
      <w:r>
        <w:t>The first finding is a negative one: extending macro training history from the original 2003–2020 panel to a 1989–2020 panel spanning multiple pre-GFC crisis episodes does not resolve the EWS generalisation problem. M2 trained on the extended panel achieves AUROC 0.481 in strict temporal validation — below the random classifier threshold — indicating systematic failure under genuinely prospective evaluation. The result advances beyond the original analysis by demonstrating that the failure is not an artefact of short training data: even with fifteen additional years of macro history including the Nordic crisis cluster, Japan 1997, and further episodes, the model does not generalise prospectively to the GFC. The regime discontinuity between earlier crisis types and the GFC is structurally too large for aggregate macro features to bridge. This finding implies that the standard EWS paradigm, which assumes a single stable mapping between macro-financial indicators and crisis risk, may be misspecified when crisis-generating mechanisms are heterogeneous.</w:t>
      </w:r>
    </w:p>
    <w:p w14:paraId="1AB3BD0F" w14:textId="77777777" w:rsidR="00507D2B" w:rsidRDefault="00507D2B"/>
    <w:p w14:paraId="2ED4B790" w14:textId="344D75FA" w:rsidR="00601021" w:rsidRDefault="002F2B92">
      <w:r>
        <w:t>The second finding concerns the role of sentiment augmentation. Within the Stage 2 Cross-Sectional Case Study of the 2007 GFC — a single-episode discrimination exercise evaluating how well each model ranks 18 countries by crisis probability in 2007, not a temporal predictive test — M3 achieves AUPRC 0.411 against M2-matched’s 0.343, a directional gain of 6.8 percentage points. However, the bootstrap 95 per cent confidence interval spans zero in both the original and augmented designs, all auxiliary statistical tests find no significant relationship between sentiment and crisis outcomes, and SHAP attribution shows that individual sentiment feature rankings are unstable across specifications. The more direct test of the sentiment hypothesis is the comparison between M2.5 (EBM, macro-only, AUPRC 0.532) and M3 (XGBoost, macro plus sentiment, AUPRC 0.411): M2.5 outperforms M3 without any sentiment features, suggesting that Stage 2 performance differences are at least as sensitive to model class as to the sentiment feature extension; EBM and XGBoost also differ in regularisation, interaction handling, and calibration behaviour, so the design cannot cleanly isolate sentiment’s independent contribution. The M2-matched versus M3 comparison, while directionally positive for M3, confounds algorithm and feature changes simultaneously and cannot isolate the sentiment contribution. The directional AUPRC gain is best characterised as an in-crisis discrimination measure within the 2007 GFC episode — not as evidence of a generalisable or temporally stable predictive channel. All Stage 2 performance figures should be read in this light.</w:t>
      </w:r>
    </w:p>
    <w:p w14:paraId="53412FA2" w14:textId="77777777" w:rsidR="00507D2B" w:rsidRDefault="00507D2B"/>
    <w:p w14:paraId="2ED4B791" w14:textId="06CD344B" w:rsidR="00601021" w:rsidRDefault="002F2B92">
      <w:r>
        <w:t xml:space="preserve">The third finding concerns the EBM interpretability benchmark. M2.5, the Explainable Boosting Machine trained on the same 41 macro features as M2, appears to achieve higher point estimates than both M2 and M3 within the expanding-window evaluation setting (Stage 1 AUROC 0.753 versus M2’s 0.636; Stage 2 AUPRC 0.532 versus M3’s 0.411), while providing natively interpretable shape functions that require no post-hoc attribution. These expanding-window metrics are subject to the same evaluation constraints as all other models and cannot be taken as evidence of superior generalisable predictive performance. The theoretically significant finding is not EBM’s point estimates but its prospective collapse: in Split B strict temporal validation, EBM achieves AUROC 0.333 — substantially below M2’s 0.481 and below random. This result directly confronts the implicit assumption that interpretable models might be more robust by virtue of their simpler representations. The opposite is observed — within the constrained Split B evaluation, with only six pre-GFC positive training cases: the result is consistent with EBM’s higher representational flexibility producing more aggressive regime-specific fitting than Random Forest, yielding a worse prospective outcome. The central theoretical implication is that the failure of machine learning-based EWS is not a consequence of model opacity — removing opacity through EBM makes the failure more severe, not less, because the underlying cause is non-stationarity in the data-generating process, not a limitation of any particular model class.</w:t>
      </w:r>
    </w:p>
    <w:p w14:paraId="3FEDCE86" w14:textId="77777777" w:rsidR="00BA426C" w:rsidRDefault="00BA426C"/>
    <w:p w14:paraId="2ED4B792" w14:textId="74E63E38" w:rsidR="00601021" w:rsidRDefault="002F2B92">
      <w:r>
        <w:t>The fourth finding concerns the ensemble extension. E1-EBM, defined as the equal-weighted average of M2-matched and EBM M2.5 out-of-sample predicted probabilities, achieves AUROC 0.955 and Brier Score 0.056 — the best global probability accuracy (lowest Brier Score) of any model or ensemble in the Stage 2 evaluation — while E1-Orig (M4, the original M2-matched and M3 ensemble) achieves comparable AUPRC (0.440 versus E1-EBM’s 0.433) but slightly worse Brier (0.057). The ensemble results are subject to the same single-episode evaluation constraint as their constituent models.</w:t>
      </w:r>
    </w:p>
    <w:p w14:paraId="245E1EF9" w14:textId="77777777" w:rsidR="00507D2B" w:rsidRDefault="00507D2B"/>
    <w:p w14:paraId="4D633D8F" w14:textId="77777777" w:rsidR="00BA426C" w:rsidRDefault="002F2B92">
      <w:r>
        <w:t xml:space="preserve">The fifth finding is the crisis type discrimination result from the 2007 cross-sectional ranking under E1-EBM. The ensemble assigns a mean probability of 0.695 to countries whose 2007–2008 stress is characterised as fundamentally credit-boom driven, against 0.395 for contagion-driven cases and 0.325 for countries that experienced no systemic event. Sweden is reclassified as a contagion crisis following confirmation from JST Macrohistory Database R6 that banking crisis onset occurred in 2008 (target_h2 = 1 in 2007), revising the original group counts to Fundamental n = 9, Contagion n = 5, No crisis n = 4. This stratification, whilst based on qualitative crisis type annotation and confined to a single year, indicates that the model’s macro features carry mechanism-specific signal. </w:t>
      </w:r>
    </w:p>
    <w:p w14:paraId="16C0CB32" w14:textId="77777777" w:rsidR="00BA426C" w:rsidRDefault="00BA426C"/>
    <w:p w14:paraId="2ED4B793" w14:textId="733D6E63" w:rsidR="00601021" w:rsidRDefault="002F2B92">
      <w:r>
        <w:t>Together, these five findings point to a single underlying cause: structural instability in the mapping between predictors and crisis outcomes across regimes. Section 5.2 develops the theoretical implications of this conclusion.</w:t>
      </w:r>
    </w:p>
    <w:p w14:paraId="1B77F8CD" w14:textId="77777777" w:rsidR="00BA426C" w:rsidRDefault="00BA426C"/>
    <w:p w14:paraId="2ED4B794" w14:textId="77777777" w:rsidR="00601021" w:rsidRDefault="00886F38">
      <w:r>
        <w:pict w14:anchorId="2ED4B7D7">
          <v:rect id="_x0000_i1082" style="width:0;height:1.5pt" o:hralign="center" o:hrstd="t" o:hr="t"/>
        </w:pict>
      </w:r>
    </w:p>
    <w:p w14:paraId="2ED4B795" w14:textId="77777777" w:rsidR="00601021" w:rsidRDefault="002F2B92">
      <w:pPr>
        <w:pStyle w:val="Heading2"/>
      </w:pPr>
      <w:bookmarkStart w:id="2" w:name="X6c7cb47f4b9704f3839bf5ed850b21f2f80adfa"/>
      <w:bookmarkEnd w:id="1"/>
      <w:r>
        <w:t>5.2 The EBM Interpretability Benchmark: What Native Transparency Reveals</w:t>
      </w:r>
    </w:p>
    <w:p w14:paraId="1933BB28" w14:textId="77777777" w:rsidR="00BA426C" w:rsidRDefault="00BA426C"/>
    <w:p w14:paraId="2ED4B796" w14:textId="649091BC" w:rsidR="00601021" w:rsidRDefault="002F2B92">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38384CA8" w14:textId="77777777" w:rsidR="00BA426C" w:rsidRDefault="00BA426C"/>
    <w:p w14:paraId="2ED4B797" w14:textId="709FA98C" w:rsidR="00601021" w:rsidRDefault="002F2B92">
      <w:r>
        <w:t xml:space="preserve">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w:t>
        <w:lastRenderedPageBreak/>
        <w:t>model assigns increasingly negative contributions at high credit values. This instability is not an artefact of SHAP approximation; it is a direct, readable property of what the model has learned. It bears emphasis that the shape function instability documented here is observed within the expanding-window evaluation — a setting that, as Section 4.5 establishes, produces upper-bound metrics rather than true prospective estimates. The instability is real and analytically important, but it is detected within the same evaluation regime that inflates all other metrics. Its value lies in converting model failure into a legible, regime-specific misspecification, not in providing a new metric of prospective performance.</w:t>
      </w:r>
    </w:p>
    <w:p w14:paraId="2ED4B798" w14:textId="77777777" w:rsidR="00601021" w:rsidRDefault="002F2B92">
      <w:r>
        <w:t>The implications extend beyond the specific features. The instability of EBM shape functions confirms that the mapping from macro-financial indicators to crisis risk is not invariant across time — violating the core assumption underlying all static EWS models. This places crisis prediction within the broader class of non-stationary learning problems, where models trained under one data distribution cannot be expected to generalise when the underlying process evolves. Static, pooled, single-classifier early-warning systems are therefore not merely empirically limited in their generalisation; they are conceptually misaligned — at least in their current form — with structural break environments, where the data-generating process evolves faster than any static model can adapt. More sophisticated designs — regime-switching models, mechanism-specific classifiers, or Bayesian updating frameworks — may partially address this misalignment, but are beyond the scope of the present study.</w:t>
      </w:r>
    </w:p>
    <w:p w14:paraId="03B6A7C2" w14:textId="77777777" w:rsidR="00BA426C" w:rsidRDefault="00BA426C"/>
    <w:p w14:paraId="2ED4B799" w14:textId="62E198FA" w:rsidR="00601021" w:rsidRDefault="002F2B92">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2ED4B79A" w14:textId="77777777" w:rsidR="00601021" w:rsidRDefault="00886F38">
      <w:r>
        <w:pict w14:anchorId="2ED4B7D8">
          <v:rect id="_x0000_i1083" style="width:0;height:1.5pt" o:hralign="center" o:hrstd="t" o:hr="t"/>
        </w:pict>
      </w:r>
    </w:p>
    <w:p w14:paraId="2ED4B79B" w14:textId="77777777" w:rsidR="00601021" w:rsidRDefault="002F2B92">
      <w:pPr>
        <w:pStyle w:val="Heading2"/>
      </w:pPr>
      <w:bookmarkStart w:id="3" w:name="X3d2542b05e00442d2cc94f91fc48d05b3cf8eb4"/>
      <w:bookmarkEnd w:id="2"/>
      <w:r>
        <w:t>5.3 The Ensemble as a Response to Model Uncertainty</w:t>
      </w:r>
    </w:p>
    <w:p w14:paraId="0A474732" w14:textId="77777777" w:rsidR="00BA426C" w:rsidRDefault="00BA426C"/>
    <w:p w14:paraId="2ED4B79C" w14:textId="114E7766" w:rsidR="00601021" w:rsidRDefault="002F2B92">
      <w:r>
        <w:t>The ensemble extensions operationalise the insight from Holopainen and Sarlin (2017) that in small-sample, crisis-concentrated evaluation settings, combining predictions across models with different architectures is preferable to selecting a single best performer. Equal weighting is used throughout: any performance-weighted scheme that derives weights from the same out-of-sample pool used for evaluation is circular, and given the similar AUROCs of the component models, the equal-weight and AUROC-weight schemes are numerically indistinguishable.</w:t>
      </w:r>
    </w:p>
    <w:p w14:paraId="3367AC20" w14:textId="77777777" w:rsidR="00021811" w:rsidRDefault="002F2B92">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2ED4B79D" w14:textId="6A64ADAD" w:rsidR="00601021" w:rsidRDefault="002F2B92">
      <w:r>
        <w:t>This is the condition Holopainen and Sarlin (2017) identify as the primary motivation for ensemble averaging.</w:t>
      </w:r>
    </w:p>
    <w:p w14:paraId="2ED4B79E" w14:textId="77777777" w:rsidR="00601021" w:rsidRDefault="002F2B92">
      <w:r>
        <w:t>One notable feature of the E1-EBM result is that it achieves lower AUPRC (0.433) than EBM alone (0.532), because averaging with M2-matched (AUPRC 0.343) pulls the combined precision-recall performance below EBM’s individual level. The Brier Score of 0.056 for E1-EBM — the best of any Stage 2 configuration — is the more robust metric of ensemble benefit. Where the evaluation objective is producing well-calibrated probability estimates for policy thresholds, the ensemble is preferable; where the primary concern is ranking crisis countries within a known episode, EBM alone achieves higher point estimates within the constrained evaluation setting.</w:t>
      </w:r>
    </w:p>
    <w:p w14:paraId="2ED4B79F" w14:textId="77777777" w:rsidR="00601021" w:rsidRDefault="00886F38">
      <w:r>
        <w:pict w14:anchorId="2ED4B7D9">
          <v:rect id="_x0000_i1084" style="width:0;height:1.5pt" o:hralign="center" o:hrstd="t" o:hr="t"/>
        </w:pict>
      </w:r>
    </w:p>
    <w:p w14:paraId="2ED4B7A0" w14:textId="77777777" w:rsidR="00601021" w:rsidRDefault="002F2B92">
      <w:pPr>
        <w:pStyle w:val="Heading2"/>
      </w:pPr>
      <w:bookmarkStart w:id="4" w:name="crisis-heterogeneity-and-model-scope"/>
      <w:bookmarkEnd w:id="3"/>
      <w:r>
        <w:lastRenderedPageBreak/>
        <w:t>5.4 Crisis Heterogeneity and Model Scope</w:t>
      </w:r>
    </w:p>
    <w:p w14:paraId="2ED4B7A1" w14:textId="77777777" w:rsidR="00601021" w:rsidRDefault="002F2B92">
      <w:r>
        <w:t>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14:paraId="490E87E9" w14:textId="77777777" w:rsidR="00021811" w:rsidRDefault="00021811"/>
    <w:p w14:paraId="637924A3" w14:textId="77777777" w:rsidR="00021811" w:rsidRDefault="002F2B92">
      <w:r>
        <w:t xml:space="preserve">Four crisis mechanisms are relevant to the 18-country panel and 1989–2020 evaluation window. Fundamental crises, in which domestic imbalances — credit expansion, asset price inflation, current account deterioration — accumulate over multi-year horizons before triggering systemic stress, are the mechanism that EWS macro features are designed to detect. </w:t>
      </w:r>
    </w:p>
    <w:p w14:paraId="2ED4B7A2" w14:textId="4D80DBB2" w:rsidR="00601021" w:rsidRDefault="002F2B92">
      <w:r>
        <w:t>The Nordic crisis cluster of 1991, the Japanese episode of the late 1990s, and the GFC credit-boom dynamics in the United States, Ireland, and Spain all broadly fit this pattern. Contagion crises, in which stress originates externally and propagates through financial linkages without corresponding domestic imbalance, constitute a different mechanism: Germany, Belgium, and Switzerland in 2007–2008 experienced stress primarily through exposure to US asset-backed securities rather than domestic credit cycles. Speculative attack episodes, such as the ERM crisis of 1992, represent a third mechanism: self-fulfilling expectations against a fixed exchange rate peg can produce crisis even when domestic fundamentals are sound (Obstfeld, 1996). Exogenous real shocks constitute the fourth type, of which the COVID-19 shock is the most recent example. The 2020 observation is appropriately excluded from the crisis chronology on the grounds that it does not satisfy Laeven and Valencia’s systemic banking crisis criteria.</w:t>
      </w:r>
    </w:p>
    <w:p w14:paraId="2ED4B7A3" w14:textId="77777777" w:rsidR="00601021" w:rsidRDefault="002F2B92">
      <w:r>
        <w:t>The 2007 cross-sectional ranking under E1-EBM provides qualified, exploratory evidence of mechanism-specific discrimination. This analysis is explicitly post-hoc: crisis type classifications are applied after model training and country ranking, and the hypothesis that macro precursor models would discriminate by crisis mechanism was not pre-specified as a formal test in the study design. The following findings are therefore presented as descriptive evidence and hypothesis generation — characterising model behaviour within a known episode — rather than as validated model capabilities.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551A8B53" w14:textId="77777777" w:rsidR="004A7D7F" w:rsidRDefault="004A7D7F"/>
    <w:p w14:paraId="2ED4B7A4" w14:textId="2562A9D8" w:rsidR="00601021" w:rsidRDefault="002F2B92">
      <w:r>
        <w:t xml:space="preserve">The country-level labels that follow — fundamental crisis, contagion, and no crisis — refer to qualitative mechanism classification and should be distinguished from the binary JST target_h2 evaluation label: Sweden and the United States are statistical positives (target_h2 = 1 in 2007); the United Kingdom is a statistical negative (target_h2 = 0 in 2007). Two country-level results warrant explicit discussion. Sweden (E1-EBM probability 0.783, rank 5) registers as a true positive: the JST Macrohistory Database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rather than domestically generated imbalance — an important qualification addressed in Section 5.4.1. The United Kingdom (E1-EBM probability 0.171, rank 15) is the most prominent qualitative scope failure: the JST target_h2 label is 0 in 2007, placing it outside the statistical crisis window. It is therefore not a statistical false negative under the binary evaluation criterion, but a qualitative economic mismatch — the model assigns low risk to a country whose banking stress is economically central to the GFC narrative. The mechanism behind this mismatch is examined in detail in Section 5.4.1. Both cases illustrate the </w:t>
        <w:lastRenderedPageBreak/>
        <w:t>limits of the macro precursor approach and are consistent with the crisis heterogeneity argument developed above.</w:t>
      </w:r>
    </w:p>
    <w:p w14:paraId="54CB1D24" w14:textId="77777777" w:rsidR="004A7D7F" w:rsidRDefault="004A7D7F"/>
    <w:p w14:paraId="2ED4B7A5" w14:textId="77777777" w:rsidR="00601021" w:rsidRDefault="002F2B92">
      <w:pPr>
        <w:pStyle w:val="Heading3"/>
      </w:pPr>
      <w:r>
        <w:t>5.4.1 Feature-Level Evidence: Spain, Sweden, and the United Kingdom</w:t>
      </w:r>
    </w:p>
    <w:p w14:paraId="2ED4B7A6" w14:textId="77777777" w:rsidR="00601021" w:rsidRDefault="002F2B92">
      <w:r>
        <w:t>The 2007 cross-sectional ranking provides the basis for a structured feature-level case study across three countries that span the range of model outcomes: Spain (correct hit; E1-EBM 0.810†), Sweden (true positive; E1-EBM 0.783), and the United Kingdom (qualitative scope failure, target_h2 = 0; E1-EBM 0.171). Examining the macro feature values that the model observed for each country in the 2004–2006 period — the lagged window that feeds the 2007 prediction — illustrates both the discriminatory logic of the EBM and the scope conditions under which it fails.</w:t>
      </w:r>
    </w:p>
    <w:p w14:paraId="52F27C81" w14:textId="77777777" w:rsidR="004A7D7F" w:rsidRDefault="004A7D7F"/>
    <w:p w14:paraId="42CA8751" w14:textId="77777777" w:rsidR="000F6137" w:rsidRDefault="00886F38">
      <w:pPr>
        <w:jc w:val="center"/>
      </w:pPr>
      <w:r>
        <w:rPr>
          <w:noProof/>
        </w:rPr>
        <w:drawing>
          <wp:inline distT="0" distB="0" distL="0" distR="0" wp14:anchorId="02192FB7" wp14:editId="1B482E8A">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180783"/>
                    </a:xfrm>
                    <a:prstGeom prst="rect">
                      <a:avLst/>
                    </a:prstGeom>
                  </pic:spPr>
                </pic:pic>
              </a:graphicData>
            </a:graphic>
          </wp:inline>
        </w:drawing>
      </w:r>
    </w:p>
    <w:p w14:paraId="10FF382A" w14:textId="77777777" w:rsidR="00024804" w:rsidRDefault="00024804"/>
    <w:p w14:paraId="691FC017" w14:textId="77777777" w:rsidR="004A7D7F" w:rsidRDefault="004A7D7F"/>
    <w:p w14:paraId="2ED4B7A8" w14:textId="5ECE7A0C" w:rsidR="00601021" w:rsidRDefault="002F2B92">
      <w:r>
        <w:t xml:space="preserve">Figure 5.1a presents credit and housing conditions averaged over 2004–2006. Spain’s credit growth of 19.8 per cent per annum and house price growth of 17.6 per cent are consistent with the classic pre-crisis domestic boom pattern: a prolonged phase of credit expansion accompanied by asset price appreciation that EWS macro features are explicitly designed to detect (Schularick and Taylor, 2012). The EBM shape function for credit features assigns increasing crisis probability at elevated credit growth values, and Spain sits well into the high-risk segment of that function. Sweden’s credit growth of 7.4 per cent and house price growth of 11.1 per cent are moderate by comparison and do not signal domestic imbalance accumulation at the same scale. That the model assigns Sweden a high probability (0.783) reflects that Sweden’s term spread and short-term rate deviations — presented in Figure 5.1b — partially overlap with Spain’s: the yield-curve and monetary accommodation signals are </w:t>
        <w:lastRenderedPageBreak/>
        <w:t>not mechanism-specific and do not discriminate between domestic boom and contagion exposure.</w:t>
      </w:r>
    </w:p>
    <w:p w14:paraId="244EB485" w14:textId="77777777" w:rsidR="00024804" w:rsidRDefault="00024804"/>
    <w:p w14:paraId="281DDFB2" w14:textId="5ACCDC26" w:rsidR="008D5502" w:rsidRDefault="002F2B92">
      <w:r>
        <w:t>The United Kingdom’s false negative is more precisely characterised as a scope condition than a model error. The feature set captures asset-side dynamics — the pace of credit extension, house price appreciation, and macro-financial conditions — but the UK’s 2007–2008 stress originated on the liability side of bank balance sheets. UK institutions had funded expanding mortgage books predominantly through short-term wholesale markets rather than stable retail deposits; when confidence in US asset-backed securities collapsed, the interbank market seized and those funding structures became non-viable. The model’s inputs — credit growth of 9.3 per cent and house price growth of 13.3 per cent — are consistent with moderate expansion rather than a domestic boom, and the EBM correctly assigns a low crisis contribution at those feature values. The crisis that followed was not preceded by the kind of asset-side imbalance accumulation that the feature set is designed to detect. This does not constitute model failure in the usual sense; it reflects that the macro precursor approach has legitimate scope limits when the crisis mechanism operates through funding-channel fragility rather than credit-cycle excess.</w:t>
      </w:r>
    </w:p>
    <w:p w14:paraId="3A4CC3DF" w14:textId="77777777" w:rsidR="00024804" w:rsidRDefault="00024804"/>
    <w:p w14:paraId="6EB5FF0C" w14:textId="77777777" w:rsidR="000F6137" w:rsidRDefault="00886F38">
      <w:pPr>
        <w:jc w:val="center"/>
      </w:pPr>
      <w:r>
        <w:rPr>
          <w:noProof/>
        </w:rPr>
        <w:drawing>
          <wp:inline distT="0" distB="0" distL="0" distR="0" wp14:anchorId="3B2E1A4F" wp14:editId="72B41FB0">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4320614"/>
                    </a:xfrm>
                    <a:prstGeom prst="rect">
                      <a:avLst/>
                    </a:prstGeom>
                  </pic:spPr>
                </pic:pic>
              </a:graphicData>
            </a:graphic>
          </wp:inline>
        </w:drawing>
      </w:r>
    </w:p>
    <w:p w14:paraId="54A2E61A" w14:textId="77777777" w:rsidR="00695710" w:rsidRDefault="00695710"/>
    <w:p w14:paraId="2ED4B7AB" w14:textId="373DB058" w:rsidR="00601021" w:rsidRDefault="002F2B92">
      <w:r>
        <w:t xml:space="preserve">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cases: highly accommodative monetary conditions relative to each country’s own history, </w:t>
        <w:lastRenderedPageBreak/>
        <w:t>combined with steepened yield curves, reflect the shared low-rate environment of the mid-2000s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3E52BA28" w14:textId="77777777" w:rsidR="00695710" w:rsidRDefault="00695710"/>
    <w:p w14:paraId="2ED4B7AC" w14:textId="08624DE3" w:rsidR="00601021" w:rsidRDefault="002F2B92">
      <w:r>
        <w:t>The contrast between the two figures is itself informative. In Figure 5.1a, Spain is visually distinct: its credit and house price growth rates are approximately two to three times those of Sweden and the United Kingdom, placing it well into the high-contribution segment of the EBM’s credit shape function. In Figure 5.1b, the three countries are broadly similar: all show substantially negative short-term rate deviations and positive term spread deviations relative to their own histories. The monetary and yield-curve features therefore contribute to elevated aggregate probabilities across the sample but carry little cross-sectional discriminatory power. Taken together, the two panels make visible what would otherwise require post-hoc attribution to establish: the model’s crisis signal is concentrated in credit-cycle dynamics, its errors have identifiable mechanistic causes rather than being randomly distributed across the sample, and the feature-level evidence is legible directly from the inputs. This is precisely the kind of transparency that EBM’s native interpretability is designed to provide — and it arrives without the approximation error inherent in SHAP decomposition applied to a non-linear model.</w:t>
      </w:r>
    </w:p>
    <w:p w14:paraId="464AE325" w14:textId="77777777" w:rsidR="00024804" w:rsidRDefault="00024804"/>
    <w:p w14:paraId="57065A48" w14:textId="77777777" w:rsidR="000F6137" w:rsidRDefault="00886F38">
      <w:pPr>
        <w:jc w:val="center"/>
      </w:pPr>
      <w:r>
        <w:rPr>
          <w:noProof/>
        </w:rPr>
        <w:drawing>
          <wp:inline distT="0" distB="0" distL="0" distR="0" wp14:anchorId="03309EB9" wp14:editId="7B45D560">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2691512"/>
                    </a:xfrm>
                    <a:prstGeom prst="rect">
                      <a:avLst/>
                    </a:prstGeom>
                  </pic:spPr>
                </pic:pic>
              </a:graphicData>
            </a:graphic>
          </wp:inline>
        </w:drawing>
      </w:r>
    </w:p>
    <w:p w14:paraId="24EF34D7" w14:textId="77777777" w:rsidR="00695710" w:rsidRDefault="00695710"/>
    <w:p w14:paraId="2ED4B7AE" w14:textId="6054813F" w:rsidR="00601021" w:rsidRDefault="002F2B92">
      <w:r>
        <w:t>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0DD772C8" w14:textId="1D5B25B8" w:rsidR="00695710" w:rsidRDefault="00695710">
      <w:r>
        <w:br w:type="page"/>
      </w:r>
    </w:p>
    <w:p w14:paraId="4CC2CD20" w14:textId="77777777" w:rsidR="00695710" w:rsidRDefault="00695710"/>
    <w:p w14:paraId="2ED4B7AF" w14:textId="77777777" w:rsidR="00601021" w:rsidRDefault="00886F38">
      <w:r>
        <w:pict w14:anchorId="2ED4B7DA">
          <v:rect id="_x0000_i1085" style="width:0;height:1.5pt" o:hralign="center" o:hrstd="t" o:hr="t"/>
        </w:pict>
      </w:r>
    </w:p>
    <w:p w14:paraId="2ED4B7B0" w14:textId="77777777" w:rsidR="00601021" w:rsidRDefault="002F2B92">
      <w:pPr>
        <w:pStyle w:val="Heading2"/>
      </w:pPr>
      <w:bookmarkStart w:id="5" w:name="Xfd50be060f4ea3cfba507a25885033d3e68ba2f"/>
      <w:bookmarkEnd w:id="4"/>
      <w:r>
        <w:t>5.5 Implications for Early-Warning System Design</w:t>
      </w:r>
    </w:p>
    <w:p w14:paraId="6F22C705" w14:textId="77777777" w:rsidR="00695710" w:rsidRDefault="00695710"/>
    <w:p w14:paraId="2ED4B7B1" w14:textId="25880B35" w:rsidR="00601021" w:rsidRDefault="002F2B92">
      <w:r>
        <w:t>Four practical implications follow from the augmented analysis, stated with appropriate caution given the evaluation constraints throughout Chapter 4.</w:t>
      </w:r>
    </w:p>
    <w:p w14:paraId="488EE00E" w14:textId="77777777" w:rsidR="00695710" w:rsidRDefault="00695710"/>
    <w:p w14:paraId="2ED4B7B2" w14:textId="5A4FF5A0" w:rsidR="00601021" w:rsidRDefault="002F2B92">
      <w:r>
        <w:t>First, extending training history is necessary but not sufficient for prospective EWS performance. The augmented Stage 1 analysis demonstrates that including fifteen additional years of crisis history does not resolve the generalisation problem. The dominant constraint on EWS performance is regime heterogeneity — models trained on one type of crisis precursor pattern do not generalise to structurally different episodes — rather than training data length per se. An operational EWS would require either a regime-classification layer that identifies the current crisis type before applying model predictions, or a portfolio of models each calibrated to a specific crisis mechanism, rather than a single general-purpose classifier.</w:t>
      </w:r>
    </w:p>
    <w:p w14:paraId="393255A0" w14:textId="77777777" w:rsidR="00695710" w:rsidRDefault="00695710"/>
    <w:p w14:paraId="2ED4B7B3" w14:textId="2C364643" w:rsidR="00601021" w:rsidRDefault="002F2B92">
      <w:r>
        <w:t>Second, interpretable non-linear models such as EBM offer a distinct capability that black-box models cannot provide: direct observation of whether the learned feature-risk relationships are regime-stable. The shape function instability documented in Section 4.7.3 converts what would otherwise be an opaque model failure into a legible, regime-specific misspecification. In a policy context, this matters: a regulator who can see that the model’s term spread relationship has a different shape in the current regime than in the training regime can apply appropriate scepticism to the model’s output, whereas a regulator using SHAP attributions from a black-box model receives no direct signal that the underlying learned mapping has shifted. This suggests that interpretable models should be preferred for EWS applications not primarily because of their expanding-window metrics, but because their transparency allows practitioners to detect and communicate the conditions under which their outputs cannot be trusted. However, this recommendation comes with the qualification established by the temporal validation: greater interpretability via EBM does not confer prospective robustness, and may increase sensitivity to regime-specific overfitting.</w:t>
      </w:r>
    </w:p>
    <w:p w14:paraId="6BFC0FF6" w14:textId="77777777" w:rsidR="00695710" w:rsidRDefault="00695710"/>
    <w:p w14:paraId="2ED4B7B4" w14:textId="5B0BBA6F" w:rsidR="00601021" w:rsidRDefault="002F2B92">
      <w:r>
        <w:t>Third, the ensemble design remains the most defensible approach within the constrained single-episode evaluation setting, but for calibration rather than discrimination reasons. M2-matched and M3 cannot be definitively ranked on AUPRC (confidence interval spans zero), and the same uncertainty applies to comparisons between any pair of Stage 2 models. The ensemble consistently produces lower Brier Score than either component — E1-EBM achieves Brier 0.056, better than M2-matched (0.060) and EBM alone (0.067) — which is a practically important property for any system that must assign concrete probability thresholds for policy review. This recommendation is qualified by the absence of prospective validation across multiple crisis episodes.</w:t>
      </w:r>
    </w:p>
    <w:p w14:paraId="6F209B60" w14:textId="77777777" w:rsidR="00695710" w:rsidRDefault="00695710"/>
    <w:p w14:paraId="2ED4B7B5" w14:textId="3FFD2FD4" w:rsidR="00601021" w:rsidRDefault="002F2B92">
      <w:r>
        <w:t>Fourth, central bank sentiment contributes a complementary but unstable signal. The SHAP attribution shift from 14.1 per cent to 26.2 per cent of aggregate attribution across the original and augmented analyses reflects model re-weighting under different sample configurations rather than a change in the underlying economic relationship. An operational sentiment channel would require more stable textual features and validation across multiple crisis episodes before it could be relied upon as a robust early-warning signal. The panel logistic result — sentiment pseudo-R² increment of only 0.034 with non-significant individual coefficients (p = 0.103) — reinforces this caution. These findings collectively provide the dissertation’s direct answer to its central research question. The augmented analysis demonstrates that interpretable non-linear modelling — specifically EBM — can improve the apparent interpretability–accuracy trade-off within expanding-window evaluation: EBM achieves competitive discrimination metrics while providing direct, regime-legible shape functions that post-hoc SHAP approximations cannot match. However, strict temporal validation shows that this improvement does not survive prospective transfer to a held-out crisis episode. Neither additional macro history, sentiment augmentation, ensemble averaging, nor native interpretability resolves the underlying problem of regime non-stationarity. The dissertation therefore reframes the interpretability–accuracy trade-off: the primary constraint on EWS performance is not model architecture but the absence of a stable predictor–outcome mapping across crisis regimes. EBM’s distinctive contribution is to make this instability directly visible rather than to overcome it.</w:t>
      </w:r>
    </w:p>
    <w:p w14:paraId="2ED4B7B6" w14:textId="77777777" w:rsidR="00601021" w:rsidRDefault="00886F38">
      <w:r>
        <w:lastRenderedPageBreak/>
        <w:pict w14:anchorId="2ED4B7DB">
          <v:rect id="_x0000_i1086" style="width:0;height:1.5pt" o:hralign="center" o:hrstd="t" o:hr="t"/>
        </w:pict>
      </w:r>
    </w:p>
    <w:p w14:paraId="2ED4B7B7" w14:textId="77777777" w:rsidR="00601021" w:rsidRDefault="002F2B92">
      <w:pPr>
        <w:pStyle w:val="Heading2"/>
      </w:pPr>
      <w:bookmarkStart w:id="6" w:name="limitations"/>
      <w:bookmarkEnd w:id="5"/>
      <w:r>
        <w:t>5.6 Limitations</w:t>
      </w:r>
    </w:p>
    <w:p w14:paraId="2ED4B7B8" w14:textId="77777777" w:rsidR="00601021" w:rsidRDefault="002F2B92">
      <w:r>
        <w:t>Several limitations constrain the interpretation of results throughout this analysis.</w:t>
      </w:r>
    </w:p>
    <w:p w14:paraId="78AFC9C5" w14:textId="77777777" w:rsidR="00695710" w:rsidRDefault="00695710"/>
    <w:p w14:paraId="2ED4B7B9" w14:textId="50F59707" w:rsidR="00601021" w:rsidRDefault="002F2B92">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14:paraId="4A8510B9" w14:textId="77777777" w:rsidR="00695710" w:rsidRDefault="00695710"/>
    <w:p w14:paraId="2ED4B7BA" w14:textId="0ADC8FCB" w:rsidR="00601021" w:rsidRDefault="002F2B92">
      <w:r>
        <w:t>The EBM prospective collapse (AUROC 0.333 in Split B) introduces a specific limitation on the interpretability contribution. The shape function analysis correctly identifies regime instability as a structural property of the data-generating process. However, the worse prospective performance of EBM relative to Random Forest indicates that higher representational flexibility can itself exacerbate regime-specific overfitting. The practical implication is that interpretable models should be adopted for their transparency value rather than their prospective predictive superiority, and that their higher in-sample performance should be treated with the same scepticism applied to all expanding-window metrics.</w:t>
      </w:r>
    </w:p>
    <w:p w14:paraId="0C9CAC0B" w14:textId="77777777" w:rsidR="00695710" w:rsidRDefault="00695710"/>
    <w:p w14:paraId="2ED4B7BB" w14:textId="09689805" w:rsidR="00601021" w:rsidRDefault="002F2B92">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7A028CAA" w14:textId="77777777" w:rsidR="00695710" w:rsidRDefault="00695710"/>
    <w:p w14:paraId="2ED4B7BC" w14:textId="7180EC9F" w:rsidR="00601021" w:rsidRDefault="002F2B92">
      <w:r>
        <w:t>The sentiment corpus is unevenly distributed across countries and time. BIS central bank speech coverage reflects differences in speech volume and linguistic register across national central banks. Countries with smaller or less English-language-rich corpora will receive less stable FinBERT sentiment scores. The rolling-demeaned sentiment features partially address temporal non-stationarity but do not equalise cross-country corpus quality.</w:t>
      </w:r>
    </w:p>
    <w:p w14:paraId="4E529D90" w14:textId="77777777" w:rsidR="00695710" w:rsidRDefault="00695710"/>
    <w:p w14:paraId="2ED4B7BD" w14:textId="4EDB4E2B" w:rsidR="00601021" w:rsidRDefault="002F2B92">
      <w:r>
        <w:t>Bootstrap confidence intervals throughout Chapter 4 are indicative only and should not be used to make claims of statistical significance. Panel dependence — crisis events clustered by country and year within the GFC episode — violates the independence assumption of standard bootstrap resampling, meaning the true uncertainty in Stage 2 metrics is substantially larger than the reported intervals suggest. Rather than relying on bootstrap CIs as the primary basis for characterising model uncertainty, the disagreement analysis in Section 4.10.2 — which documents that mean absolute disagreement between models is 2.8 times higher at crisis observations than at non-crisis observations — provides the more epistemically appropriate tool within this constrained evaluation setting. The bootstrap CIs are retained as descriptive summaries of resampling variability only, and no inferential weight should be placed on whether a CI spans zero in the Stage 2 context.</w:t>
      </w:r>
    </w:p>
    <w:p w14:paraId="2ED4B7BE" w14:textId="77777777" w:rsidR="00601021" w:rsidRDefault="00886F38">
      <w:r>
        <w:pict w14:anchorId="2ED4B7DC">
          <v:rect id="_x0000_i1087" style="width:0;height:1.5pt" o:hralign="center" o:hrstd="t" o:hr="t"/>
        </w:pict>
      </w:r>
    </w:p>
    <w:p w14:paraId="2ED4B7BF" w14:textId="77777777" w:rsidR="00601021" w:rsidRDefault="002F2B92">
      <w:pPr>
        <w:pStyle w:val="Heading2"/>
      </w:pPr>
      <w:bookmarkStart w:id="7" w:name="future-research-directions"/>
      <w:bookmarkEnd w:id="6"/>
      <w:r>
        <w:t>5.7 Extensions and Future Research</w:t>
      </w:r>
    </w:p>
    <w:p w14:paraId="34A5EE35" w14:textId="77777777" w:rsidR="00695710" w:rsidRDefault="00695710"/>
    <w:p w14:paraId="2ED4B7C0" w14:textId="52738443" w:rsidR="00601021" w:rsidRDefault="002F2B92">
      <w:r>
        <w:t>Three extensions follow directly from the present analysis, ordered by feasibility and proximity to the existing framework.</w:t>
      </w:r>
    </w:p>
    <w:p w14:paraId="1B3CDF27" w14:textId="77777777" w:rsidR="002C582C" w:rsidRDefault="002C582C"/>
    <w:p w14:paraId="495D2699" w14:textId="77777777" w:rsidR="00B80965" w:rsidRDefault="002F2B92">
      <w:r>
        <w:rPr>
          <w:b/>
          <w:bCs/>
        </w:rPr>
        <w:t>Completed Extension — Topic-specific text features:</w:t>
      </w:r>
      <w:r>
        <w:t xml:space="preserve"> 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w:t>
        <w:lastRenderedPageBreak/>
        <w:t>keyword taxonomy to assign the 16,622 BIS speeches to three topic domains — credit conditions, monetary policy, and corporate sector — FinBERT negative sentiment scores are computed within each topic subset and lagged one through three years, generating nine additional features for direct augmentation of the macro baseline.</w:t>
      </w:r>
    </w:p>
    <w:p w14:paraId="32BACB99" w14:textId="77777777" w:rsidR="00B80965" w:rsidRDefault="002F2B92">
      <w:r>
        <w:t>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at lag one exhibits the most stable structure.</w:t>
      </w:r>
    </w:p>
    <w:p w14:paraId="2ED4B7C1" w14:textId="59913568" w:rsidR="00601021" w:rsidRDefault="002F2B92">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14:paraId="57287DC0" w14:textId="77777777" w:rsidR="00844832" w:rsidRDefault="00844832">
      <w:pPr>
        <w:rPr>
          <w:b/>
          <w:bCs/>
        </w:rPr>
      </w:pPr>
    </w:p>
    <w:p w14:paraId="2B08F91A" w14:textId="77777777" w:rsidR="002C582C" w:rsidRDefault="002F2B92">
      <w:r>
        <w:rPr>
          <w:b/>
          <w:bCs/>
        </w:rPr>
        <w:t>Proposed Extension 1 — Regime-conditional modelling.</w:t>
      </w:r>
      <w:r>
        <w:t xml:space="preserve"> The shape function instability documented in Section 4.7.3 implies that a single static model cannot represent the feature-risk mapping across all crisis regimes. A regime-conditional framework — applied not to replace the ML models but to condition their outputs on a regime indicator — would allow the prediction step to use a different mapping depending on whether the current economic environment resembles a credit-boom regime, a post-crisis repair regime, or a stable expansion.</w:t>
      </w:r>
    </w:p>
    <w:p w14:paraId="055BCBF6" w14:textId="1C66B3B5" w:rsidR="002C582C" w:rsidRDefault="002F2B92">
      <w:r>
        <w:t>The EBM shape function instability results from the present analysis provide both the empirical motivation and a potential methodological foundation: the shape plots for different sub-periods could serve as inputs to a regime clustering algorithm, replacing the need to specify regime boundaries exogenously.</w:t>
      </w:r>
    </w:p>
    <w:p w14:paraId="2ED4B7C3" w14:textId="14C930A4" w:rsidR="00601021" w:rsidRDefault="002F2B92">
      <w:r>
        <w:t>This extension directly addresses the core finding of this dissertation and would constitute the most substantive methodological advancement.</w:t>
      </w:r>
    </w:p>
    <w:p w14:paraId="40EEAC7D" w14:textId="77777777" w:rsidR="00844832" w:rsidRDefault="00844832">
      <w:pPr>
        <w:rPr>
          <w:b/>
          <w:bCs/>
        </w:rPr>
      </w:pPr>
    </w:p>
    <w:p w14:paraId="7F8E0349" w14:textId="77777777" w:rsidR="00844832" w:rsidRDefault="002F2B92">
      <w:r>
        <w:rPr>
          <w:b/>
          <w:bCs/>
        </w:rPr>
        <w:t>Proposed Extension 2 — Network contagion features.</w:t>
      </w:r>
      <w:r>
        <w:t xml:space="preserve"> The cross-country financial linkages through which GFC stress propagated — documented via bank balance sheet network data (Cetorelli and Goldberg, 2011) — are absent from the present feature set, which treats each country independently. Incorporating network-based contagion measures — bilateral bank exposure, cross-border capital flow intensity, or systemic importance weights derived from the BIS consolidated banking statistics — would allow the model to distinguish between countries facing domestic stress and those exposed primarily through external transmission.</w:t>
      </w:r>
    </w:p>
    <w:p w14:paraId="2ED4B7C4" w14:textId="5FB1D55B" w:rsidR="00601021" w:rsidRDefault="002F2B92">
      <w:r>
        <w:t>This extension requires substantial additional data collection and represents a more fundamental departure from the present modelling framework but would directly address the crisis heterogeneity limitation identified in Section 5.4.</w:t>
      </w:r>
    </w:p>
    <w:p w14:paraId="3DCC278D" w14:textId="77777777" w:rsidR="009F0A1A" w:rsidRDefault="009F0A1A"/>
    <w:p w14:paraId="2ED4B7C5" w14:textId="77777777" w:rsidR="00601021" w:rsidRDefault="00886F38">
      <w:r>
        <w:pict w14:anchorId="2ED4B7DD">
          <v:rect id="_x0000_i1088" style="width:0;height:1.5pt" o:hralign="center" o:bullet="t" o:hrstd="t" o:hr="t"/>
        </w:pict>
      </w:r>
    </w:p>
    <w:p w14:paraId="5618A401" w14:textId="77777777" w:rsidR="009F0A1A" w:rsidRDefault="009F0A1A"/>
    <w:p w14:paraId="2ED4B7C6" w14:textId="77777777" w:rsidR="00601021" w:rsidRDefault="002F2B92">
      <w:pPr>
        <w:pStyle w:val="Heading2"/>
      </w:pPr>
      <w:bookmarkStart w:id="8" w:name="conclusion"/>
      <w:bookmarkEnd w:id="7"/>
      <w:r>
        <w:t>5.8 Conclusion</w:t>
      </w:r>
    </w:p>
    <w:p w14:paraId="3975D418" w14:textId="77777777" w:rsidR="00402FB7" w:rsidRDefault="00402FB7"/>
    <w:p w14:paraId="2ED4B7C7" w14:textId="1BEEF691" w:rsidR="00601021" w:rsidRDefault="002F2B92">
      <w:r>
        <w:t xml:space="preserve">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w:t>
        <w:lastRenderedPageBreak/>
        <w:t>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demonstrates that the EWS generalisation failure is a structural property of non-stationarity in the data-generating process, not a correctable consequence of model opacity or algorithm choice.</w:t>
      </w:r>
    </w:p>
    <w:p w14:paraId="4D038AC1" w14:textId="77777777" w:rsidR="00402FB7" w:rsidRDefault="00402FB7"/>
    <w:p w14:paraId="2ED4B7C8" w14:textId="65496DBB" w:rsidR="00601021" w:rsidRDefault="002F2B92">
      <w:r>
        <w:t>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incorporates regime-awareness as a first-class design principle rather than a post-hoc qualification.</w:t>
      </w:r>
    </w:p>
    <w:bookmarkEnd w:id="0"/>
    <w:bookmarkEnd w:id="8"/>
    <w:p w14:paraId="597C107E" w14:textId="77777777" w:rsidR="00102359" w:rsidRDefault="00102359">
      <w:pPr>
        <w:rPr>
          <w:i/>
          <w:iCs/>
        </w:rPr>
      </w:pPr>
    </w:p>
    <w:p w14:paraId="2ED4B7CA" w14:textId="45FEC298" w:rsidR="00601021" w:rsidRDefault="002F2B92">
      <w:r>
        <w:br w:type="page"/>
      </w:r>
    </w:p>
    <w:p w14:paraId="2ED4B7CB" w14:textId="77777777" w:rsidR="00601021" w:rsidRDefault="002F2B92">
      <w:pPr>
        <w:spacing w:after="240"/>
      </w:pPr>
      <w:r>
        <w:rPr>
          <w:b/>
          <w:color w:val="1F4E79"/>
          <w:sz w:val="28"/>
        </w:rPr>
        <w:lastRenderedPageBreak/>
        <w:t>References</w:t>
      </w:r>
    </w:p>
    <w:p w14:paraId="2ED4B7CC" w14:textId="77777777" w:rsidR="00601021" w:rsidRDefault="002F2B92">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2ED4B7CD" w14:textId="77777777" w:rsidR="00601021" w:rsidRDefault="002F2B92">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2ED4B7CE" w14:textId="77777777" w:rsidR="00601021" w:rsidRDefault="002F2B92">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2ED4B7CF" w14:textId="77777777" w:rsidR="00601021" w:rsidRDefault="002F2B92">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2ED4B7D0" w14:textId="77777777" w:rsidR="00601021" w:rsidRDefault="002F2B92">
      <w:pPr>
        <w:spacing w:after="120"/>
        <w:ind w:left="720" w:hanging="720"/>
      </w:pPr>
      <w:r>
        <w:rPr>
          <w:sz w:val="22"/>
        </w:rPr>
        <w:t xml:space="preserve">Laeven, L. and Valencia, F. (2020) 'Systemic banking crises database II', </w:t>
      </w:r>
      <w:r>
        <w:rPr>
          <w:i/>
          <w:sz w:val="22"/>
        </w:rPr>
        <w:t>IMF Economic Review</w:t>
      </w:r>
      <w:r>
        <w:rPr>
          <w:sz w:val="22"/>
        </w:rPr>
        <w:t>, 68(2), pp. 307–361.</w:t>
      </w:r>
    </w:p>
    <w:p w14:paraId="2ED4B7D1" w14:textId="77777777" w:rsidR="00601021" w:rsidRDefault="002F2B92">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2ED4B7D2" w14:textId="77777777" w:rsidR="00601021" w:rsidRDefault="002F2B92">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2ED4B7D3" w14:textId="77777777" w:rsidR="00601021" w:rsidRDefault="002F2B92">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2ED4B7D4" w14:textId="77777777" w:rsidR="00601021" w:rsidRDefault="002F2B92">
      <w:pPr>
        <w:spacing w:after="120"/>
        <w:ind w:left="720" w:hanging="720"/>
      </w:pPr>
      <w:r>
        <w:rPr>
          <w:sz w:val="22"/>
        </w:rPr>
        <w:t xml:space="preserve">Obstfeld, M. (1996) 'Models of currency crises with self-fulfilling features', </w:t>
      </w:r>
      <w:r>
        <w:rPr>
          <w:i/>
          <w:sz w:val="22"/>
        </w:rPr>
        <w:t>European Economic Review</w:t>
      </w:r>
      <w:r>
        <w:rPr>
          <w:sz w:val="22"/>
        </w:rPr>
        <w:t>, 40(3–5), pp. 1037–1047.</w:t>
      </w:r>
    </w:p>
    <w:p w14:paraId="2ED4B7D5" w14:textId="77777777" w:rsidR="00601021" w:rsidRDefault="002F2B92">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rsidR="006010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84BC1" w14:textId="77777777" w:rsidR="00886F38" w:rsidRDefault="00886F38">
      <w:r>
        <w:separator/>
      </w:r>
    </w:p>
  </w:endnote>
  <w:endnote w:type="continuationSeparator" w:id="0">
    <w:p w14:paraId="6BF86330" w14:textId="77777777" w:rsidR="00886F38" w:rsidRDefault="00886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2E00E" w14:textId="77777777" w:rsidR="00886F38" w:rsidRDefault="00886F38">
      <w:r>
        <w:separator/>
      </w:r>
    </w:p>
  </w:footnote>
  <w:footnote w:type="continuationSeparator" w:id="0">
    <w:p w14:paraId="3FFC8BAB" w14:textId="77777777" w:rsidR="00886F38" w:rsidRDefault="00886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AE964A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19142EE"/>
    <w:multiLevelType w:val="hybridMultilevel"/>
    <w:tmpl w:val="B16AD896"/>
    <w:lvl w:ilvl="0" w:tplc="A3D6DE26">
      <w:start w:val="1"/>
      <w:numFmt w:val="bullet"/>
      <w:lvlText w:val="●"/>
      <w:lvlJc w:val="left"/>
      <w:pPr>
        <w:ind w:left="720" w:hanging="360"/>
      </w:pPr>
    </w:lvl>
    <w:lvl w:ilvl="1" w:tplc="D26ABB32">
      <w:start w:val="1"/>
      <w:numFmt w:val="bullet"/>
      <w:lvlText w:val="○"/>
      <w:lvlJc w:val="left"/>
      <w:pPr>
        <w:ind w:left="1440" w:hanging="360"/>
      </w:pPr>
    </w:lvl>
    <w:lvl w:ilvl="2" w:tplc="15C6CDE6">
      <w:start w:val="1"/>
      <w:numFmt w:val="bullet"/>
      <w:lvlText w:val="■"/>
      <w:lvlJc w:val="left"/>
      <w:pPr>
        <w:ind w:left="2160" w:hanging="360"/>
      </w:pPr>
    </w:lvl>
    <w:lvl w:ilvl="3" w:tplc="A47CC458">
      <w:start w:val="1"/>
      <w:numFmt w:val="bullet"/>
      <w:lvlText w:val="●"/>
      <w:lvlJc w:val="left"/>
      <w:pPr>
        <w:ind w:left="2880" w:hanging="360"/>
      </w:pPr>
    </w:lvl>
    <w:lvl w:ilvl="4" w:tplc="D9CE2C0C">
      <w:start w:val="1"/>
      <w:numFmt w:val="bullet"/>
      <w:lvlText w:val="○"/>
      <w:lvlJc w:val="left"/>
      <w:pPr>
        <w:ind w:left="3600" w:hanging="360"/>
      </w:pPr>
    </w:lvl>
    <w:lvl w:ilvl="5" w:tplc="2B06E0BC">
      <w:start w:val="1"/>
      <w:numFmt w:val="bullet"/>
      <w:lvlText w:val="■"/>
      <w:lvlJc w:val="left"/>
      <w:pPr>
        <w:ind w:left="4320" w:hanging="360"/>
      </w:pPr>
    </w:lvl>
    <w:lvl w:ilvl="6" w:tplc="3118EE5E">
      <w:start w:val="1"/>
      <w:numFmt w:val="bullet"/>
      <w:lvlText w:val="●"/>
      <w:lvlJc w:val="left"/>
      <w:pPr>
        <w:ind w:left="5040" w:hanging="360"/>
      </w:pPr>
    </w:lvl>
    <w:lvl w:ilvl="7" w:tplc="3F2E459C">
      <w:start w:val="1"/>
      <w:numFmt w:val="bullet"/>
      <w:lvlText w:val="●"/>
      <w:lvlJc w:val="left"/>
      <w:pPr>
        <w:ind w:left="5760" w:hanging="360"/>
      </w:pPr>
    </w:lvl>
    <w:lvl w:ilvl="8" w:tplc="064E1B4A">
      <w:start w:val="1"/>
      <w:numFmt w:val="bullet"/>
      <w:lvlText w:val="●"/>
      <w:lvlJc w:val="left"/>
      <w:pPr>
        <w:ind w:left="6480" w:hanging="360"/>
      </w:pPr>
    </w:lvl>
  </w:abstractNum>
  <w:num w:numId="1" w16cid:durableId="650184465">
    <w:abstractNumId w:val="1"/>
    <w:lvlOverride w:ilvl="0">
      <w:startOverride w:val="1"/>
    </w:lvlOverride>
  </w:num>
  <w:num w:numId="2" w16cid:durableId="197173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021"/>
    <w:rsid w:val="00021811"/>
    <w:rsid w:val="00024804"/>
    <w:rsid w:val="000F6137"/>
    <w:rsid w:val="00102359"/>
    <w:rsid w:val="002C582C"/>
    <w:rsid w:val="002F2B92"/>
    <w:rsid w:val="003B0034"/>
    <w:rsid w:val="00402FB7"/>
    <w:rsid w:val="004A7D7F"/>
    <w:rsid w:val="00507D2B"/>
    <w:rsid w:val="00601021"/>
    <w:rsid w:val="00695710"/>
    <w:rsid w:val="00844832"/>
    <w:rsid w:val="00886F38"/>
    <w:rsid w:val="008D5502"/>
    <w:rsid w:val="009F0A1A"/>
    <w:rsid w:val="00B80965"/>
    <w:rsid w:val="00BA426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B789"/>
  <w15:docId w15:val="{B647BA6A-90EF-4E9F-812D-90A8DC30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E9E"/>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5024</Words>
  <Characters>28642</Characters>
  <Application>Microsoft Office Word</Application>
  <DocSecurity>0</DocSecurity>
  <Lines>238</Lines>
  <Paragraphs>67</Paragraphs>
  <ScaleCrop>false</ScaleCrop>
  <Company/>
  <LinksUpToDate>false</LinksUpToDate>
  <CharactersWithSpaces>33599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pavlos papachristos</cp:lastModifiedBy>
  <cp:revision>15</cp:revision>
  <dcterms:created xsi:type="dcterms:W3CDTF">2026-04-12T18:42:00Z</dcterms:created>
  <dcterms:modified xsi:type="dcterms:W3CDTF">2026-05-02T21:38:00Z</dcterms:modified>
</cp:coreProperties>
</file>