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Times New Roman" w:cs="Times New Roman" w:eastAsia="Times New Roman" w:hAnsi="Times New Roman"/>
          <w:b/>
          <w:bCs/>
          <w:color w:val="555555"/>
          <w:sz w:val="28"/>
          <w:szCs w:val="28"/>
        </w:rPr>
        <w:t xml:space="preserve">Chapter 5 — Discussion</w:t>
      </w:r>
    </w:p>
    <w:p>
      <w:pPr>
        <w:pStyle w:val="Heading1"/>
        <w:spacing w:after="120" w:before="360"/>
      </w:pPr>
      <w:r>
        <w:rPr>
          <w:rFonts w:ascii="Times New Roman" w:cs="Times New Roman" w:eastAsia="Times New Roman" w:hAnsi="Times New Roman"/>
          <w:b/>
          <w:bCs/>
          <w:sz w:val="28"/>
          <w:szCs w:val="28"/>
        </w:rPr>
        <w:t xml:space="preserve">5.7  Extensions and Future Research</w:t>
      </w:r>
    </w:p>
    <w:p>
      <w:pPr>
        <w:spacing w:after="160" w:before="0"/>
        <w:jc w:val="both"/>
      </w:pPr>
      <w:r>
        <w:rPr>
          <w:rFonts w:ascii="Times New Roman" w:cs="Times New Roman" w:eastAsia="Times New Roman" w:hAnsi="Times New Roman"/>
          <w:sz w:val="24"/>
          <w:szCs w:val="24"/>
        </w:rPr>
        <w:t xml:space="preserve">Three extensions follow directly from the present analysis, ordered by feasibility and proximity to the existing framework.</w:t>
      </w:r>
    </w:p>
    <w:p>
      <w:pPr>
        <w:pBdr>
          <w:bottom w:val="single" w:color="AAAAAA" w:sz="4"/>
        </w:pBdr>
        <w:spacing w:after="160" w:before="160"/>
      </w:pPr>
    </w:p>
    <w:p>
      <w:pPr>
        <w:spacing w:after="80" w:before="160"/>
      </w:pPr>
      <w:r>
        <w:rPr>
          <w:rFonts w:ascii="Times New Roman" w:cs="Times New Roman" w:eastAsia="Times New Roman" w:hAnsi="Times New Roman"/>
          <w:b/>
          <w:bCs/>
          <w:sz w:val="24"/>
          <w:szCs w:val="24"/>
        </w:rPr>
        <w:t xml:space="preserve">Completed Extension</w:t>
      </w:r>
      <w:r>
        <w:rPr>
          <w:rFonts w:ascii="Times New Roman" w:cs="Times New Roman" w:eastAsia="Times New Roman" w:hAnsi="Times New Roman"/>
          <w:sz w:val="24"/>
          <w:szCs w:val="24"/>
        </w:rPr>
        <w:t xml:space="preserve"> — Topic-specific text features</w:t>
      </w:r>
    </w:p>
    <w:p>
      <w:pPr>
        <w:spacing w:after="160" w:before="0"/>
        <w:jc w:val="both"/>
      </w:pPr>
      <w:r>
        <w:rPr>
          <w:rFonts w:ascii="Times New Roman" w:cs="Times New Roman" w:eastAsia="Times New Roman" w:hAnsi="Times New Roman"/>
          <w:sz w:val="24"/>
          <w:szCs w:val="24"/>
        </w:rPr>
        <w:t xml:space="preserve">Following Ho, Moench and Steeley (2022), who demonstrate that topic-specific prevalence measures produce more granular and stable textual features than aggregate sentiment indices, this extension replaces the generic FinBERT polarity scores with topic-disaggregated sentiment signals. Using a keyword taxonomy to assign the 16,622 BIS speeches to three topic domains — credit conditions, monetary policy, and corporate sector — FinBERT negative sentiment scores are computed within each topic subset and lagged one through three years, generating nine additional features for direct augmentation of the macro baseline.</w:t>
      </w:r>
    </w:p>
    <w:p>
      <w:pPr>
        <w:spacing w:after="160" w:before="0"/>
        <w:jc w:val="both"/>
      </w:pPr>
      <w:r>
        <w:rPr>
          <w:rFonts w:ascii="Times New Roman" w:cs="Times New Roman" w:eastAsia="Times New Roman" w:hAnsi="Times New Roman"/>
          <w:sz w:val="24"/>
          <w:szCs w:val="24"/>
        </w:rPr>
        <w:t xml:space="preserve">The extension finds that topic disaggregation does not recover a predictive signal that aggregate sentiment fails to provide: EBM shows zero incremental AUROC and AUPRC when topic-sentiment features are added to the macro baseline. Shape function analysis across regimes confirms that topic-sentiment features exhibit qualitative non-stationarity consistent with the macro findings of Section 4.7.3: monetary policy sentiment at lag three shows the most pronounced regime instability, while corporate sentiment at lag one exhibits the most stable structure.</w:t>
      </w:r>
    </w:p>
    <w:p>
      <w:pPr>
        <w:spacing w:after="160" w:before="0"/>
        <w:jc w:val="both"/>
      </w:pPr>
      <w:r>
        <w:rPr>
          <w:rFonts w:ascii="Times New Roman" w:cs="Times New Roman" w:eastAsia="Times New Roman" w:hAnsi="Times New Roman"/>
          <w:sz w:val="24"/>
          <w:szCs w:val="24"/>
        </w:rPr>
        <w:t xml:space="preserve">The importance ratio of topic sentiment to macro features is 0.240, quantifying the macro dominance documented in Section 4.6. These results suggest that regime instability is a property of the crisis-generating process that operates across both macro and textual feature classes, and that topic disaggregation does not resolve the generalisation limitation identified in the primary analysis.</w:t>
      </w:r>
    </w:p>
    <w:p>
      <w:pPr>
        <w:pBdr>
          <w:bottom w:val="single" w:color="AAAAAA" w:sz="4"/>
        </w:pBdr>
        <w:spacing w:after="160" w:before="160"/>
      </w:pPr>
    </w:p>
    <w:p>
      <w:pPr>
        <w:spacing w:after="80" w:before="160"/>
      </w:pPr>
      <w:r>
        <w:rPr>
          <w:rFonts w:ascii="Times New Roman" w:cs="Times New Roman" w:eastAsia="Times New Roman" w:hAnsi="Times New Roman"/>
          <w:b/>
          <w:bCs/>
          <w:sz w:val="24"/>
          <w:szCs w:val="24"/>
        </w:rPr>
        <w:t xml:space="preserve">Proposed Extension 1</w:t>
      </w:r>
      <w:r>
        <w:rPr>
          <w:rFonts w:ascii="Times New Roman" w:cs="Times New Roman" w:eastAsia="Times New Roman" w:hAnsi="Times New Roman"/>
          <w:sz w:val="24"/>
          <w:szCs w:val="24"/>
        </w:rPr>
        <w:t xml:space="preserve"> — Regime-conditional modelling </w:t>
      </w:r>
      <w:r>
        <w:rPr>
          <w:rFonts w:ascii="Times New Roman" w:cs="Times New Roman" w:eastAsia="Times New Roman" w:hAnsi="Times New Roman"/>
          <w:b/>
          <w:bCs/>
          <w:i/>
          <w:iCs/>
          <w:color w:val="333333"/>
          <w:sz w:val="24"/>
          <w:szCs w:val="24"/>
        </w:rPr>
        <w:t xml:space="preserve">(most impactful; not implemented in the present study)</w:t>
      </w:r>
    </w:p>
    <w:p>
      <w:pPr>
        <w:pStyle w:val="Heading2"/>
        <w:spacing w:after="100" w:before="280"/>
      </w:pPr>
      <w:r>
        <w:rPr>
          <w:rFonts w:ascii="Times New Roman" w:cs="Times New Roman" w:eastAsia="Times New Roman" w:hAnsi="Times New Roman"/>
          <w:b/>
          <w:bCs/>
          <w:sz w:val="26"/>
          <w:szCs w:val="26"/>
        </w:rPr>
        <w:t xml:space="preserve">Conceptual Motivation</w:t>
      </w:r>
    </w:p>
    <w:p>
      <w:pPr>
        <w:spacing w:after="160" w:before="0"/>
        <w:jc w:val="both"/>
      </w:pPr>
      <w:r>
        <w:rPr>
          <w:rFonts w:ascii="Times New Roman" w:cs="Times New Roman" w:eastAsia="Times New Roman" w:hAnsi="Times New Roman"/>
          <w:sz w:val="24"/>
          <w:szCs w:val="24"/>
        </w:rPr>
        <w:t xml:space="preserve">The shape function instability documented in Section 4.7.3 provides both the empirical motivation and a potential methodological foundation for regime-conditional EWS modelling. Rather than fitting a single static classifier across all periods, this extension proposes a two-stage system. In Stage 1, separate EBMs are trained on disjoint historical sub-periods — for example, 1989–1997 (Nordic crisis), 1998–2006 (pre-GFC Great Moderation), and 2007–2012 (GFC and immediate aftermath). The resulting shape functions, which represent the learned relationship between each feature and crisis log-odds for that specific period, are vectorised onto a common grid and submitted to a clustering algorithm. The objective is to discover economically distinct crisis regimes from the data rather than imposing them exogenously. The shape function divergence already visible in Figure 4.7 — where the term spread contribution reverses sign across the two fitted sub-periods — constitutes a preliminary visual proof of concept that such clustering may recover meaningful regime structure.</w:t>
      </w:r>
    </w:p>
    <w:p>
      <w:pPr>
        <w:spacing w:after="160" w:before="0"/>
        <w:jc w:val="both"/>
      </w:pPr>
      <w:r>
        <w:rPr>
          <w:rFonts w:ascii="Times New Roman" w:cs="Times New Roman" w:eastAsia="Times New Roman" w:hAnsi="Times New Roman"/>
          <w:sz w:val="24"/>
          <w:szCs w:val="24"/>
        </w:rPr>
        <w:t xml:space="preserve">In Stage 2, a separate EBM is retrained on the observations assigned to each discovered regime, and a master classifier — trained on the same macro features with regime membership as the target — routes new observations to the appropriate regime-specific model at inference time. This design directly addresses the core finding of this dissertation: if the generalisation failure reflects structural non-stationarity in the data-generating process, a system that conditions prediction on the identified economic regime should, in principle, achieve more robust prospective performance than any static, pooled classifier.</w:t>
      </w:r>
    </w:p>
    <w:p>
      <w:pPr>
        <w:pStyle w:val="Heading2"/>
        <w:spacing w:after="100" w:before="280"/>
      </w:pPr>
      <w:r>
        <w:rPr>
          <w:rFonts w:ascii="Times New Roman" w:cs="Times New Roman" w:eastAsia="Times New Roman" w:hAnsi="Times New Roman"/>
          <w:b/>
          <w:bCs/>
          <w:sz w:val="26"/>
          <w:szCs w:val="26"/>
        </w:rPr>
        <w:t xml:space="preserve">Falsifiability Criterion</w:t>
      </w:r>
    </w:p>
    <w:p>
      <w:pPr>
        <w:spacing w:after="160" w:before="0"/>
        <w:jc w:val="both"/>
      </w:pPr>
      <w:r>
        <w:rPr>
          <w:rFonts w:ascii="Times New Roman" w:cs="Times New Roman" w:eastAsia="Times New Roman" w:hAnsi="Times New Roman"/>
          <w:sz w:val="24"/>
          <w:szCs w:val="24"/>
        </w:rPr>
        <w:t xml:space="preserve">A regime-conditional system of this design would constitute a direct empirical test of the non-stationarity thesis. The appropriate benchmark is the 0.75 AUROC threshold used throughout this dissertation — the minimum level below which a model cannot be considered operationally useful (Holopainen and Sarlin, 2017). In the Split B prospective test, the static EBM achieves AUROC 0.333 and the static Random Forest achieves AUROC 0.481; both fall below this threshold. If the regime-conditional system achieves AUROC above 0.75 on the same Split B evaluation — trained exclusively on pre-GFC data and evaluated on the GFC window — it would provide direct empirical support for the proposition that prospective failure is addressable through regime-awareness rather than being an inherent property of the prediction problem. If it fails to cross the threshold, the result would instead reinforce the conclusion that the non-stationarity of banking crisis dynamics is not correctable by conditioning on historically defined regimes, and would itself constitute a substantive contribution to the EWS literature.</w:t>
      </w:r>
    </w:p>
    <w:p>
      <w:pPr>
        <w:pStyle w:val="Heading2"/>
        <w:spacing w:after="100" w:before="280"/>
      </w:pPr>
      <w:r>
        <w:rPr>
          <w:rFonts w:ascii="Times New Roman" w:cs="Times New Roman" w:eastAsia="Times New Roman" w:hAnsi="Times New Roman"/>
          <w:b/>
          <w:bCs/>
          <w:sz w:val="26"/>
          <w:szCs w:val="26"/>
        </w:rPr>
        <w:t xml:space="preserve">Data and Statistical Constraints</w:t>
      </w:r>
    </w:p>
    <w:p>
      <w:pPr>
        <w:spacing w:after="160" w:before="0"/>
        <w:jc w:val="both"/>
      </w:pPr>
      <w:r>
        <w:rPr>
          <w:rFonts w:ascii="Times New Roman" w:cs="Times New Roman" w:eastAsia="Times New Roman" w:hAnsi="Times New Roman"/>
          <w:sz w:val="24"/>
          <w:szCs w:val="24"/>
        </w:rPr>
        <w:t xml:space="preserve">This extension is not implemented in the present study. The primary constraint is statistical. The JST R6 panel, after coverage filtering, yields a usable window of approximately 1989–2020 — roughly 30 years of harmonised macro data across 18 advanced economies. Partitioning this window into three disjoint sub-periods produces training samples of approximately 144–180 country-year observations per period, of which fewer than five are typically crisis positives. EBM shape functions extracted from models trained on such thin crisis samples risk reflecting sampling variance rather than genuine structural regime differentiation. Clustering these functions would therefore risk identifying noise as regime boundaries rather than recovering economically meaningful distinctions. A conservative minimum of three to four crisis episodes per disjoint training window is required for reliable shape function estimation (Lou et al., 2013); this threshold is not consistently met across all sub-periods in the current panel.</w:t>
      </w:r>
    </w:p>
    <w:p>
      <w:pPr>
        <w:spacing w:after="160" w:before="0"/>
        <w:jc w:val="both"/>
      </w:pPr>
      <w:r>
        <w:rPr>
          <w:rFonts w:ascii="Times New Roman" w:cs="Times New Roman" w:eastAsia="Times New Roman" w:hAnsi="Times New Roman"/>
          <w:sz w:val="24"/>
          <w:szCs w:val="24"/>
        </w:rPr>
        <w:t xml:space="preserve">The data constraint is not correctable by extending the JST panel backwards: the full R6 database includes observations from 1870, but macro-financial data quality and coverage in the pre-1945 period introduce comparability concerns that would need to be evaluated carefully before use in a regime discovery exercise. Alternative multi-country crisis databases — such as Reinhart and Rogoff (2009) or the updated Laeven and Valencia (2020) compilation — cover different country sets and crisis definitions, requiring careful harmonisation with the JST feature construction before they could serve as data sources for this extension.</w:t>
      </w:r>
    </w:p>
    <w:p>
      <w:pPr>
        <w:pStyle w:val="Heading2"/>
        <w:spacing w:after="100" w:before="280"/>
      </w:pPr>
      <w:r>
        <w:rPr>
          <w:rFonts w:ascii="Times New Roman" w:cs="Times New Roman" w:eastAsia="Times New Roman" w:hAnsi="Times New Roman"/>
          <w:b/>
          <w:bCs/>
          <w:sz w:val="26"/>
          <w:szCs w:val="26"/>
        </w:rPr>
        <w:t xml:space="preserve">Model Design Constraints</w:t>
      </w:r>
    </w:p>
    <w:p>
      <w:pPr>
        <w:spacing w:after="160" w:before="0"/>
        <w:jc w:val="both"/>
      </w:pPr>
      <w:r>
        <w:rPr>
          <w:rFonts w:ascii="Times New Roman" w:cs="Times New Roman" w:eastAsia="Times New Roman" w:hAnsi="Times New Roman"/>
          <w:sz w:val="24"/>
          <w:szCs w:val="24"/>
        </w:rPr>
        <w:t xml:space="preserve">Beyond the data limitation, the master classifier introduces a new model selection problem with its own researcher degrees of freedom. The choice of clustering algorithm, distance metric, and number of regimes each requires independent sensitivity analysis. With k-means clustering, the number of regimes must be specified or selected via a criterion such as the silhouette score; with agglomerative clustering, the choice of linkage function affects the resulting partition. Without a dedicated sensitivity analysis, regime-conditional results would be difficult to interpret or defend, and the risk of over-fitting the regime discovery step to the available training data would be material.</w:t>
      </w:r>
    </w:p>
    <w:p>
      <w:pPr>
        <w:spacing w:after="160" w:before="0"/>
        <w:jc w:val="both"/>
      </w:pPr>
      <w:r>
        <w:rPr>
          <w:rFonts w:ascii="Times New Roman" w:cs="Times New Roman" w:eastAsia="Times New Roman" w:hAnsi="Times New Roman"/>
          <w:sz w:val="24"/>
          <w:szCs w:val="24"/>
        </w:rPr>
        <w:t xml:space="preserve">Most importantly, the master classifier must ensure strict temporal separation between regime discovery and prospective evaluation. Regime labels must be derived exclusively from training-period EBMs and applied to test observations at inference time via the master classifier alone. Any conflation of regime assignment and prospective evaluation would constitute data leakage invalidating the Split B test. Designing and auditing this separation reliably requires a dedicated pipeline extension — including a modified expanding-window scheme in which regime labels are re-estimated at each fold using only data available at that point in time — that falls outside the scope of the present study.</w:t>
      </w:r>
    </w:p>
    <w:p>
      <w:pPr>
        <w:pStyle w:val="Heading2"/>
        <w:spacing w:after="100" w:before="280"/>
      </w:pPr>
      <w:r>
        <w:rPr>
          <w:rFonts w:ascii="Times New Roman" w:cs="Times New Roman" w:eastAsia="Times New Roman" w:hAnsi="Times New Roman"/>
          <w:b/>
          <w:bCs/>
          <w:sz w:val="26"/>
          <w:szCs w:val="26"/>
        </w:rPr>
        <w:t xml:space="preserve">Scope Justification</w:t>
      </w:r>
    </w:p>
    <w:p>
      <w:pPr>
        <w:spacing w:after="160" w:before="0"/>
        <w:jc w:val="both"/>
      </w:pPr>
      <w:r>
        <w:rPr>
          <w:rFonts w:ascii="Times New Roman" w:cs="Times New Roman" w:eastAsia="Times New Roman" w:hAnsi="Times New Roman"/>
          <w:sz w:val="24"/>
          <w:szCs w:val="24"/>
        </w:rPr>
        <w:t xml:space="preserve">The three constraints described above — thin crisis samples per disjoint window, unconstrained model selection degrees of freedom, and the data leakage risk in the master classifier design — together imply that implementing a partial or unvalidated version of this extension would introduce more methodological uncertainty than it would resolve. The existing empirical framework answers the dissertation’s research questions completely: it demonstrates that prospective failure is real and structural, characterises the interpretability-accuracy trade-off under regime change, and makes the failure mechanism directly visible through EBM shape function analysis. Regime-conditional modelling addresses a subsequent question — whether the failure is correctible — that is logically dependent on but analytically separate from the current findings. It is appropriately positioned as a dedicated follow-on study rather than an extension of the present pipeline.</w:t>
      </w:r>
    </w:p>
    <w:p>
      <w:pPr>
        <w:spacing w:after="160" w:before="0"/>
        <w:jc w:val="both"/>
      </w:pPr>
      <w:r>
        <w:rPr>
          <w:rFonts w:ascii="Times New Roman" w:cs="Times New Roman" w:eastAsia="Times New Roman" w:hAnsi="Times New Roman"/>
          <w:sz w:val="24"/>
          <w:szCs w:val="24"/>
        </w:rPr>
        <w:t xml:space="preserve">The conceptual and methodological foundation established here — EBM shape functions as regime fingerprints, data-driven clustering as a regime discovery mechanism, and regime-specific prediction as the generalisation solution — constitutes a fully specified research programme. The shape function instability results of Section 4.7.3 provide the empirical motivation; the two-stage design described above provides the methodological pathway; and the falsifiability criterion stated above provides the evaluation standard. This is sufficient to frame the extension as a concrete, testable research proposal rather than a speculative direction.</w:t>
      </w:r>
    </w:p>
    <w:p>
      <w:pPr>
        <w:spacing w:after="160" w:before="80"/>
        <w:ind w:left="360"/>
        <w:jc w:val="both"/>
      </w:pPr>
      <w:r>
        <w:rPr>
          <w:rFonts w:ascii="Times New Roman" w:cs="Times New Roman" w:eastAsia="Times New Roman" w:hAnsi="Times New Roman"/>
          <w:b/>
          <w:bCs/>
          <w:sz w:val="20"/>
          <w:szCs w:val="20"/>
        </w:rPr>
        <w:t xml:space="preserve">Note: </w:t>
      </w:r>
      <w:r>
        <w:rPr>
          <w:rFonts w:ascii="Times New Roman" w:cs="Times New Roman" w:eastAsia="Times New Roman" w:hAnsi="Times New Roman"/>
          <w:color w:val="444444"/>
          <w:sz w:val="20"/>
          <w:szCs w:val="20"/>
        </w:rPr>
        <w:t xml:space="preserve">The Reinhart and Rogoff (2009) and Laeven and Valencia (2020) references are cited in the context of alternative data sources for a future implementation. Laeven and Valencia (2020) is already in the dissertation reference list. Reinhart and Rogoff (2009) is a new addition — see the reference entry below.</w:t>
      </w:r>
    </w:p>
    <w:p>
      <w:pPr>
        <w:pBdr>
          <w:bottom w:val="single" w:color="AAAAAA" w:sz="4"/>
        </w:pBdr>
        <w:spacing w:after="160" w:before="160"/>
      </w:pPr>
    </w:p>
    <w:p>
      <w:pPr>
        <w:spacing w:after="80" w:before="160"/>
      </w:pPr>
      <w:r>
        <w:rPr>
          <w:rFonts w:ascii="Times New Roman" w:cs="Times New Roman" w:eastAsia="Times New Roman" w:hAnsi="Times New Roman"/>
          <w:b/>
          <w:bCs/>
          <w:sz w:val="24"/>
          <w:szCs w:val="24"/>
        </w:rPr>
        <w:t xml:space="preserve">Proposed Extension 2</w:t>
      </w:r>
      <w:r>
        <w:rPr>
          <w:rFonts w:ascii="Times New Roman" w:cs="Times New Roman" w:eastAsia="Times New Roman" w:hAnsi="Times New Roman"/>
          <w:sz w:val="24"/>
          <w:szCs w:val="24"/>
        </w:rPr>
        <w:t xml:space="preserve"> — Network contagion features </w:t>
      </w:r>
      <w:r>
        <w:rPr>
          <w:rFonts w:ascii="Times New Roman" w:cs="Times New Roman" w:eastAsia="Times New Roman" w:hAnsi="Times New Roman"/>
          <w:b/>
          <w:bCs/>
          <w:i/>
          <w:iCs/>
          <w:color w:val="333333"/>
          <w:sz w:val="24"/>
          <w:szCs w:val="24"/>
        </w:rPr>
        <w:t xml:space="preserve">(most ambitious)</w:t>
      </w:r>
    </w:p>
    <w:p>
      <w:pPr>
        <w:spacing w:after="160" w:before="0"/>
        <w:jc w:val="both"/>
      </w:pPr>
      <w:r>
        <w:rPr>
          <w:rFonts w:ascii="Times New Roman" w:cs="Times New Roman" w:eastAsia="Times New Roman" w:hAnsi="Times New Roman"/>
          <w:sz w:val="24"/>
          <w:szCs w:val="24"/>
        </w:rPr>
        <w:t xml:space="preserve">Incorporating bilateral bank exposure data from the BIS consolidated banking statistics — following Cetorelli and Goldberg (2011) — would allow the EWS framework to capture cross-country financial linkages that are currently invisible to the model. The weak or inconsistent model performance for contagion-driven cases such as Germany, Belgium, and Switzerland in 2007–2008 (Section 5.4) is plausibly linked to the absence of contagion-channel features; incorporating network exposure measures could improve the model’s ability to distinguish domestically generated stress from externally transmitted risk.</w:t>
      </w:r>
    </w:p>
    <w:p>
      <w:pPr>
        <w:spacing w:after="160" w:before="0"/>
        <w:jc w:val="both"/>
      </w:pPr>
      <w:r>
        <w:rPr>
          <w:rFonts w:ascii="Times New Roman" w:cs="Times New Roman" w:eastAsia="Times New Roman" w:hAnsi="Times New Roman"/>
          <w:sz w:val="24"/>
          <w:szCs w:val="24"/>
        </w:rPr>
        <w:t xml:space="preserve">This extension requires substantial additional data collection, network feature construction, and integration into the existing panel design, and represents the most ambitious departure from the present modelling framework. It would, however, most directly address the crisis heterogeneity limitation identified in Section 5.4.</w:t>
      </w:r>
    </w:p>
    <w:p>
      <w:pPr>
        <w:pBdr>
          <w:bottom w:val="single" w:color="AAAAAA" w:sz="4"/>
        </w:pBdr>
        <w:spacing w:after="160" w:before="160"/>
      </w:pPr>
    </w:p>
    <w:p>
      <w:pPr>
        <w:spacing w:after="80" w:before="240"/>
      </w:pPr>
      <w:r>
        <w:rPr>
          <w:rFonts w:ascii="Times New Roman" w:cs="Times New Roman" w:eastAsia="Times New Roman" w:hAnsi="Times New Roman"/>
          <w:b/>
          <w:bCs/>
          <w:color w:val="1F3864"/>
          <w:sz w:val="22"/>
          <w:szCs w:val="22"/>
        </w:rPr>
        <w:t xml:space="preserve">New Reference Required (add to dissertation reference list)</w:t>
      </w:r>
    </w:p>
    <w:p>
      <w:pPr>
        <w:spacing w:after="80" w:before="0"/>
        <w:jc w:val="both"/>
      </w:pPr>
      <w:r>
        <w:rPr>
          <w:rFonts w:ascii="Times New Roman" w:cs="Times New Roman" w:eastAsia="Times New Roman" w:hAnsi="Times New Roman"/>
          <w:sz w:val="24"/>
          <w:szCs w:val="24"/>
        </w:rPr>
        <w:t xml:space="preserve">Reinhart, C.M. and Rogoff, K.S. (2009) </w:t>
      </w:r>
      <w:r>
        <w:rPr>
          <w:rFonts w:ascii="Times New Roman" w:cs="Times New Roman" w:eastAsia="Times New Roman" w:hAnsi="Times New Roman"/>
          <w:b w:val="false"/>
          <w:bCs w:val="false"/>
          <w:i/>
          <w:iCs/>
          <w:sz w:val="24"/>
          <w:szCs w:val="24"/>
        </w:rPr>
        <w:t xml:space="preserve">This Time Is Different: Eight Centuries of Financial Folly.</w:t>
      </w:r>
      <w:r>
        <w:rPr>
          <w:rFonts w:ascii="Times New Roman" w:cs="Times New Roman" w:eastAsia="Times New Roman" w:hAnsi="Times New Roman"/>
          <w:sz w:val="24"/>
          <w:szCs w:val="24"/>
        </w:rPr>
        <w:t xml:space="preserve"> Princeton: Princeton University Press.</w:t>
      </w:r>
    </w:p>
    <w:p>
      <w:pPr>
        <w:spacing w:after="0" w:before="120"/>
      </w:pPr>
      <w:r>
        <w:rPr>
          <w:rFonts w:ascii="Times New Roman" w:cs="Times New Roman" w:eastAsia="Times New Roman" w:hAnsi="Times New Roman"/>
          <w:i/>
          <w:iCs/>
          <w:color w:val="666666"/>
          <w:sz w:val="20"/>
          <w:szCs w:val="20"/>
        </w:rPr>
        <w:t xml:space="preserve">All other references cited in §5.7 are already present in the dissertation reference 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2026-05-30T06:58:14.511Z</dcterms:created>
  <dcterms:modified xsi:type="dcterms:W3CDTF">2026-05-30T06:58:14.512Z</dcterms:modified>
</cp:coreProperties>
</file>

<file path=docProps/custom.xml><?xml version="1.0" encoding="utf-8"?>
<Properties xmlns="http://schemas.openxmlformats.org/officeDocument/2006/custom-properties" xmlns:vt="http://schemas.openxmlformats.org/officeDocument/2006/docPropsVTypes"/>
</file>