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3864" w:val="clear"/>
        <w:spacing w:after="0" w:before="0"/>
        <w:jc w:val="center"/>
      </w:pPr>
      <w:r>
        <w:rPr>
          <w:rFonts w:ascii="Arial" w:cs="Arial" w:eastAsia="Arial" w:hAnsi="Arial"/>
          <w:b/>
          <w:bCs/>
          <w:color w:val="FFFFFF"/>
          <w:sz w:val="48"/>
          <w:szCs w:val="48"/>
        </w:rPr>
        <w:t xml:space="preserve">RESEARCH SUMMARY</w:t>
      </w:r>
    </w:p>
    <w:p>
      <w:pPr>
        <w:shd w:fill="1F3864" w:val="clear"/>
        <w:spacing w:after="0" w:before="0"/>
        <w:jc w:val="center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Economic Crisis Prediction</w:t>
      </w:r>
    </w:p>
    <w:p>
      <w:pPr>
        <w:shd w:fill="1F3864" w:val="clear"/>
        <w:spacing w:after="0" w:before="0"/>
        <w:jc w:val="center"/>
      </w:pPr>
      <w:r>
        <w:rPr>
          <w:rFonts w:ascii="Arial" w:cs="Arial" w:eastAsia="Arial" w:hAnsi="Arial"/>
          <w:color w:val="D6E4F0"/>
          <w:sz w:val="26"/>
          <w:szCs w:val="26"/>
        </w:rPr>
        <w:t xml:space="preserve">Improving the Trade-off Between Interpretability and Statistical Accuracy</w:t>
      </w:r>
    </w:p>
    <w:p>
      <w:pPr>
        <w:shd w:fill="1F3864" w:val="clear"/>
        <w:spacing w:after="0" w:before="0"/>
        <w:jc w:val="center"/>
      </w:pPr>
      <w:r>
        <w:rPr>
          <w:rFonts w:ascii="Arial" w:cs="Arial" w:eastAsia="Arial" w:hAnsi="Arial"/>
          <w:color w:val="D6E4F0"/>
          <w:sz w:val="26"/>
          <w:szCs w:val="26"/>
        </w:rPr>
        <w:t xml:space="preserve">in ML-Enhanced Crisis Prediction Models</w:t>
      </w:r>
    </w:p>
    <w:p>
      <w:pPr>
        <w:shd w:fill="1F3864" w:val="clear"/>
        <w:spacing w:after="0" w:before="0"/>
        <w:jc w:val="center"/>
      </w:pPr>
      <w:r>
        <w:rPr>
          <w:rFonts w:ascii="Arial" w:cs="Arial" w:eastAsia="Arial" w:hAnsi="Arial"/>
          <w:sz w:val="24"/>
          <w:szCs w:val="24"/>
        </w:rPr>
        <w:t xml:space="preserve"> </w:t>
      </w:r>
    </w:p>
    <w:p>
      <w:pPr>
        <w:shd w:fill="1F3864" w:val="clear"/>
        <w:spacing w:after="0" w:before="0"/>
        <w:jc w:val="center"/>
      </w:pPr>
      <w:r>
        <w:rPr>
          <w:rFonts w:ascii="Arial" w:cs="Arial" w:eastAsia="Arial" w:hAnsi="Arial"/>
          <w:color w:val="A0B8D0"/>
          <w:sz w:val="22"/>
          <w:szCs w:val="22"/>
        </w:rPr>
        <w:t xml:space="preserve">Pavlos Papachristos  •  PP24589  •  MSc Artificial Intelligence</w:t>
      </w:r>
    </w:p>
    <w:p>
      <w:pPr>
        <w:shd w:fill="1F3864" w:val="clear"/>
        <w:spacing w:after="240" w:before="0"/>
        <w:jc w:val="center"/>
      </w:pPr>
      <w:r>
        <w:rPr>
          <w:rFonts w:ascii="Arial" w:cs="Arial" w:eastAsia="Arial" w:hAnsi="Arial"/>
          <w:color w:val="A0B8D0"/>
          <w:sz w:val="22"/>
          <w:szCs w:val="22"/>
        </w:rPr>
        <w:t xml:space="preserve">University of Essex Online  •  April 2026</w:t>
      </w:r>
    </w:p>
    <w:p>
      <w:pPr>
        <w:spacing w:after="0" w:before="240"/>
      </w:pPr>
      <w:r>
        <w:t xml:space="preserve"/>
      </w:r>
    </w:p>
    <w:p>
      <w:pPr>
        <w:pStyle w:val="Heading1"/>
        <w:pBdr>
          <w:bottom w:val="single" w:color="2E5FA3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A.  Overview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A.1  The Data</w:t>
      </w:r>
    </w:p>
    <w:p>
      <w:pPr>
        <w:spacing w:after="100" w:before="0"/>
        <w:jc w:val="both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The study draws on two primary data sources, merged at the country-year level.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JST Macrohistory Database R6 (Jordà, Schularick and Taylor, 2017). Covers 18 advanced economies across 1870–2020; the analysis uses the 1985–2020 window. After a three-year lag construction warm-up, the usable panel runs from 1989 to 2020, yielding 569 country-year observations. The binary crisis target (target_h2) marks a country-year positive if a systemic banking crisis onset falls within the following two years, producing 37 positives at a base rate of 6.5 per cent across the full panel and 26 positives at 8.15 per cent in the 2003–2020 sentiment overlap window.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BIS Central Bank Speeches corpus. A total of 16,622 speeches by central bank officials from the 18 sample economies were scored using FinBERT, a BERT-based model fine-tuned on financial text. Sentiment scores (positive, negative, neutral probability) were aggregated to the country-year level and merged with the macro panel to produce 20 rolling-demeaned sentiment features at lags one and two.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Feature engineering. All macro features are demeaned using expanding country-specific means to prevent forward leakage. The final feature sets are: 19 macro features at lag 1 only (M1), 41 macro features at lags 1–3 (M2, M2.5, M2-matched), and 61 features extending the macro set with sentiment (M3).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A.2  The Approach</w:t>
      </w:r>
    </w:p>
    <w:p>
      <w:pPr>
        <w:spacing w:after="100" w:before="0"/>
        <w:jc w:val="both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Four model classes are trained and evaluated in sequence, each adding a specific capability to its predecessor. The sequence is designed to isolate three effects: lag depth, non-linearity, and interpretability.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M1: Logistic Regression (macro, lag 1 only). The parametric baseline. Transparent log-odds coefficients; limited to linear relationships and a single lag horizon. Establishes the floor against which non-linear models are compared.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M2 / M2-matched: Random Forest (macro, lags 1–3). Non-linear ensemble learner. Extends the feature set across three lag horizons; gains precision-recall performance at the cost of native interpretability. The matched variant is restricted to the 2003–2020 overlap window for direct comparison with M3.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M2.5: Explainable Boosting Machine (macro, lags 1–3). The primary interpretability benchmark. EBM is a gradient-boosted generalised additive model that learns univariate shape functions and up to five pairwise interaction terms. Its fitted shape plots are the model itself — no post-hoc attribution tool is required. Trained on the same 41 features as M2, isolating the algorithm effect while retaining full transparency.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M3: XGBoost + FinBERT (macro + sentiment, lags 1–3). The sentiment-augmented model. Adds 20 FinBERT-derived sentiment features to the macro base; isotonic calibration applied within each expanding-window fold via CalibratedClassifierCV.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E1-EBM ensemble. Equal-weighted average of M2-matched and M2.5-matched out-of-sample probabilities. The primary ensemble result; tests whether averaging two complementary non-linear models improves calibration over either component alone.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5FA3" w:sz="6"/>
              <w:left w:val="single" w:color="2E5FA3" w:sz="6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Evaluation design</w:t>
            </w:r>
          </w:p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All models are evaluated using expanding-window cross-validation: Stage 1 covers 1989–2020 with 26 folds; Stage 2 covers 2003–2020 with 12 folds. 2019–2020 are held out in both stages. The primary metric is AUPRC (precision-recall area under curve), which is more informative than AUROC under class imbalance. Bootstrap 95% confidence intervals use 1,000 resamples and are indicative only given panel dependence.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A.3  What the Study Is Trying to Show</w:t>
      </w:r>
    </w:p>
    <w:p>
      <w:pPr>
        <w:spacing w:after="100" w:before="0"/>
        <w:jc w:val="both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The study does not attempt to establish that any model predicts crises better than existing benchmarks in a general sense. Its purpose is narrower and more precisely defined across three testable hypotheses: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Does adding central bank sentiment (FinBERT) to macro features improve crisis discrimination over a macro-only Random Forest baseline? The test metric is AUPRC at a two-year prediction horizon.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H1 — Discrimination.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Does at least one FinBERT-derived feature rank in the top five by SHAP attribution, indicating that textual sentiment carries independently identifiable predictive signal?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H2 — Feature relevance.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Is there a quantifiable accuracy–interpretability trade-off across the M1–M2–M3 model sequence? And does substituting the black-box M2 with the natively interpretable EBM (M2.5) change that trade-off?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H3 — Interpretability trade-off.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5FA3" w:sz="6"/>
              <w:left w:val="single" w:color="2E5FA3" w:sz="6"/>
              <w:bottom w:val="single" w:color="CCCCCC" w:sz="1"/>
              <w:right w:val="single" w:color="CCCCCC" w:sz="1"/>
            </w:tcBorders>
            <w:shd w:fill="FFF3E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65911"/>
                <w:sz w:val="22"/>
                <w:szCs w:val="22"/>
              </w:rPr>
              <w:t xml:space="preserve">The central argument</w:t>
            </w:r>
          </w:p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Underlying all three hypotheses is a theoretical question: if ML-based early-warning systems fail under genuinely prospective evaluation — which they do, as demonstrated in the strict temporal validation — can interpretable models at least reveal *why* they fail? The EBM contribution answers this directly: shape function instability makes the failure legible as regime-specific misspecification, converting an opaque model collapse into a readable diagnostic.</w:t>
            </w:r>
          </w:p>
        </w:tc>
      </w:tr>
    </w:tbl>
    <w:p>
      <w:pPr>
        <w:pBdr>
          <w:bottom w:val="single" w:color="DDDDDD" w:sz="2" w:space="4"/>
        </w:pBdr>
        <w:spacing w:after="120" w:before="120"/>
      </w:pPr>
      <w:r>
        <w:t xml:space="preserve"/>
      </w:r>
    </w:p>
    <w:p>
      <w:pPr>
        <w:pStyle w:val="Heading1"/>
        <w:pBdr>
          <w:bottom w:val="single" w:color="2E5FA3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B.  Method and Results</w:t>
      </w:r>
    </w:p>
    <w:p>
      <w:pPr>
        <w:spacing w:after="100" w:before="0"/>
        <w:jc w:val="both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Full technical detail is contained in Chapter 4 (Results and Interpretation). This section provides a structured outline of the methodological steps, the results at each stage, and the figures that support each finding.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B.1  Two-Stage Evaluation Design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Stage 1 (1989–2020, 37 crisis events, base rate 6.5%). Evaluates macro-only models M1, M1b, M2 and M2.5 on the extended panel. Provides the multi-episode evaluation benchmark.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Stage 2 (2003–2020, 26 crisis events, base rate 8.15%). Evaluates M2-matched, M2.5-matched, M3, and the E1-EBM ensemble on the sentiment overlap window. Critically, per-fold AUPRC is computable in only one of 12 folds — the 2007 GFC cross-section — because subsequent folds contain zero positive test cases. Stage 2 results therefore represent cross-sectional country ranking within a single episode, not temporal predictive validation.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Two governing constraints apply to all results without exception: (1) all expanding-window metrics are upper bounds on prospective performance; (2) all models fail the 0.75 AUROC literature benchmark under genuinely prospective evaluation. These constraints are stated at the outset of Chapter 4 (Section 4.1) and referenced throughout.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B.2  Primary Model Comparison (Chapter 4, Sections 4.2–4.3)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Stage 1 Results</w:t>
      </w:r>
    </w:p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blHeader/>
        </w:trPr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Model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Features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AUROC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AUPRC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AUPRC Lift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Brier</w:t>
            </w:r>
          </w:p>
        </w:tc>
      </w:tr>
      <w:tr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M1: Logistic Regression (lag 1)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19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0.606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0.139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2.1×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0.157</w:t>
            </w:r>
          </w:p>
        </w:tc>
      </w:tr>
      <w:tr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M1b: LR bridge (lags 1–3)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41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0.646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0.145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2.2×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0.136</w:t>
            </w:r>
          </w:p>
        </w:tc>
      </w:tr>
      <w:tr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M2: Random Forest (lags 1–3)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41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0.636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0.224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3.4×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0.060</w:t>
            </w:r>
          </w:p>
        </w:tc>
      </w:tr>
      <w:tr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M2.5: EBM (lags 1–3)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41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0.753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0.273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4.2×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0.064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M2 Stage 1 AUROC (0.636) collapses from the original single-episode headline (0.947), reflecting the structural diversity of the extended multi-episode panel across 26 folds.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EBM appears to lead M2 by AUROC +0.117 and AUPRC +0.049. Confidence intervals overlap; the advantage is not statistically confirmed and is itself likely inflated by the same regime-specific evaluation bias that affects all models.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Decomposition: lag depth (M1→M1b) adds modest AUPRC gains; non-linearity (M1b→M2) adds the largest precision-recall step; algorithm change (M2→M2.5) shows the largest apparent AUROC gain but does not survive prospective evaluation.</w:t>
      </w:r>
    </w:p>
    <w:p>
      <w:pPr>
        <w:spacing w:after="0" w:before="80"/>
      </w:pPr>
      <w:r>
        <w:t xml:space="preserve"/>
      </w:r>
    </w:p>
    <w:p>
      <w:pPr>
        <w:spacing w:after="100" w:before="0"/>
        <w:jc w:val="both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Figures 4.1 and 4.2 (Chapter 4): ROC/PR curves across both stages; temporal out-of-sample probability plots for all models.</w:t>
      </w:r>
    </w:p>
    <w:p>
      <w:pPr>
        <w:spacing w:after="0" w:before="12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Stage 2 Results</w:t>
      </w:r>
    </w:p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blHeader/>
        </w:trPr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Model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Features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AUROC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AUPRC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AUPRC Lift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Brier</w:t>
            </w:r>
          </w:p>
        </w:tc>
      </w:tr>
      <w:tr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M2-matched: RF (macro)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41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0.939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0.343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4.2×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0.060</w:t>
            </w:r>
          </w:p>
        </w:tc>
      </w:tr>
      <w:tr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M2.5-matched: EBM (macro)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41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0.960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0.532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6.5×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0.067</w:t>
            </w:r>
          </w:p>
        </w:tc>
      </w:tr>
      <w:tr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M3: XGBoost + FinBERT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61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0.932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0.411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5.0×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0.061</w:t>
            </w:r>
          </w:p>
        </w:tc>
      </w:tr>
      <w:tr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E1-EBM: avg(M2-matched, EBM)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—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0.955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0.433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—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0.056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M3 leads M2-matched on AUPRC by +6.8 pp (0.411 vs 0.343). Bootstrap 95% CI [−0.130, +0.312] spans zero — not statistically confirmed.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EBM achieves AUPRC 0.532 without any sentiment features, indicating that algorithm non-linearity — not sentiment — is the primary driver of Stage 2 performance differences. This is the key finding for H1.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E1-EBM achieves best Brier Score (0.056) but AUPRC falls to 0.433 from EBM’s standalone 0.532: structural drag from averaging EBM with lower-AUPRC M2-matched.</w:t>
      </w:r>
    </w:p>
    <w:p>
      <w:pPr>
        <w:spacing w:after="0" w:before="80"/>
      </w:pPr>
      <w:r>
        <w:t xml:space="preserve"/>
      </w:r>
    </w:p>
    <w:p>
      <w:pPr>
        <w:spacing w:after="100" w:before="0"/>
        <w:jc w:val="both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Figure 4.9 (Chapter 4): Ensemble ROC/PR curves. Figure 4.10: Model disagreement analysis showing 2.8:1 disagreement ratio at crisis vs non-crisis events.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B.3  Strict Temporal Validation — Central Finding (Chapter 4, Section 4.5)</w:t>
      </w:r>
    </w:p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rPr>
          <w:tblHeader/>
        </w:trPr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Split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Train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 positives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M2 RF AUROC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EBM AUROC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Benchmark</w:t>
            </w:r>
          </w:p>
        </w:tc>
      </w:tr>
      <w:tr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A: Pre-Nordic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1988–1990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1991–1997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1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0.572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0.752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0.75</w:t>
            </w:r>
          </w:p>
        </w:tc>
      </w:tr>
      <w:tr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B: Pre-GFC extended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1988–2002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2003–2011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13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0.481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0.333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0.75</w:t>
            </w:r>
          </w:p>
        </w:tc>
      </w:tr>
      <w:tr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C: Pre-GFC short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2003–2005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2006–2009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0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—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—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Split B is the substantive finding. M2 RF AUROC 0.481 (below random); EBM AUROC 0.333 (substantially below random and below RF).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The model with the highest expanding-window metrics fails most severely under genuine prospective evaluation — the opposite of what interpretability advocates might expect.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EBM’s prospective collapse is worse than RF’s because higher representational flexibility encodes the GFC-dominated training distribution more precisely, making its fitted structures less transferable when the regime changes.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Neither extending training history across multiple crisis regimes nor changing algorithm class resolves the generalisation problem. The underlying cause is non-stationarity in the data-generating process.</w:t>
      </w:r>
    </w:p>
    <w:p>
      <w:pPr>
        <w:spacing w:after="0" w:before="80"/>
      </w:pPr>
      <w:r>
        <w:t xml:space="preserve"/>
      </w:r>
    </w:p>
    <w:p>
      <w:pPr>
        <w:spacing w:after="100" w:before="0"/>
        <w:jc w:val="both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Figure 4.3 (Chapter 4): LOCO AUROC bar chart — EBM leads RF in 11 of 15 countries; Japan near-random for both (AUROC 0.138 and 0.069 respectively).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B.4  EBM Interpretability Benchmark (Chapter 4, Sections 4.6–4.7)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SHAP vs EBM Native Importance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Both SHAP (M3) and EBM native importance (M2.5) independently identify term_spread_lag3_dm as the top feature. SHAP mean |SHAP| ≈ 2.2; EBM native importance = 1.717.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This constitutes methodological triangulation: the result is not an artefact of either model class or attribution tool. However, agreement between the two methods reflects shared sample-specific correlation structure within the GFC episode — not causal validation of a generalisable economic relationship.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EBM additionally surfaces pairwise interaction between credit growth trajectory and term spread lag 3 (importance 1.370) — a joint signal that M2 and M3 capture only implicitly.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No sentiment feature appears in the EBM top 20. Five sentiment features appear in the SHAP top 20. H2 is not supported in its strict formulation.</w:t>
      </w:r>
    </w:p>
    <w:p>
      <w:pPr>
        <w:spacing w:after="0" w:before="80"/>
      </w:pPr>
      <w:r>
        <w:t xml:space="preserve"/>
      </w:r>
    </w:p>
    <w:p>
      <w:pPr>
        <w:spacing w:after="100" w:before="0"/>
        <w:jc w:val="both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Figures 4.4 and 4.5 (Chapter 4): SHAP lag-group attribution; SHAP vs EBM native importance comparison. Figure 4.6: EBM global feature importance.</w:t>
      </w:r>
    </w:p>
    <w:p>
      <w:pPr>
        <w:spacing w:after="0" w:before="8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Shape Function Analysis — Regime Instability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EBM shape functions are estimated separately on a pre-GFC window (2003–2006) and a GFC-inclusive window (2003–2010) for term spread (lags 1–3) and total credit (lags 1–3).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Term spread lag 3 (highest-ranked feature): pre-GFC and GFC-inclusive shape functions are qualitatively distinct — different structures, not scaled versions. The curves cross: the same feature value is associated with reduced crisis risk in one regime and increased risk in the other.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Term spread lags 1 and 2: divergence in magnitudes and transition points; consistent directional instability across all horizons.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Total credit: near-zero pre-GFC contributions (no crisis events to identify an association) vs increasingly negative GFC-inclusive contributions at high credit values.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Because EBM requires no post-hoc attribution, shape instability is a direct property of the fitted model — it cannot be attributed to SHAP approximation error. It must reflect a property of the data-generating process itself.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This converts the prospective AUROC collapse into a legible, regime-specific misspecification: the mechanism of failure is readable directly from the fitted shape plots.</w:t>
      </w:r>
    </w:p>
    <w:p>
      <w:pPr>
        <w:spacing w:after="0" w:before="80"/>
      </w:pPr>
      <w:r>
        <w:t xml:space="preserve"/>
      </w:r>
    </w:p>
    <w:p>
      <w:pPr>
        <w:spacing w:after="100" w:before="0"/>
        <w:jc w:val="both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Figure 4.7 (Chapter 4): Six-panel shape function comparison — the centrepiece figure of the EBM contribution.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B.5  Calibration and Auxiliary Tests (Chapter 4, Sections 4.8–4.9)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Calibration</w:t>
      </w:r>
    </w:p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Model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ECE (lower = better)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Brier Score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M2-matched RF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0.127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0.060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M2.5-matched EBM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0.084 (best)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0.067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M3 XGBoost + FinBERT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0.109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0.061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EBM achieves the best Expected Calibration Error without post-hoc isotonic calibration. M3 applies CalibratedClassifierCV within each fold but still records higher ECE.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Divergence between EBM’s ECE and Brier Score reflects the distinction between local bin-level alignment (ECE) and global squared-error minimisation (Brier). Given 26 crisis events in a single episode, neither result is informative about prospective calibration reliability.</w:t>
      </w:r>
    </w:p>
    <w:p>
      <w:pPr>
        <w:spacing w:after="0" w:before="80"/>
      </w:pPr>
      <w:r>
        <w:t xml:space="preserve"/>
      </w:r>
    </w:p>
    <w:p>
      <w:pPr>
        <w:spacing w:after="100" w:before="0"/>
        <w:jc w:val="both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Figure 4.8 (Chapter 4): Calibration reliability diagrams for all three Stage 2 models.</w:t>
      </w:r>
    </w:p>
    <w:p>
      <w:pPr>
        <w:spacing w:after="0" w:before="8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Granger Causality and Panel Logistic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Credit growth Granger causality: 8 of 42 country-lag combinations significant (19%). Belgium significant at all three lags; France and USA at lags 2–3; Spain at lag 1.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Term spread Granger causality at lag 3: 5 of 14 countries significant — United Kingdom (p = 0.0016), Netherlands (p = 0.0028), Italy (p = 0.0092), Japan (p = 0.0151), Germany (p = 0.0305). Independent convergence with EBM’s top feature ranking.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Panel logistic (term spread): pseudo-R² = 0.135; sign reversal across lags — lag-1 coefficient β = −0.646 (p = 0.004); lag-3 coefficient β = +0.630 (p = 0.003). Non-monotonic lag structure confirms EBM shape function finding in parametric form.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Panel logistic (sentiment): pseudo-R² increment +0.034; P_neg_lag1 p = 0.103 — not significant. Sentiment null result is robust to topic disaggregation (Appendix A).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Key meta-finding: divergence between ML discrimination patterns and consistent absence of statistical significance across all auxiliary tests highlights the distinction between in-sample predictive pattern recognition and causal economic inference.</w:t>
      </w:r>
    </w:p>
    <w:p>
      <w:pPr>
        <w:spacing w:after="0" w:before="80"/>
      </w:pPr>
      <w:r>
        <w:t xml:space="preserve"/>
      </w:r>
    </w:p>
    <w:p>
      <w:pPr>
        <w:spacing w:after="100" w:before="0"/>
        <w:jc w:val="both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Figure 4.9 (Chapter 4): Granger causality country-level p-value chart.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B.6  Hypothesis Verdicts (Chapter 4, Section 4.11)</w:t>
      </w:r>
    </w:p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Hypothesis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Verdict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qualifier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H1: M3 discrimination &gt; macro baseline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Supported directionally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CI spans zero; EBM achieves higher AUPRC without sentiment — algorithm non-linearity drives gains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H2: Sentiment feature in top-5 SHAP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Not supported (strict)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5 sentiment features in top 20; none in top 5; all statistical tests non-significant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H3: Interpretability–accuracy trade-off quantified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Supported and refined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EBM appears to dominate RF in-sample but collapses most severely prospectively (AUROC 0.333 vs 0.481)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DDDDDD" w:sz="2" w:space="4"/>
        </w:pBdr>
        <w:spacing w:after="120" w:before="120"/>
      </w:pPr>
      <w:r>
        <w:t xml:space="preserve"/>
      </w:r>
    </w:p>
    <w:p>
      <w:pPr>
        <w:pStyle w:val="Heading1"/>
        <w:pBdr>
          <w:bottom w:val="single" w:color="2E5FA3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C.  Summary of Findings and Discussion</w:t>
      </w:r>
    </w:p>
    <w:p>
      <w:pPr>
        <w:spacing w:after="100" w:before="0"/>
        <w:jc w:val="both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Chapter 5 (Discussion) synthesises the Chapter 4 results, situates them in the EWS literature, and draws out the implications for research design and practical application. Five interlocking findings structure the discussion.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C.1  The Five Core Findings (Chapter 5, Section 5.1)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Finding 1 (negative result — most important): Extending macro training history from 2003–2020 to 1989–2020 does not resolve the generalisation problem.</w:t>
      </w:r>
    </w:p>
    <w:p>
      <w:pPr>
        <w:pStyle w:val="ListParagraph"/>
        <w:numPr>
          <w:ilvl w:val="1"/>
          <w:numId w:val="2"/>
        </w:numPr>
        <w:spacing w:after="60" w:before="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M2 trained on the extended panel achieves AUROC 0.481 in strict temporal validation — below random. Even with 15 additional years of crisis history including the Nordic cluster and Japan 1997, the model does not generalise to the GFC.</w:t>
      </w:r>
    </w:p>
    <w:p>
      <w:pPr>
        <w:pStyle w:val="ListParagraph"/>
        <w:numPr>
          <w:ilvl w:val="1"/>
          <w:numId w:val="2"/>
        </w:numPr>
        <w:spacing w:after="60" w:before="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The regime discontinuity between earlier crisis types and the GFC is structurally too large for aggregate macro features to bridge. The standard EWS paradigm assumes a single stable mapping between indicators and crisis risk — this assumption is violated.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Finding 2 (sentiment): M3 achieves a directional AUPRC gain (+6.8 pp) over M2-matched within the GFC cross-section. This does not constitute evidence of a generalisable sentiment channel.</w:t>
      </w:r>
    </w:p>
    <w:p>
      <w:pPr>
        <w:pStyle w:val="ListParagraph"/>
        <w:numPr>
          <w:ilvl w:val="1"/>
          <w:numId w:val="2"/>
        </w:numPr>
        <w:spacing w:after="60" w:before="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Bootstrap CI spans zero; all auxiliary statistical tests find no significant relationship; SHAP feature rankings are unstable across specifications.</w:t>
      </w:r>
    </w:p>
    <w:p>
      <w:pPr>
        <w:pStyle w:val="ListParagraph"/>
        <w:numPr>
          <w:ilvl w:val="1"/>
          <w:numId w:val="2"/>
        </w:numPr>
        <w:spacing w:after="60" w:before="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The directional gain is best characterised as a sample-specific pattern within a single episode.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Finding 3 (EBM — most theoretically significant addition): EBM achieves higher in-sample point estimates than M2 and M3 but collapses more severely under prospective evaluation (AUROC 0.333).</w:t>
      </w:r>
    </w:p>
    <w:p>
      <w:pPr>
        <w:pStyle w:val="ListParagraph"/>
        <w:numPr>
          <w:ilvl w:val="1"/>
          <w:numId w:val="2"/>
        </w:numPr>
        <w:spacing w:after="60" w:before="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The opposite of intuition: the interpretable model fails *worse*, not better, under structural breaks. Higher representational flexibility encodes regime-specific patterns more precisely, making them less transferable.</w:t>
      </w:r>
    </w:p>
    <w:p>
      <w:pPr>
        <w:pStyle w:val="ListParagraph"/>
        <w:numPr>
          <w:ilvl w:val="1"/>
          <w:numId w:val="2"/>
        </w:numPr>
        <w:spacing w:after="60" w:before="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EBM’s shape functions make this failure legible — the key theoretical contribution. The instability is a direct property of the data-generating process, not an approximation artefact.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Finding 4 (ensemble): E1-EBM achieves best Brier Score (0.056) and strong AUROC (0.955) but AUPRC falls below EBM standalone due to averaging drag from M2-matched.</w:t>
      </w:r>
    </w:p>
    <w:p>
      <w:pPr>
        <w:pStyle w:val="ListParagraph"/>
        <w:numPr>
          <w:ilvl w:val="1"/>
          <w:numId w:val="2"/>
        </w:numPr>
        <w:spacing w:after="60" w:before="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The ensemble is the most defensible configuration for calibration purposes, not discrimination superiority.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Finding 5 (crisis type discrimination): E1-EBM correctly stratifies the 2007 cross-section by crisis mechanism — Fundamental 0.695, Contagion 0.395, No crisis 0.325.</w:t>
      </w:r>
    </w:p>
    <w:p>
      <w:pPr>
        <w:pStyle w:val="ListParagraph"/>
        <w:numPr>
          <w:ilvl w:val="1"/>
          <w:numId w:val="2"/>
        </w:numPr>
        <w:spacing w:after="60" w:before="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Sweden reclassified as Contagion (JST R6 confirms crisis onset 2008; target_h2 = 1 in 2007). Group means revised accordingly.</w:t>
      </w:r>
    </w:p>
    <w:p>
      <w:pPr>
        <w:pStyle w:val="ListParagraph"/>
        <w:numPr>
          <w:ilvl w:val="1"/>
          <w:numId w:val="2"/>
        </w:numPr>
        <w:spacing w:after="60" w:before="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The model’s macro precursor features carry more signal for domestically generated imbalances than for contagion-transmitted stress — coherent with the feature set design.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C.2  Crisis Heterogeneity and Model Scope (Chapter 5, Section 5.4)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Four crisis mechanisms are relevant to the 18-country panel: Fundamental (domestic credit boom), Contagion (external transmission), Speculative attack (self-fulfilling), and Exogenous shock. The JST target variable does not distinguish between them.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Training on an undifferentiated crisis label implicitly assumes the same features are relevant across all types — an assumption the results consistently refute.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Case study (Section 5.4.1): Spain (E1-EBM 0.810, Fundamental ★), Sweden (0.783, Contagion ★), United Kingdom (0.171, Fundamental).</w:t>
      </w:r>
    </w:p>
    <w:p>
      <w:pPr>
        <w:pStyle w:val="ListParagraph"/>
        <w:numPr>
          <w:ilvl w:val="1"/>
          <w:numId w:val="2"/>
        </w:numPr>
        <w:spacing w:after="60" w:before="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Spain: credit growth 19.8% p.a., house price growth 17.6% — classic domestic boom; model correctly assigns high probability.</w:t>
      </w:r>
    </w:p>
    <w:p>
      <w:pPr>
        <w:pStyle w:val="ListParagraph"/>
        <w:numPr>
          <w:ilvl w:val="1"/>
          <w:numId w:val="2"/>
        </w:numPr>
        <w:spacing w:after="60" w:before="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Sweden: credit growth 7.4%, house price growth 11.1% — moderate; high probability reflects overlapping monetary/yield-curve signals, not domestic credit boom. Contagion mechanism explains the discrepancy.</w:t>
      </w:r>
    </w:p>
    <w:p>
      <w:pPr>
        <w:pStyle w:val="ListParagraph"/>
        <w:numPr>
          <w:ilvl w:val="1"/>
          <w:numId w:val="2"/>
        </w:numPr>
        <w:spacing w:after="60" w:before="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UK: credit growth 9.3%, house price growth 13.3% — intermediate; low model probability because stress originated on the liability side (wholesale funding, Northern Rock) not the asset side. This is a scope condition, not a model error.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Contrast between Figure 5.1a (credit/housing) and Figure 5.1b (monetary/yield-curve): Spain is visually distinct in 5.1a; all three countries are broadly similar in 5.1b. The model’s discriminatory mechanism operates primarily through credit-cycle features, not yield-curve features.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C.3  Practical Implications (Chapter 5, Section 5.5)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Extending training history is necessary but not sufficient. The dominant constraint is regime heterogeneity, not data length. An operational EWS would require a regime-classification layer or a portfolio of models calibrated to specific crisis mechanisms.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Interpretable non-linear models (EBM) should be preferred for EWS applications not for their expanding-window metrics but for their transparency: they allow practitioners to detect and communicate when the learned feature-risk relationships no longer match the current regime.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The ensemble remains the most defensible configuration for calibration. E1-EBM Brier 0.056 is the best of any configuration — practically important for systems that must assign concrete probability thresholds for policy review.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Sentiment contributes a complementary but unstable signal. An operational sentiment channel would require more stable textual features and validation across multiple crisis episodes before it could be relied upon.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C.4  Theoretical Conclusion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5FA3" w:sz="6"/>
              <w:left w:val="single" w:color="2E5FA3" w:sz="6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Central argument — Chapter 5, Sections 5.2 and 5.6</w:t>
            </w:r>
          </w:p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The central limitation of early-warning systems is not predictive capacity within a given sample — it is the absence of a stable mapping between predictors and crisis outcomes across regimes. This limitation cannot be resolved through additional data, model complexity, or interpretability enhancements. ML-based EWS are not merely empirically limited; they are conceptually misaligned with environments characterised by structural breaks, where the data-generating process evolves faster than any static model can adapt. In this sense, the failure of machine learning-based early-warning systems reflects a broader limitation of predictive modelling under distribution shift: models trained on historical data cannot reliably extrapolate to future states drawn from a different underlying process.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DDDDDD" w:sz="2" w:space="4"/>
        </w:pBdr>
        <w:spacing w:after="120" w:before="120"/>
      </w:pPr>
      <w:r>
        <w:t xml:space="preserve"/>
      </w:r>
    </w:p>
    <w:p>
      <w:pPr>
        <w:pStyle w:val="Heading1"/>
        <w:pBdr>
          <w:bottom w:val="single" w:color="2E5FA3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D.  Chapter Reference Index</w:t>
      </w:r>
    </w:p>
    <w:p>
      <w:pPr>
        <w:spacing w:after="100" w:before="0"/>
        <w:jc w:val="both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The table below maps each analytical element to its location in the full dissertation chapters.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Element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Chapter 4 section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Chapter 5 section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Dataset, targets, feature engineering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4.1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Stage 1 and Stage 2 primary metrics (Tables 4.1–4.2)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4.2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5.1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Model decomposition (Table 4.3)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4.3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Strict temporal validation (Table 4.4)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4.5.1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5.1, 5.2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LOCO validation (Table 4.5, Figure 4.3)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4.5.2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SHAP feature attribution (Figures 4.4–4.5)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4.6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5.1, 5.3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EBM shape function regime comparison (Figure 4.7)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4.7.3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5.2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Calibration analysis (Figure 4.8)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4.8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Granger causality and panel logistic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4.9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5.3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EBM ensemble results (Table 4.6, Figures 4.9–4.10)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4.10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5.1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2007 country ranking (Figure 4.11)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4.10.3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5.4, 5.4.1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Hypothesis verdicts (Table 4.7)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4.11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5.1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EBM interpretability discussion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4.7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5.2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Crisis heterogeneity and model scope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—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5.4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Case study: Spain, Sweden, UK (Figures 5.1a, 5.1b)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—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5.4.1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Practical implications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—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5.5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Limitations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—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5.6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0" w:before="24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Pavlos Papachristos  •  PP24589  •  MSc Artificial Intelligence  •  University of Essex Online  •  April 2026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Research Summary  |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  <w:lvl w:ilvl="1" w15:tentative="1">
      <w:start w:val="1"/>
      <w:numFmt w:val="bullet"/>
      <w:lvlText w:val="◦"/>
      <w:lvlJc w:val="left"/>
      <w:pPr>
        <w:ind w:left="10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0404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2026-04-26T08:42:29.469Z</dcterms:created>
  <dcterms:modified xsi:type="dcterms:W3CDTF">2026-04-26T08:42:29.470Z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